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B3BE8" w14:textId="77777777" w:rsidR="00851B3C" w:rsidRPr="00354D78" w:rsidRDefault="00851B3C" w:rsidP="00D10D1D">
      <w:pPr>
        <w:spacing w:line="360" w:lineRule="auto"/>
        <w:jc w:val="center"/>
        <w:rPr>
          <w:rFonts w:ascii="Times New Roman" w:hAnsi="Times New Roman" w:cs="Times New Roman"/>
          <w:b/>
          <w:sz w:val="24"/>
          <w:szCs w:val="24"/>
        </w:rPr>
      </w:pPr>
      <w:r w:rsidRPr="00354D78">
        <w:rPr>
          <w:rFonts w:ascii="Times New Roman" w:hAnsi="Times New Roman" w:cs="Times New Roman"/>
          <w:b/>
          <w:sz w:val="24"/>
          <w:szCs w:val="24"/>
        </w:rPr>
        <w:t>3ª Conferência FORGES</w:t>
      </w:r>
    </w:p>
    <w:p w14:paraId="3595FFA2" w14:textId="77777777" w:rsidR="00851B3C" w:rsidRPr="00354D78" w:rsidRDefault="00851B3C" w:rsidP="00D10D1D">
      <w:pPr>
        <w:spacing w:line="360" w:lineRule="auto"/>
        <w:jc w:val="center"/>
        <w:rPr>
          <w:rFonts w:ascii="Times New Roman" w:hAnsi="Times New Roman" w:cs="Times New Roman"/>
          <w:b/>
          <w:sz w:val="24"/>
          <w:szCs w:val="24"/>
        </w:rPr>
      </w:pPr>
      <w:r w:rsidRPr="00354D78">
        <w:rPr>
          <w:rFonts w:ascii="Times New Roman" w:hAnsi="Times New Roman" w:cs="Times New Roman"/>
          <w:b/>
          <w:sz w:val="24"/>
          <w:szCs w:val="24"/>
        </w:rPr>
        <w:t>Universidade Federal de Pernambuco, Recife, Dezembro 2013</w:t>
      </w:r>
    </w:p>
    <w:p w14:paraId="567CC736" w14:textId="77777777" w:rsidR="00851B3C" w:rsidRPr="00354D78" w:rsidRDefault="00851B3C" w:rsidP="00D10D1D">
      <w:pPr>
        <w:pStyle w:val="Default"/>
        <w:spacing w:line="360" w:lineRule="auto"/>
        <w:jc w:val="center"/>
        <w:rPr>
          <w:rFonts w:ascii="Times New Roman" w:hAnsi="Times New Roman" w:cs="Times New Roman"/>
          <w:b/>
        </w:rPr>
      </w:pPr>
    </w:p>
    <w:p w14:paraId="0BF348E6" w14:textId="77777777" w:rsidR="00851B3C" w:rsidRPr="00354D78" w:rsidRDefault="00851B3C" w:rsidP="00D10D1D">
      <w:pPr>
        <w:pStyle w:val="Default"/>
        <w:spacing w:line="360" w:lineRule="auto"/>
        <w:jc w:val="center"/>
        <w:rPr>
          <w:rFonts w:ascii="Times New Roman" w:hAnsi="Times New Roman" w:cs="Times New Roman"/>
          <w:b/>
        </w:rPr>
      </w:pPr>
      <w:r w:rsidRPr="00354D78">
        <w:rPr>
          <w:rFonts w:ascii="Times New Roman" w:hAnsi="Times New Roman" w:cs="Times New Roman"/>
          <w:b/>
        </w:rPr>
        <w:t>Acesso ao ensino superior e mobilidade social dos portugueses</w:t>
      </w:r>
      <w:r w:rsidRPr="00354D78">
        <w:rPr>
          <w:rStyle w:val="FootnoteReference"/>
          <w:rFonts w:ascii="Times New Roman" w:hAnsi="Times New Roman" w:cs="Times New Roman"/>
          <w:b/>
        </w:rPr>
        <w:footnoteReference w:id="1"/>
      </w:r>
    </w:p>
    <w:p w14:paraId="0F4050B6" w14:textId="77777777" w:rsidR="005674D4" w:rsidRPr="00354D78" w:rsidRDefault="005674D4" w:rsidP="00D10D1D">
      <w:pPr>
        <w:spacing w:line="360" w:lineRule="auto"/>
        <w:jc w:val="both"/>
        <w:rPr>
          <w:rFonts w:ascii="Times New Roman" w:hAnsi="Times New Roman" w:cs="Times New Roman"/>
          <w:sz w:val="24"/>
          <w:szCs w:val="24"/>
        </w:rPr>
      </w:pPr>
    </w:p>
    <w:p w14:paraId="31650F97" w14:textId="77777777" w:rsidR="00851B3C" w:rsidRPr="00354D78" w:rsidRDefault="00851B3C" w:rsidP="00D80F39">
      <w:pPr>
        <w:spacing w:line="240" w:lineRule="auto"/>
        <w:jc w:val="both"/>
        <w:rPr>
          <w:rFonts w:ascii="Times New Roman" w:hAnsi="Times New Roman" w:cs="Times New Roman"/>
          <w:sz w:val="24"/>
          <w:szCs w:val="24"/>
        </w:rPr>
      </w:pPr>
      <w:r w:rsidRPr="00354D78">
        <w:rPr>
          <w:rFonts w:ascii="Times New Roman" w:hAnsi="Times New Roman" w:cs="Times New Roman"/>
          <w:b/>
          <w:sz w:val="24"/>
          <w:szCs w:val="24"/>
        </w:rPr>
        <w:t>Maria da Saudade Baltazar</w:t>
      </w:r>
      <w:r w:rsidRPr="00354D78">
        <w:rPr>
          <w:rFonts w:ascii="Times New Roman" w:hAnsi="Times New Roman" w:cs="Times New Roman"/>
          <w:sz w:val="24"/>
          <w:szCs w:val="24"/>
        </w:rPr>
        <w:t xml:space="preserve"> (</w:t>
      </w:r>
      <w:hyperlink r:id="rId9" w:history="1">
        <w:r w:rsidRPr="00354D78">
          <w:rPr>
            <w:rStyle w:val="Hyperlink"/>
            <w:rFonts w:ascii="Times New Roman" w:hAnsi="Times New Roman" w:cs="Times New Roman"/>
            <w:sz w:val="24"/>
            <w:szCs w:val="24"/>
          </w:rPr>
          <w:t>baltazar@uevora.pt</w:t>
        </w:r>
      </w:hyperlink>
      <w:r w:rsidRPr="00354D78">
        <w:rPr>
          <w:rFonts w:ascii="Times New Roman" w:hAnsi="Times New Roman" w:cs="Times New Roman"/>
          <w:sz w:val="24"/>
          <w:szCs w:val="24"/>
        </w:rPr>
        <w:t>), CESNOVA/FCHS-UNL &amp; Departamento de Sociologia da Universidade de Évora</w:t>
      </w:r>
    </w:p>
    <w:p w14:paraId="0D13D38C" w14:textId="77777777" w:rsidR="00851B3C" w:rsidRPr="00354D78" w:rsidRDefault="00851B3C" w:rsidP="00D80F39">
      <w:pPr>
        <w:spacing w:line="240" w:lineRule="auto"/>
        <w:jc w:val="both"/>
        <w:rPr>
          <w:rFonts w:ascii="Times New Roman" w:hAnsi="Times New Roman" w:cs="Times New Roman"/>
          <w:sz w:val="24"/>
          <w:szCs w:val="24"/>
        </w:rPr>
      </w:pPr>
      <w:r w:rsidRPr="00354D78">
        <w:rPr>
          <w:rFonts w:ascii="Times New Roman" w:hAnsi="Times New Roman" w:cs="Times New Roman"/>
          <w:b/>
          <w:sz w:val="24"/>
          <w:szCs w:val="24"/>
        </w:rPr>
        <w:t>Carlos Vieira</w:t>
      </w:r>
      <w:r w:rsidRPr="00354D78">
        <w:rPr>
          <w:rFonts w:ascii="Times New Roman" w:hAnsi="Times New Roman" w:cs="Times New Roman"/>
          <w:sz w:val="24"/>
          <w:szCs w:val="24"/>
        </w:rPr>
        <w:t xml:space="preserve"> (</w:t>
      </w:r>
      <w:hyperlink r:id="rId10" w:history="1">
        <w:r w:rsidRPr="00354D78">
          <w:rPr>
            <w:rStyle w:val="Hyperlink"/>
            <w:rFonts w:ascii="Times New Roman" w:hAnsi="Times New Roman" w:cs="Times New Roman"/>
            <w:sz w:val="24"/>
            <w:szCs w:val="24"/>
          </w:rPr>
          <w:t>cvieira@uevora.pt</w:t>
        </w:r>
      </w:hyperlink>
      <w:r w:rsidRPr="00354D78">
        <w:rPr>
          <w:rFonts w:ascii="Times New Roman" w:hAnsi="Times New Roman" w:cs="Times New Roman"/>
          <w:sz w:val="24"/>
          <w:szCs w:val="24"/>
        </w:rPr>
        <w:t>), CEFAGE-U.E. &amp; Departamento de Economia da Universidade de Évora</w:t>
      </w:r>
    </w:p>
    <w:p w14:paraId="4CA76478" w14:textId="77777777" w:rsidR="00851B3C" w:rsidRPr="00354D78" w:rsidRDefault="00851B3C" w:rsidP="00D80F39">
      <w:pPr>
        <w:spacing w:line="240" w:lineRule="auto"/>
        <w:jc w:val="both"/>
        <w:rPr>
          <w:rFonts w:ascii="Times New Roman" w:hAnsi="Times New Roman" w:cs="Times New Roman"/>
          <w:sz w:val="24"/>
          <w:szCs w:val="24"/>
        </w:rPr>
      </w:pPr>
      <w:r w:rsidRPr="00354D78">
        <w:rPr>
          <w:rFonts w:ascii="Times New Roman" w:hAnsi="Times New Roman" w:cs="Times New Roman"/>
          <w:b/>
          <w:sz w:val="24"/>
          <w:szCs w:val="24"/>
        </w:rPr>
        <w:t>Isabel Vieira</w:t>
      </w:r>
      <w:r w:rsidRPr="00354D78">
        <w:rPr>
          <w:rFonts w:ascii="Times New Roman" w:hAnsi="Times New Roman" w:cs="Times New Roman"/>
          <w:sz w:val="24"/>
          <w:szCs w:val="24"/>
        </w:rPr>
        <w:t xml:space="preserve"> (</w:t>
      </w:r>
      <w:hyperlink r:id="rId11" w:history="1">
        <w:r w:rsidRPr="00354D78">
          <w:rPr>
            <w:rStyle w:val="Hyperlink"/>
            <w:rFonts w:ascii="Times New Roman" w:hAnsi="Times New Roman" w:cs="Times New Roman"/>
            <w:sz w:val="24"/>
            <w:szCs w:val="24"/>
          </w:rPr>
          <w:t>impvv@uevora.pt</w:t>
        </w:r>
      </w:hyperlink>
      <w:r w:rsidRPr="00354D78">
        <w:rPr>
          <w:rFonts w:ascii="Times New Roman" w:hAnsi="Times New Roman" w:cs="Times New Roman"/>
          <w:sz w:val="24"/>
          <w:szCs w:val="24"/>
        </w:rPr>
        <w:t>), CEFAGE-U.E. &amp; Departamento de Economia da Universidade de Évora</w:t>
      </w:r>
    </w:p>
    <w:p w14:paraId="4CC63BCA" w14:textId="77777777" w:rsidR="00851B3C" w:rsidRPr="00354D78" w:rsidRDefault="00851B3C" w:rsidP="00D80F39">
      <w:pPr>
        <w:spacing w:line="240" w:lineRule="auto"/>
        <w:jc w:val="both"/>
        <w:rPr>
          <w:rFonts w:ascii="Times New Roman" w:hAnsi="Times New Roman" w:cs="Times New Roman"/>
          <w:sz w:val="24"/>
          <w:szCs w:val="24"/>
        </w:rPr>
      </w:pPr>
      <w:r w:rsidRPr="00354D78">
        <w:rPr>
          <w:rFonts w:ascii="Times New Roman" w:hAnsi="Times New Roman" w:cs="Times New Roman"/>
          <w:b/>
          <w:sz w:val="24"/>
          <w:szCs w:val="24"/>
        </w:rPr>
        <w:t>Conceição Rego</w:t>
      </w:r>
      <w:r w:rsidRPr="00354D78">
        <w:rPr>
          <w:rFonts w:ascii="Times New Roman" w:hAnsi="Times New Roman" w:cs="Times New Roman"/>
          <w:sz w:val="24"/>
          <w:szCs w:val="24"/>
        </w:rPr>
        <w:t xml:space="preserve"> </w:t>
      </w:r>
      <w:r w:rsidR="00BC302F" w:rsidRPr="00354D78">
        <w:rPr>
          <w:rFonts w:ascii="Times New Roman" w:hAnsi="Times New Roman" w:cs="Times New Roman"/>
          <w:sz w:val="24"/>
          <w:szCs w:val="24"/>
        </w:rPr>
        <w:t>(</w:t>
      </w:r>
      <w:hyperlink r:id="rId12" w:history="1">
        <w:r w:rsidR="00BC302F" w:rsidRPr="00354D78">
          <w:rPr>
            <w:rStyle w:val="Hyperlink"/>
            <w:rFonts w:ascii="Times New Roman" w:hAnsi="Times New Roman" w:cs="Times New Roman"/>
            <w:sz w:val="24"/>
            <w:szCs w:val="24"/>
          </w:rPr>
          <w:t>mcpr@uevora.pt</w:t>
        </w:r>
      </w:hyperlink>
      <w:r w:rsidR="00BC302F" w:rsidRPr="00354D78">
        <w:rPr>
          <w:rFonts w:ascii="Times New Roman" w:hAnsi="Times New Roman" w:cs="Times New Roman"/>
          <w:sz w:val="24"/>
          <w:szCs w:val="24"/>
        </w:rPr>
        <w:t>), CEFAGE-U.E. &amp; Departamento de Economia da Universidade de Évora</w:t>
      </w:r>
    </w:p>
    <w:p w14:paraId="6BF0994F" w14:textId="77777777" w:rsidR="007B1F9E" w:rsidRPr="00354D78" w:rsidRDefault="007B1F9E" w:rsidP="00D10D1D">
      <w:pPr>
        <w:spacing w:line="360" w:lineRule="auto"/>
        <w:jc w:val="both"/>
        <w:rPr>
          <w:rFonts w:ascii="Times New Roman" w:hAnsi="Times New Roman" w:cs="Times New Roman"/>
          <w:b/>
          <w:sz w:val="24"/>
          <w:szCs w:val="24"/>
        </w:rPr>
      </w:pPr>
    </w:p>
    <w:p w14:paraId="08365F3E" w14:textId="77777777" w:rsidR="00851B3C" w:rsidRPr="00354D78" w:rsidRDefault="00851B3C" w:rsidP="00D10D1D">
      <w:pPr>
        <w:spacing w:line="360" w:lineRule="auto"/>
        <w:jc w:val="both"/>
        <w:rPr>
          <w:rFonts w:ascii="Times New Roman" w:hAnsi="Times New Roman" w:cs="Times New Roman"/>
          <w:b/>
          <w:sz w:val="24"/>
          <w:szCs w:val="24"/>
        </w:rPr>
      </w:pPr>
      <w:r w:rsidRPr="00354D78">
        <w:rPr>
          <w:rFonts w:ascii="Times New Roman" w:hAnsi="Times New Roman" w:cs="Times New Roman"/>
          <w:b/>
          <w:sz w:val="24"/>
          <w:szCs w:val="24"/>
        </w:rPr>
        <w:t>Resumo</w:t>
      </w:r>
    </w:p>
    <w:p w14:paraId="28F08499" w14:textId="77777777" w:rsidR="00B772B8" w:rsidRPr="00354D78" w:rsidRDefault="00FF6C82" w:rsidP="00D10D1D">
      <w:pPr>
        <w:autoSpaceDE w:val="0"/>
        <w:autoSpaceDN w:val="0"/>
        <w:adjustRightInd w:val="0"/>
        <w:spacing w:after="0"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A sociedade portuguesa </w:t>
      </w:r>
      <w:r w:rsidR="005674D4" w:rsidRPr="00354D78">
        <w:rPr>
          <w:rFonts w:ascii="Times New Roman" w:hAnsi="Times New Roman" w:cs="Times New Roman"/>
          <w:sz w:val="24"/>
          <w:szCs w:val="24"/>
        </w:rPr>
        <w:t xml:space="preserve">assistiu a mudanças muito acentuadas ao longo dos últimos 50 anos. Os principais acontecimentos que marcaram a cronologia histórica </w:t>
      </w:r>
      <w:r w:rsidR="00D52873" w:rsidRPr="00354D78">
        <w:rPr>
          <w:rFonts w:ascii="Times New Roman" w:hAnsi="Times New Roman" w:cs="Times New Roman"/>
          <w:sz w:val="24"/>
          <w:szCs w:val="24"/>
        </w:rPr>
        <w:t>do país</w:t>
      </w:r>
      <w:r w:rsidR="005674D4" w:rsidRPr="00354D78">
        <w:rPr>
          <w:rFonts w:ascii="Times New Roman" w:hAnsi="Times New Roman" w:cs="Times New Roman"/>
          <w:sz w:val="24"/>
          <w:szCs w:val="24"/>
        </w:rPr>
        <w:t xml:space="preserve"> foram decisivos na </w:t>
      </w:r>
      <w:r w:rsidR="00092804">
        <w:rPr>
          <w:rFonts w:ascii="Times New Roman" w:hAnsi="Times New Roman" w:cs="Times New Roman"/>
          <w:sz w:val="24"/>
          <w:szCs w:val="24"/>
        </w:rPr>
        <w:t xml:space="preserve">sua </w:t>
      </w:r>
      <w:r w:rsidR="005674D4" w:rsidRPr="00354D78">
        <w:rPr>
          <w:rFonts w:ascii="Times New Roman" w:hAnsi="Times New Roman" w:cs="Times New Roman"/>
          <w:sz w:val="24"/>
          <w:szCs w:val="24"/>
        </w:rPr>
        <w:t xml:space="preserve">evolução </w:t>
      </w:r>
      <w:r w:rsidR="00D52873" w:rsidRPr="00354D78">
        <w:rPr>
          <w:rFonts w:ascii="Times New Roman" w:hAnsi="Times New Roman" w:cs="Times New Roman"/>
          <w:sz w:val="24"/>
          <w:szCs w:val="24"/>
        </w:rPr>
        <w:t>em termos demográf</w:t>
      </w:r>
      <w:r w:rsidR="007B1F9E" w:rsidRPr="00354D78">
        <w:rPr>
          <w:rFonts w:ascii="Times New Roman" w:hAnsi="Times New Roman" w:cs="Times New Roman"/>
          <w:sz w:val="24"/>
          <w:szCs w:val="24"/>
        </w:rPr>
        <w:t>icos, sociais, económicos e polí</w:t>
      </w:r>
      <w:r w:rsidR="00D52873" w:rsidRPr="00354D78">
        <w:rPr>
          <w:rFonts w:ascii="Times New Roman" w:hAnsi="Times New Roman" w:cs="Times New Roman"/>
          <w:sz w:val="24"/>
          <w:szCs w:val="24"/>
        </w:rPr>
        <w:t>tico-insti</w:t>
      </w:r>
      <w:r w:rsidR="00851B3C" w:rsidRPr="00354D78">
        <w:rPr>
          <w:rFonts w:ascii="Times New Roman" w:hAnsi="Times New Roman" w:cs="Times New Roman"/>
          <w:sz w:val="24"/>
          <w:szCs w:val="24"/>
        </w:rPr>
        <w:t>t</w:t>
      </w:r>
      <w:r w:rsidR="00D52873" w:rsidRPr="00354D78">
        <w:rPr>
          <w:rFonts w:ascii="Times New Roman" w:hAnsi="Times New Roman" w:cs="Times New Roman"/>
          <w:sz w:val="24"/>
          <w:szCs w:val="24"/>
        </w:rPr>
        <w:t>ucionais. No que respeita ao ensino superior, Portugal conheceu alterações profundas, nomeadamente por via dos efeitos económicos, sociais e territoriais que as instituições de ensino superior provocam nos locais</w:t>
      </w:r>
      <w:r w:rsidR="003A2B98" w:rsidRPr="00354D78">
        <w:rPr>
          <w:rFonts w:ascii="Times New Roman" w:hAnsi="Times New Roman" w:cs="Times New Roman"/>
          <w:sz w:val="24"/>
          <w:szCs w:val="24"/>
        </w:rPr>
        <w:t xml:space="preserve"> </w:t>
      </w:r>
      <w:r w:rsidR="00D52873" w:rsidRPr="00354D78">
        <w:rPr>
          <w:rFonts w:ascii="Times New Roman" w:hAnsi="Times New Roman" w:cs="Times New Roman"/>
          <w:sz w:val="24"/>
          <w:szCs w:val="24"/>
        </w:rPr>
        <w:t>onde se inserem, e por via da alteração na estrutura de qualificações da população portuguesa.</w:t>
      </w:r>
      <w:r w:rsidR="003A2B98" w:rsidRPr="00354D78">
        <w:rPr>
          <w:rFonts w:ascii="Times New Roman" w:hAnsi="Times New Roman" w:cs="Times New Roman"/>
          <w:sz w:val="24"/>
          <w:szCs w:val="24"/>
        </w:rPr>
        <w:t xml:space="preserve"> </w:t>
      </w:r>
      <w:r w:rsidR="002A2822" w:rsidRPr="00354D78">
        <w:rPr>
          <w:rFonts w:ascii="Times New Roman" w:hAnsi="Times New Roman" w:cs="Times New Roman"/>
          <w:sz w:val="24"/>
          <w:szCs w:val="24"/>
        </w:rPr>
        <w:t>Mais recentemente</w:t>
      </w:r>
      <w:r w:rsidR="00092804">
        <w:rPr>
          <w:rFonts w:ascii="Times New Roman" w:hAnsi="Times New Roman" w:cs="Times New Roman"/>
          <w:sz w:val="24"/>
          <w:szCs w:val="24"/>
        </w:rPr>
        <w:t>,</w:t>
      </w:r>
      <w:r w:rsidR="002A2822" w:rsidRPr="00354D78">
        <w:rPr>
          <w:rFonts w:ascii="Times New Roman" w:hAnsi="Times New Roman" w:cs="Times New Roman"/>
          <w:sz w:val="24"/>
          <w:szCs w:val="24"/>
        </w:rPr>
        <w:t xml:space="preserve"> assist</w:t>
      </w:r>
      <w:r w:rsidR="00092804">
        <w:rPr>
          <w:rFonts w:ascii="Times New Roman" w:hAnsi="Times New Roman" w:cs="Times New Roman"/>
          <w:sz w:val="24"/>
          <w:szCs w:val="24"/>
        </w:rPr>
        <w:t>iu</w:t>
      </w:r>
      <w:r w:rsidR="002A2822" w:rsidRPr="00354D78">
        <w:rPr>
          <w:rFonts w:ascii="Times New Roman" w:hAnsi="Times New Roman" w:cs="Times New Roman"/>
          <w:sz w:val="24"/>
          <w:szCs w:val="24"/>
        </w:rPr>
        <w:t xml:space="preserve">-se </w:t>
      </w:r>
      <w:r w:rsidR="00EA1BC9" w:rsidRPr="00354D78">
        <w:rPr>
          <w:rFonts w:ascii="Times New Roman" w:hAnsi="Times New Roman" w:cs="Times New Roman"/>
          <w:sz w:val="24"/>
          <w:szCs w:val="24"/>
        </w:rPr>
        <w:t>a inequívocas alterações no estilo de vida dos portugueses</w:t>
      </w:r>
      <w:r w:rsidR="00092804">
        <w:rPr>
          <w:rFonts w:ascii="Times New Roman" w:hAnsi="Times New Roman" w:cs="Times New Roman"/>
          <w:sz w:val="24"/>
          <w:szCs w:val="24"/>
        </w:rPr>
        <w:t>,</w:t>
      </w:r>
      <w:r w:rsidR="00EA1BC9" w:rsidRPr="00354D78">
        <w:rPr>
          <w:rFonts w:ascii="Times New Roman" w:hAnsi="Times New Roman" w:cs="Times New Roman"/>
          <w:sz w:val="24"/>
          <w:szCs w:val="24"/>
        </w:rPr>
        <w:t xml:space="preserve"> decorrentes da crise económico-financeira</w:t>
      </w:r>
      <w:r w:rsidR="00DE111B" w:rsidRPr="00354D78">
        <w:rPr>
          <w:rFonts w:ascii="Times New Roman" w:hAnsi="Times New Roman" w:cs="Times New Roman"/>
          <w:sz w:val="24"/>
          <w:szCs w:val="24"/>
        </w:rPr>
        <w:t>. Estas alterações provocam efeitos</w:t>
      </w:r>
      <w:r w:rsidR="00EA1BC9" w:rsidRPr="00354D78">
        <w:rPr>
          <w:rFonts w:ascii="Times New Roman" w:hAnsi="Times New Roman" w:cs="Times New Roman"/>
          <w:sz w:val="24"/>
          <w:szCs w:val="24"/>
        </w:rPr>
        <w:t xml:space="preserve"> na procura do ensino superior</w:t>
      </w:r>
      <w:r w:rsidR="00DE111B" w:rsidRPr="00354D78">
        <w:rPr>
          <w:rFonts w:ascii="Times New Roman" w:hAnsi="Times New Roman" w:cs="Times New Roman"/>
          <w:sz w:val="24"/>
          <w:szCs w:val="24"/>
        </w:rPr>
        <w:t xml:space="preserve">, </w:t>
      </w:r>
      <w:r w:rsidR="00092804">
        <w:rPr>
          <w:rFonts w:ascii="Times New Roman" w:hAnsi="Times New Roman" w:cs="Times New Roman"/>
          <w:sz w:val="24"/>
          <w:szCs w:val="24"/>
        </w:rPr>
        <w:t>que</w:t>
      </w:r>
      <w:r w:rsidR="00EA1BC9" w:rsidRPr="00354D78">
        <w:rPr>
          <w:rFonts w:ascii="Times New Roman" w:hAnsi="Times New Roman" w:cs="Times New Roman"/>
          <w:sz w:val="24"/>
          <w:szCs w:val="24"/>
        </w:rPr>
        <w:t xml:space="preserve"> começam a tornar-se evidentes.</w:t>
      </w:r>
    </w:p>
    <w:p w14:paraId="2E1BA877" w14:textId="77777777" w:rsidR="00DE111B" w:rsidRPr="00354D78" w:rsidRDefault="003A2B98" w:rsidP="00D10D1D">
      <w:pPr>
        <w:autoSpaceDE w:val="0"/>
        <w:autoSpaceDN w:val="0"/>
        <w:adjustRightInd w:val="0"/>
        <w:spacing w:after="0"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Neste estudo </w:t>
      </w:r>
      <w:r w:rsidR="00DE111B" w:rsidRPr="00354D78">
        <w:rPr>
          <w:rFonts w:ascii="Times New Roman" w:hAnsi="Times New Roman" w:cs="Times New Roman"/>
          <w:sz w:val="24"/>
          <w:szCs w:val="24"/>
        </w:rPr>
        <w:t>discuti</w:t>
      </w:r>
      <w:r w:rsidR="00092804">
        <w:rPr>
          <w:rFonts w:ascii="Times New Roman" w:hAnsi="Times New Roman" w:cs="Times New Roman"/>
          <w:sz w:val="24"/>
          <w:szCs w:val="24"/>
        </w:rPr>
        <w:t>mos</w:t>
      </w:r>
      <w:r w:rsidR="00DE111B" w:rsidRPr="00354D78">
        <w:rPr>
          <w:rFonts w:ascii="Times New Roman" w:hAnsi="Times New Roman" w:cs="Times New Roman"/>
          <w:sz w:val="24"/>
          <w:szCs w:val="24"/>
        </w:rPr>
        <w:t xml:space="preserve">, </w:t>
      </w:r>
      <w:r w:rsidRPr="00354D78">
        <w:rPr>
          <w:rFonts w:ascii="Times New Roman" w:hAnsi="Times New Roman" w:cs="Times New Roman"/>
          <w:sz w:val="24"/>
          <w:szCs w:val="24"/>
        </w:rPr>
        <w:t>numa primeira instância</w:t>
      </w:r>
      <w:r w:rsidR="00DE111B" w:rsidRPr="00354D78">
        <w:rPr>
          <w:rFonts w:ascii="Times New Roman" w:hAnsi="Times New Roman" w:cs="Times New Roman"/>
          <w:sz w:val="24"/>
          <w:szCs w:val="24"/>
        </w:rPr>
        <w:t>,</w:t>
      </w:r>
      <w:r w:rsidRPr="00354D78">
        <w:rPr>
          <w:rFonts w:ascii="Times New Roman" w:hAnsi="Times New Roman" w:cs="Times New Roman"/>
          <w:sz w:val="24"/>
          <w:szCs w:val="24"/>
        </w:rPr>
        <w:t xml:space="preserve"> o</w:t>
      </w:r>
      <w:r w:rsidR="00B772B8" w:rsidRPr="00354D78">
        <w:rPr>
          <w:rFonts w:ascii="Times New Roman" w:hAnsi="Times New Roman" w:cs="Times New Roman"/>
          <w:sz w:val="24"/>
          <w:szCs w:val="24"/>
        </w:rPr>
        <w:t xml:space="preserve"> modo </w:t>
      </w:r>
      <w:r w:rsidRPr="00354D78">
        <w:rPr>
          <w:rFonts w:ascii="Times New Roman" w:hAnsi="Times New Roman" w:cs="Times New Roman"/>
          <w:sz w:val="24"/>
          <w:szCs w:val="24"/>
        </w:rPr>
        <w:t xml:space="preserve">como </w:t>
      </w:r>
      <w:r w:rsidR="00B772B8" w:rsidRPr="00354D78">
        <w:rPr>
          <w:rFonts w:ascii="Times New Roman" w:hAnsi="Times New Roman" w:cs="Times New Roman"/>
          <w:sz w:val="24"/>
          <w:szCs w:val="24"/>
        </w:rPr>
        <w:t>a rede</w:t>
      </w:r>
      <w:r w:rsidRPr="00354D78">
        <w:rPr>
          <w:rFonts w:ascii="Times New Roman" w:hAnsi="Times New Roman" w:cs="Times New Roman"/>
          <w:sz w:val="24"/>
          <w:szCs w:val="24"/>
        </w:rPr>
        <w:t xml:space="preserve"> </w:t>
      </w:r>
      <w:r w:rsidR="00B772B8" w:rsidRPr="00354D78">
        <w:rPr>
          <w:rFonts w:ascii="Times New Roman" w:hAnsi="Times New Roman" w:cs="Times New Roman"/>
          <w:sz w:val="24"/>
          <w:szCs w:val="24"/>
        </w:rPr>
        <w:t xml:space="preserve">de ensino superior instalada no país </w:t>
      </w:r>
      <w:r w:rsidR="00A57D33" w:rsidRPr="00354D78">
        <w:rPr>
          <w:rFonts w:ascii="Times New Roman" w:hAnsi="Times New Roman" w:cs="Times New Roman"/>
          <w:sz w:val="24"/>
          <w:szCs w:val="24"/>
        </w:rPr>
        <w:t xml:space="preserve">tem </w:t>
      </w:r>
      <w:r w:rsidR="00B772B8" w:rsidRPr="00354D78">
        <w:rPr>
          <w:rFonts w:ascii="Times New Roman" w:hAnsi="Times New Roman" w:cs="Times New Roman"/>
          <w:sz w:val="24"/>
          <w:szCs w:val="24"/>
        </w:rPr>
        <w:t>contribu</w:t>
      </w:r>
      <w:r w:rsidR="00DE111B" w:rsidRPr="00354D78">
        <w:rPr>
          <w:rFonts w:ascii="Times New Roman" w:hAnsi="Times New Roman" w:cs="Times New Roman"/>
          <w:sz w:val="24"/>
          <w:szCs w:val="24"/>
        </w:rPr>
        <w:t>í</w:t>
      </w:r>
      <w:r w:rsidR="00A57D33" w:rsidRPr="00354D78">
        <w:rPr>
          <w:rFonts w:ascii="Times New Roman" w:hAnsi="Times New Roman" w:cs="Times New Roman"/>
          <w:sz w:val="24"/>
          <w:szCs w:val="24"/>
        </w:rPr>
        <w:t>do</w:t>
      </w:r>
      <w:r w:rsidR="00B772B8" w:rsidRPr="00354D78">
        <w:rPr>
          <w:rFonts w:ascii="Times New Roman" w:hAnsi="Times New Roman" w:cs="Times New Roman"/>
          <w:sz w:val="24"/>
          <w:szCs w:val="24"/>
        </w:rPr>
        <w:t xml:space="preserve"> para a promoção da c</w:t>
      </w:r>
      <w:r w:rsidRPr="00354D78">
        <w:rPr>
          <w:rFonts w:ascii="Times New Roman" w:hAnsi="Times New Roman" w:cs="Times New Roman"/>
          <w:sz w:val="24"/>
          <w:szCs w:val="24"/>
        </w:rPr>
        <w:t xml:space="preserve">oesão social. </w:t>
      </w:r>
      <w:r w:rsidR="00DE111B" w:rsidRPr="00354D78">
        <w:rPr>
          <w:rFonts w:ascii="Times New Roman" w:hAnsi="Times New Roman" w:cs="Times New Roman"/>
          <w:sz w:val="24"/>
          <w:szCs w:val="24"/>
        </w:rPr>
        <w:t>N</w:t>
      </w:r>
      <w:r w:rsidRPr="00354D78">
        <w:rPr>
          <w:rFonts w:ascii="Times New Roman" w:hAnsi="Times New Roman" w:cs="Times New Roman"/>
          <w:sz w:val="24"/>
          <w:szCs w:val="24"/>
        </w:rPr>
        <w:t>um segundo momento</w:t>
      </w:r>
      <w:r w:rsidR="00EA1BC9" w:rsidRPr="00354D78">
        <w:rPr>
          <w:rFonts w:ascii="Times New Roman" w:hAnsi="Times New Roman" w:cs="Times New Roman"/>
          <w:sz w:val="24"/>
          <w:szCs w:val="24"/>
        </w:rPr>
        <w:t>, analisa</w:t>
      </w:r>
      <w:r w:rsidR="00092804">
        <w:rPr>
          <w:rFonts w:ascii="Times New Roman" w:hAnsi="Times New Roman" w:cs="Times New Roman"/>
          <w:sz w:val="24"/>
          <w:szCs w:val="24"/>
        </w:rPr>
        <w:t>mos</w:t>
      </w:r>
      <w:r w:rsidR="00EA1BC9" w:rsidRPr="00354D78">
        <w:rPr>
          <w:rFonts w:ascii="Times New Roman" w:hAnsi="Times New Roman" w:cs="Times New Roman"/>
          <w:sz w:val="24"/>
          <w:szCs w:val="24"/>
        </w:rPr>
        <w:t xml:space="preserve"> o acesso ao ensino superior e as suas implicações na mobilidade social</w:t>
      </w:r>
      <w:r w:rsidR="00F94866" w:rsidRPr="00354D78">
        <w:rPr>
          <w:rFonts w:ascii="Times New Roman" w:hAnsi="Times New Roman" w:cs="Times New Roman"/>
          <w:sz w:val="24"/>
          <w:szCs w:val="24"/>
        </w:rPr>
        <w:t xml:space="preserve"> dos portugueses, a partir das estatísticas disponíveis sobre as dimensões de análise selecionadas para o efeito.</w:t>
      </w:r>
      <w:r w:rsidR="00DE111B" w:rsidRPr="00354D78">
        <w:rPr>
          <w:rFonts w:ascii="Times New Roman" w:hAnsi="Times New Roman" w:cs="Times New Roman"/>
          <w:sz w:val="24"/>
          <w:szCs w:val="24"/>
        </w:rPr>
        <w:t xml:space="preserve"> </w:t>
      </w:r>
      <w:r w:rsidR="00F94866" w:rsidRPr="00354D78">
        <w:rPr>
          <w:rFonts w:ascii="Times New Roman" w:hAnsi="Times New Roman" w:cs="Times New Roman"/>
          <w:sz w:val="24"/>
          <w:szCs w:val="24"/>
        </w:rPr>
        <w:t>Os trabalhos desenvolvidos permitem-</w:t>
      </w:r>
      <w:r w:rsidR="00F94866" w:rsidRPr="00354D78">
        <w:rPr>
          <w:rFonts w:ascii="Times New Roman" w:hAnsi="Times New Roman" w:cs="Times New Roman"/>
          <w:sz w:val="24"/>
          <w:szCs w:val="24"/>
        </w:rPr>
        <w:lastRenderedPageBreak/>
        <w:t>nos concluir que</w:t>
      </w:r>
      <w:r w:rsidR="00092804">
        <w:rPr>
          <w:rFonts w:ascii="Times New Roman" w:hAnsi="Times New Roman" w:cs="Times New Roman"/>
          <w:sz w:val="24"/>
          <w:szCs w:val="24"/>
        </w:rPr>
        <w:t>,</w:t>
      </w:r>
      <w:r w:rsidR="00F94866" w:rsidRPr="00354D78">
        <w:rPr>
          <w:rFonts w:ascii="Times New Roman" w:hAnsi="Times New Roman" w:cs="Times New Roman"/>
          <w:sz w:val="24"/>
          <w:szCs w:val="24"/>
        </w:rPr>
        <w:t xml:space="preserve"> apesar da distribuição de instituições de ensino superior por todo o país, o acesso a este nível de ensino tende a ser feito por jovens maioritariamente filhos de pais diplomados, indiciando desde logo uma tendência para uma baixa mobilidade social por esta via. </w:t>
      </w:r>
    </w:p>
    <w:p w14:paraId="761AB09F" w14:textId="77777777" w:rsidR="00F94866" w:rsidRPr="00354D78" w:rsidRDefault="00DE111B" w:rsidP="00D10D1D">
      <w:pPr>
        <w:autoSpaceDE w:val="0"/>
        <w:autoSpaceDN w:val="0"/>
        <w:adjustRightInd w:val="0"/>
        <w:spacing w:after="0" w:line="360" w:lineRule="auto"/>
        <w:jc w:val="both"/>
        <w:rPr>
          <w:rFonts w:ascii="Times New Roman" w:hAnsi="Times New Roman" w:cs="Times New Roman"/>
          <w:sz w:val="24"/>
          <w:szCs w:val="24"/>
        </w:rPr>
      </w:pPr>
      <w:r w:rsidRPr="00354D78">
        <w:rPr>
          <w:rFonts w:ascii="Times New Roman" w:hAnsi="Times New Roman" w:cs="Times New Roman"/>
          <w:sz w:val="24"/>
          <w:szCs w:val="24"/>
        </w:rPr>
        <w:t>Complementarmente, propomo-nos</w:t>
      </w:r>
      <w:r w:rsidR="00F94866" w:rsidRPr="00354D78">
        <w:rPr>
          <w:rFonts w:ascii="Times New Roman" w:hAnsi="Times New Roman" w:cs="Times New Roman"/>
          <w:sz w:val="24"/>
          <w:szCs w:val="24"/>
        </w:rPr>
        <w:t xml:space="preserve"> perceber de que modo Portugal se distingue de outros países</w:t>
      </w:r>
      <w:r w:rsidRPr="00354D78">
        <w:rPr>
          <w:rFonts w:ascii="Times New Roman" w:hAnsi="Times New Roman" w:cs="Times New Roman"/>
          <w:sz w:val="24"/>
          <w:szCs w:val="24"/>
        </w:rPr>
        <w:t>,</w:t>
      </w:r>
      <w:r w:rsidR="00F94866" w:rsidRPr="00354D78">
        <w:rPr>
          <w:rFonts w:ascii="Times New Roman" w:hAnsi="Times New Roman" w:cs="Times New Roman"/>
          <w:sz w:val="24"/>
          <w:szCs w:val="24"/>
        </w:rPr>
        <w:t xml:space="preserve"> </w:t>
      </w:r>
      <w:r w:rsidRPr="00354D78">
        <w:rPr>
          <w:rFonts w:ascii="Times New Roman" w:hAnsi="Times New Roman" w:cs="Times New Roman"/>
          <w:sz w:val="24"/>
          <w:szCs w:val="24"/>
        </w:rPr>
        <w:t>n</w:t>
      </w:r>
      <w:r w:rsidR="00CB153E" w:rsidRPr="00354D78">
        <w:rPr>
          <w:rFonts w:ascii="Times New Roman" w:hAnsi="Times New Roman" w:cs="Times New Roman"/>
          <w:sz w:val="24"/>
          <w:szCs w:val="24"/>
        </w:rPr>
        <w:t>esta matéria</w:t>
      </w:r>
      <w:r w:rsidRPr="00354D78">
        <w:rPr>
          <w:rFonts w:ascii="Times New Roman" w:hAnsi="Times New Roman" w:cs="Times New Roman"/>
          <w:sz w:val="24"/>
          <w:szCs w:val="24"/>
        </w:rPr>
        <w:t>.</w:t>
      </w:r>
      <w:r w:rsidR="00F94866" w:rsidRPr="00354D78">
        <w:rPr>
          <w:rFonts w:ascii="Times New Roman" w:hAnsi="Times New Roman" w:cs="Times New Roman"/>
          <w:sz w:val="24"/>
          <w:szCs w:val="24"/>
        </w:rPr>
        <w:t xml:space="preserve"> </w:t>
      </w:r>
      <w:r w:rsidRPr="00354D78">
        <w:rPr>
          <w:rFonts w:ascii="Times New Roman" w:hAnsi="Times New Roman" w:cs="Times New Roman"/>
          <w:sz w:val="24"/>
          <w:szCs w:val="24"/>
        </w:rPr>
        <w:t>Dado que as condições de vida das famílias são determinantes para o acesso e permanência no ensino superior, com este estudo visamos ainda</w:t>
      </w:r>
      <w:r w:rsidR="00CB153E" w:rsidRPr="00354D78">
        <w:rPr>
          <w:rFonts w:ascii="Times New Roman" w:hAnsi="Times New Roman" w:cs="Times New Roman"/>
          <w:sz w:val="24"/>
          <w:szCs w:val="24"/>
        </w:rPr>
        <w:t xml:space="preserve"> </w:t>
      </w:r>
      <w:r w:rsidRPr="00354D78">
        <w:rPr>
          <w:rFonts w:ascii="Times New Roman" w:hAnsi="Times New Roman" w:cs="Times New Roman"/>
          <w:sz w:val="24"/>
          <w:szCs w:val="24"/>
        </w:rPr>
        <w:t xml:space="preserve">discutir </w:t>
      </w:r>
      <w:r w:rsidR="00CB153E" w:rsidRPr="00354D78">
        <w:rPr>
          <w:rFonts w:ascii="Times New Roman" w:hAnsi="Times New Roman" w:cs="Times New Roman"/>
          <w:sz w:val="24"/>
          <w:szCs w:val="24"/>
        </w:rPr>
        <w:t xml:space="preserve">a influência do aumento nos custos </w:t>
      </w:r>
      <w:r w:rsidRPr="00354D78">
        <w:rPr>
          <w:rFonts w:ascii="Times New Roman" w:hAnsi="Times New Roman" w:cs="Times New Roman"/>
          <w:sz w:val="24"/>
          <w:szCs w:val="24"/>
        </w:rPr>
        <w:t xml:space="preserve">de frequência </w:t>
      </w:r>
      <w:r w:rsidR="00CB153E" w:rsidRPr="00354D78">
        <w:rPr>
          <w:rFonts w:ascii="Times New Roman" w:hAnsi="Times New Roman" w:cs="Times New Roman"/>
          <w:sz w:val="24"/>
          <w:szCs w:val="24"/>
        </w:rPr>
        <w:t>do ensino superior (p</w:t>
      </w:r>
      <w:r w:rsidRPr="00354D78">
        <w:rPr>
          <w:rFonts w:ascii="Times New Roman" w:hAnsi="Times New Roman" w:cs="Times New Roman"/>
          <w:sz w:val="24"/>
          <w:szCs w:val="24"/>
        </w:rPr>
        <w:t>or</w:t>
      </w:r>
      <w:r w:rsidR="00CB153E" w:rsidRPr="00354D78">
        <w:rPr>
          <w:rFonts w:ascii="Times New Roman" w:hAnsi="Times New Roman" w:cs="Times New Roman"/>
          <w:sz w:val="24"/>
          <w:szCs w:val="24"/>
        </w:rPr>
        <w:t xml:space="preserve"> via das propinas e do apoio social) na composição social dos jovens que frequentam as instituições de ensino superior em Portugal e</w:t>
      </w:r>
      <w:r w:rsidR="00092804">
        <w:rPr>
          <w:rFonts w:ascii="Times New Roman" w:hAnsi="Times New Roman" w:cs="Times New Roman"/>
          <w:sz w:val="24"/>
          <w:szCs w:val="24"/>
        </w:rPr>
        <w:t>,</w:t>
      </w:r>
      <w:r w:rsidR="00CB153E" w:rsidRPr="00354D78">
        <w:rPr>
          <w:rFonts w:ascii="Times New Roman" w:hAnsi="Times New Roman" w:cs="Times New Roman"/>
          <w:sz w:val="24"/>
          <w:szCs w:val="24"/>
        </w:rPr>
        <w:t xml:space="preserve"> consequentemente</w:t>
      </w:r>
      <w:r w:rsidR="00092804">
        <w:rPr>
          <w:rFonts w:ascii="Times New Roman" w:hAnsi="Times New Roman" w:cs="Times New Roman"/>
          <w:sz w:val="24"/>
          <w:szCs w:val="24"/>
        </w:rPr>
        <w:t>,</w:t>
      </w:r>
      <w:r w:rsidR="00CB153E" w:rsidRPr="00354D78">
        <w:rPr>
          <w:rFonts w:ascii="Times New Roman" w:hAnsi="Times New Roman" w:cs="Times New Roman"/>
          <w:sz w:val="24"/>
          <w:szCs w:val="24"/>
        </w:rPr>
        <w:t xml:space="preserve"> na deterioração da coesão social.</w:t>
      </w:r>
    </w:p>
    <w:p w14:paraId="78F6CA54" w14:textId="77777777" w:rsidR="00A14B96" w:rsidRPr="00354D78" w:rsidRDefault="00A14B96" w:rsidP="00D10D1D">
      <w:pPr>
        <w:autoSpaceDE w:val="0"/>
        <w:autoSpaceDN w:val="0"/>
        <w:adjustRightInd w:val="0"/>
        <w:spacing w:after="0" w:line="360" w:lineRule="auto"/>
        <w:jc w:val="both"/>
        <w:rPr>
          <w:rFonts w:ascii="Times New Roman" w:hAnsi="Times New Roman" w:cs="Times New Roman"/>
          <w:sz w:val="24"/>
          <w:szCs w:val="24"/>
        </w:rPr>
      </w:pPr>
    </w:p>
    <w:p w14:paraId="2EBD0169" w14:textId="77777777" w:rsidR="00B772B8" w:rsidRPr="00354D78" w:rsidRDefault="00B772B8" w:rsidP="00D10D1D">
      <w:pPr>
        <w:autoSpaceDE w:val="0"/>
        <w:autoSpaceDN w:val="0"/>
        <w:adjustRightInd w:val="0"/>
        <w:spacing w:after="0" w:line="360" w:lineRule="auto"/>
        <w:ind w:left="1843" w:hanging="1985"/>
        <w:jc w:val="both"/>
        <w:rPr>
          <w:rFonts w:ascii="Times New Roman" w:hAnsi="Times New Roman" w:cs="Times New Roman"/>
          <w:sz w:val="24"/>
          <w:szCs w:val="24"/>
        </w:rPr>
      </w:pPr>
      <w:r w:rsidRPr="00354D78">
        <w:rPr>
          <w:rFonts w:ascii="Times New Roman" w:hAnsi="Times New Roman" w:cs="Times New Roman"/>
          <w:b/>
          <w:sz w:val="24"/>
          <w:szCs w:val="24"/>
        </w:rPr>
        <w:t>Palavras – chave</w:t>
      </w:r>
      <w:r w:rsidRPr="00354D78">
        <w:rPr>
          <w:rFonts w:ascii="Times New Roman" w:hAnsi="Times New Roman" w:cs="Times New Roman"/>
          <w:sz w:val="24"/>
          <w:szCs w:val="24"/>
        </w:rPr>
        <w:t xml:space="preserve">: </w:t>
      </w:r>
      <w:r w:rsidR="00851B3C" w:rsidRPr="00354D78">
        <w:rPr>
          <w:rFonts w:ascii="Times New Roman" w:hAnsi="Times New Roman" w:cs="Times New Roman"/>
          <w:sz w:val="24"/>
          <w:szCs w:val="24"/>
        </w:rPr>
        <w:t xml:space="preserve">Acesso ao ensino superior; </w:t>
      </w:r>
      <w:r w:rsidRPr="00354D78">
        <w:rPr>
          <w:rFonts w:ascii="Times New Roman" w:hAnsi="Times New Roman" w:cs="Times New Roman"/>
          <w:sz w:val="24"/>
          <w:szCs w:val="24"/>
        </w:rPr>
        <w:t>Coesão social; Desenvolvimento territorial;</w:t>
      </w:r>
      <w:r w:rsidR="00737A22" w:rsidRPr="00354D78">
        <w:rPr>
          <w:rFonts w:ascii="Times New Roman" w:hAnsi="Times New Roman" w:cs="Times New Roman"/>
          <w:sz w:val="24"/>
          <w:szCs w:val="24"/>
        </w:rPr>
        <w:t xml:space="preserve"> </w:t>
      </w:r>
      <w:r w:rsidR="00A57D33" w:rsidRPr="00354D78">
        <w:rPr>
          <w:rFonts w:ascii="Times New Roman" w:hAnsi="Times New Roman" w:cs="Times New Roman"/>
          <w:sz w:val="24"/>
          <w:szCs w:val="24"/>
        </w:rPr>
        <w:t>Instituições de Ensino Superior;</w:t>
      </w:r>
      <w:r w:rsidRPr="00354D78">
        <w:rPr>
          <w:rFonts w:ascii="Times New Roman" w:hAnsi="Times New Roman" w:cs="Times New Roman"/>
          <w:sz w:val="24"/>
          <w:szCs w:val="24"/>
        </w:rPr>
        <w:t xml:space="preserve"> </w:t>
      </w:r>
      <w:r w:rsidR="00737A22" w:rsidRPr="00354D78">
        <w:rPr>
          <w:rFonts w:ascii="Times New Roman" w:hAnsi="Times New Roman" w:cs="Times New Roman"/>
          <w:sz w:val="24"/>
          <w:szCs w:val="24"/>
        </w:rPr>
        <w:t>Mobilidade social</w:t>
      </w:r>
    </w:p>
    <w:p w14:paraId="23EBED97" w14:textId="77777777" w:rsidR="00D10D1D" w:rsidRPr="00354D78" w:rsidRDefault="00D10D1D" w:rsidP="00D10D1D">
      <w:pPr>
        <w:autoSpaceDE w:val="0"/>
        <w:autoSpaceDN w:val="0"/>
        <w:adjustRightInd w:val="0"/>
        <w:spacing w:after="0" w:line="360" w:lineRule="auto"/>
        <w:ind w:left="1843" w:hanging="1985"/>
        <w:jc w:val="both"/>
        <w:rPr>
          <w:rFonts w:ascii="Times New Roman" w:hAnsi="Times New Roman" w:cs="Times New Roman"/>
          <w:sz w:val="24"/>
          <w:szCs w:val="24"/>
        </w:rPr>
      </w:pPr>
    </w:p>
    <w:p w14:paraId="2D068888" w14:textId="77777777" w:rsidR="00D10D1D" w:rsidRPr="00354D78" w:rsidRDefault="00D10D1D" w:rsidP="00D10D1D">
      <w:pPr>
        <w:autoSpaceDE w:val="0"/>
        <w:autoSpaceDN w:val="0"/>
        <w:adjustRightInd w:val="0"/>
        <w:spacing w:after="0" w:line="360" w:lineRule="auto"/>
        <w:rPr>
          <w:rFonts w:ascii="Times New Roman" w:hAnsi="Times New Roman" w:cs="Times New Roman"/>
          <w:b/>
          <w:bCs/>
          <w:color w:val="000000"/>
          <w:sz w:val="24"/>
          <w:szCs w:val="24"/>
        </w:rPr>
      </w:pPr>
    </w:p>
    <w:p w14:paraId="6EB0989A" w14:textId="77777777" w:rsidR="00D10D1D" w:rsidRPr="00354D78" w:rsidRDefault="00D10D1D" w:rsidP="00D10D1D">
      <w:pPr>
        <w:spacing w:line="360" w:lineRule="auto"/>
        <w:rPr>
          <w:rFonts w:ascii="Times New Roman" w:hAnsi="Times New Roman" w:cs="Times New Roman"/>
          <w:b/>
          <w:sz w:val="24"/>
          <w:szCs w:val="24"/>
        </w:rPr>
      </w:pPr>
      <w:r w:rsidRPr="00354D78">
        <w:rPr>
          <w:rFonts w:ascii="Times New Roman" w:hAnsi="Times New Roman" w:cs="Times New Roman"/>
          <w:b/>
          <w:sz w:val="24"/>
          <w:szCs w:val="24"/>
        </w:rPr>
        <w:t>Introdução</w:t>
      </w:r>
    </w:p>
    <w:p w14:paraId="07DB4BED" w14:textId="77777777" w:rsidR="00D10D1D" w:rsidRPr="00354D78" w:rsidRDefault="00092804" w:rsidP="00D10D1D">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D10D1D" w:rsidRPr="00354D78">
        <w:rPr>
          <w:rFonts w:ascii="Times New Roman" w:hAnsi="Times New Roman" w:cs="Times New Roman"/>
          <w:sz w:val="24"/>
          <w:szCs w:val="24"/>
        </w:rPr>
        <w:t xml:space="preserve"> evidência empírica </w:t>
      </w:r>
      <w:r>
        <w:rPr>
          <w:rFonts w:ascii="Times New Roman" w:hAnsi="Times New Roman" w:cs="Times New Roman"/>
          <w:sz w:val="24"/>
          <w:szCs w:val="24"/>
        </w:rPr>
        <w:t>sugere que</w:t>
      </w:r>
      <w:r w:rsidR="00D10D1D" w:rsidRPr="00354D78">
        <w:rPr>
          <w:rFonts w:ascii="Times New Roman" w:hAnsi="Times New Roman" w:cs="Times New Roman"/>
          <w:sz w:val="24"/>
          <w:szCs w:val="24"/>
        </w:rPr>
        <w:t xml:space="preserve"> países e regiões com níveis de desenvolvimento mais elevados são também os territórios onde se registam os maiores níveis de coesão. Cumulativamente</w:t>
      </w:r>
      <w:r>
        <w:rPr>
          <w:rFonts w:ascii="Times New Roman" w:hAnsi="Times New Roman" w:cs="Times New Roman"/>
          <w:sz w:val="24"/>
          <w:szCs w:val="24"/>
        </w:rPr>
        <w:t>,</w:t>
      </w:r>
      <w:r w:rsidR="00D10D1D" w:rsidRPr="00354D78">
        <w:rPr>
          <w:rFonts w:ascii="Times New Roman" w:hAnsi="Times New Roman" w:cs="Times New Roman"/>
          <w:sz w:val="24"/>
          <w:szCs w:val="24"/>
        </w:rPr>
        <w:t xml:space="preserve"> é nestes locais que se registam também os níveis de escolarização mais elevados, tornando por isso evidente a </w:t>
      </w:r>
      <w:r>
        <w:rPr>
          <w:rFonts w:ascii="Times New Roman" w:hAnsi="Times New Roman" w:cs="Times New Roman"/>
          <w:sz w:val="24"/>
          <w:szCs w:val="24"/>
        </w:rPr>
        <w:t>existência de uma cor</w:t>
      </w:r>
      <w:r w:rsidR="00D10D1D" w:rsidRPr="00354D78">
        <w:rPr>
          <w:rFonts w:ascii="Times New Roman" w:hAnsi="Times New Roman" w:cs="Times New Roman"/>
          <w:sz w:val="24"/>
          <w:szCs w:val="24"/>
        </w:rPr>
        <w:t xml:space="preserve">relação positiva entre educação, desenvolvimento e coesão. A obtenção de melhores níveis de escolarização pode ser um meio de alcançar a mobilidade social. Neste caso, a escola, </w:t>
      </w:r>
      <w:r>
        <w:rPr>
          <w:rFonts w:ascii="Times New Roman" w:hAnsi="Times New Roman" w:cs="Times New Roman"/>
          <w:sz w:val="24"/>
          <w:szCs w:val="24"/>
        </w:rPr>
        <w:t>n</w:t>
      </w:r>
      <w:r w:rsidR="00D10D1D" w:rsidRPr="00354D78">
        <w:rPr>
          <w:rFonts w:ascii="Times New Roman" w:hAnsi="Times New Roman" w:cs="Times New Roman"/>
          <w:sz w:val="24"/>
          <w:szCs w:val="24"/>
        </w:rPr>
        <w:t xml:space="preserve">os seus vários níveis, sobretudo através do ensino superior, potencia a mobilidade social dos indivíduos, na medida em que melhora a respectiva qualificação e permite uma integração no mercado de trabalho com remunerações mais elevadas. </w:t>
      </w:r>
    </w:p>
    <w:p w14:paraId="02FC7FDE" w14:textId="77777777" w:rsidR="00D10D1D" w:rsidRPr="0037653D" w:rsidRDefault="00D10D1D" w:rsidP="0037653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A mobilidade social pode ser conseguida através de factores financeiros (aumento da riqueza pessoal), factores sociais (integração num grupo social mais elevado, através do casamento</w:t>
      </w:r>
      <w:r w:rsidR="00092804">
        <w:rPr>
          <w:rFonts w:ascii="Times New Roman" w:hAnsi="Times New Roman" w:cs="Times New Roman"/>
          <w:sz w:val="24"/>
          <w:szCs w:val="24"/>
        </w:rPr>
        <w:t>,</w:t>
      </w:r>
      <w:r w:rsidRPr="00354D78">
        <w:rPr>
          <w:rFonts w:ascii="Times New Roman" w:hAnsi="Times New Roman" w:cs="Times New Roman"/>
          <w:sz w:val="24"/>
          <w:szCs w:val="24"/>
        </w:rPr>
        <w:t xml:space="preserve"> por exemplo), factores de exposição pública (assumir um cargo político relevante, por exemplo, ou atingir o estatuto de 'celebridade' nos media), ou através da formação (obtenção de um </w:t>
      </w:r>
      <w:r w:rsidR="00092804">
        <w:rPr>
          <w:rFonts w:ascii="Times New Roman" w:hAnsi="Times New Roman" w:cs="Times New Roman"/>
          <w:sz w:val="24"/>
          <w:szCs w:val="24"/>
        </w:rPr>
        <w:t xml:space="preserve">diploma de </w:t>
      </w:r>
      <w:r w:rsidRPr="00354D78">
        <w:rPr>
          <w:rFonts w:ascii="Times New Roman" w:hAnsi="Times New Roman" w:cs="Times New Roman"/>
          <w:sz w:val="24"/>
          <w:szCs w:val="24"/>
        </w:rPr>
        <w:t>curso superior). Este artigo analisa este último efeito no caso de Portugal e a forma como é potencialmente afectado pelas políticas públicas de acesso ao ensino superior. Embora</w:t>
      </w:r>
      <w:r w:rsidR="009039D5">
        <w:rPr>
          <w:rFonts w:ascii="Times New Roman" w:hAnsi="Times New Roman" w:cs="Times New Roman"/>
          <w:sz w:val="24"/>
          <w:szCs w:val="24"/>
        </w:rPr>
        <w:t>,</w:t>
      </w:r>
      <w:r w:rsidRPr="00354D78">
        <w:rPr>
          <w:rFonts w:ascii="Times New Roman" w:hAnsi="Times New Roman" w:cs="Times New Roman"/>
          <w:sz w:val="24"/>
          <w:szCs w:val="24"/>
        </w:rPr>
        <w:t xml:space="preserve"> </w:t>
      </w:r>
      <w:r w:rsidR="009039D5">
        <w:rPr>
          <w:rFonts w:ascii="Times New Roman" w:hAnsi="Times New Roman" w:cs="Times New Roman"/>
          <w:sz w:val="24"/>
          <w:szCs w:val="24"/>
        </w:rPr>
        <w:t xml:space="preserve">com é dito, </w:t>
      </w:r>
      <w:r w:rsidRPr="00354D78">
        <w:rPr>
          <w:rFonts w:ascii="Times New Roman" w:hAnsi="Times New Roman" w:cs="Times New Roman"/>
          <w:sz w:val="24"/>
          <w:szCs w:val="24"/>
        </w:rPr>
        <w:t xml:space="preserve">a educação, e </w:t>
      </w:r>
      <w:r w:rsidRPr="00354D78">
        <w:rPr>
          <w:rFonts w:ascii="Times New Roman" w:hAnsi="Times New Roman" w:cs="Times New Roman"/>
          <w:sz w:val="24"/>
          <w:szCs w:val="24"/>
        </w:rPr>
        <w:lastRenderedPageBreak/>
        <w:t>designadamente o acesso ao ensino superior, não seja o único factor de mobilidade social, pode indirectamente influenciar todos os outros acima referidos.</w:t>
      </w:r>
    </w:p>
    <w:p w14:paraId="2BC2270A" w14:textId="77777777" w:rsidR="00D10D1D" w:rsidRPr="00354D78" w:rsidRDefault="00D10D1D" w:rsidP="00D10D1D">
      <w:pPr>
        <w:pStyle w:val="ListParagraph"/>
        <w:numPr>
          <w:ilvl w:val="0"/>
          <w:numId w:val="1"/>
        </w:numPr>
        <w:spacing w:line="360" w:lineRule="auto"/>
        <w:rPr>
          <w:rFonts w:ascii="Times New Roman" w:hAnsi="Times New Roman" w:cs="Times New Roman"/>
          <w:b/>
          <w:sz w:val="24"/>
          <w:szCs w:val="24"/>
        </w:rPr>
      </w:pPr>
      <w:r w:rsidRPr="00354D78">
        <w:rPr>
          <w:rFonts w:ascii="Times New Roman" w:hAnsi="Times New Roman" w:cs="Times New Roman"/>
          <w:b/>
          <w:sz w:val="24"/>
          <w:szCs w:val="24"/>
        </w:rPr>
        <w:t>Rede de ensino superior e coesão social</w:t>
      </w:r>
    </w:p>
    <w:p w14:paraId="526077BC" w14:textId="77777777" w:rsidR="00951AC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Como a bibliografia refere, as sociedades mais desenvolvidas são também mais coesas – no sentido em que apresentam menores assimetrias -, e em simultâneo, são aquelas onde os níveis de escolarização da população são mais elevados. Melhores níveis de escolarização, sobretudo no âmbito do ensino superior são, em sociedades desenvolvidas, o caminho que permite obter melhores níveis de qualidade de vida, melhores rendimentos, potencia</w:t>
      </w:r>
      <w:r w:rsidR="009039D5">
        <w:rPr>
          <w:rFonts w:ascii="Times New Roman" w:hAnsi="Times New Roman" w:cs="Times New Roman"/>
          <w:sz w:val="24"/>
          <w:szCs w:val="24"/>
        </w:rPr>
        <w:t>ndo assim</w:t>
      </w:r>
      <w:r w:rsidRPr="00354D78">
        <w:rPr>
          <w:rFonts w:ascii="Times New Roman" w:hAnsi="Times New Roman" w:cs="Times New Roman"/>
          <w:sz w:val="24"/>
          <w:szCs w:val="24"/>
        </w:rPr>
        <w:t xml:space="preserve"> a mobilidade social. </w:t>
      </w:r>
    </w:p>
    <w:p w14:paraId="59DE549E"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Assim, vejamos de que modo o ensino superior pode contribuir para a melhor</w:t>
      </w:r>
      <w:r w:rsidR="00951AC8">
        <w:rPr>
          <w:rFonts w:ascii="Times New Roman" w:hAnsi="Times New Roman" w:cs="Times New Roman"/>
          <w:sz w:val="24"/>
          <w:szCs w:val="24"/>
        </w:rPr>
        <w:t xml:space="preserve">ia da coesão económica e social. </w:t>
      </w:r>
      <w:r w:rsidRPr="00354D78">
        <w:rPr>
          <w:rFonts w:ascii="Times New Roman" w:hAnsi="Times New Roman" w:cs="Times New Roman"/>
          <w:sz w:val="24"/>
          <w:szCs w:val="24"/>
        </w:rPr>
        <w:t>Quando procuramos um definição de ‘coesão’, encontramos termos como ‘união’, ‘harmonia’ ou ‘equilíbrio’ os quais, no fundamental</w:t>
      </w:r>
      <w:r w:rsidR="009039D5">
        <w:rPr>
          <w:rFonts w:ascii="Times New Roman" w:hAnsi="Times New Roman" w:cs="Times New Roman"/>
          <w:sz w:val="24"/>
          <w:szCs w:val="24"/>
        </w:rPr>
        <w:t>,</w:t>
      </w:r>
      <w:r w:rsidRPr="00354D78">
        <w:rPr>
          <w:rFonts w:ascii="Times New Roman" w:hAnsi="Times New Roman" w:cs="Times New Roman"/>
          <w:sz w:val="24"/>
          <w:szCs w:val="24"/>
        </w:rPr>
        <w:t xml:space="preserve"> sugerem que sociedades, ambientes mais coesos são contextos caracterizados por menores níveis de assimetrias. </w:t>
      </w:r>
    </w:p>
    <w:p w14:paraId="41610BC3" w14:textId="77777777" w:rsidR="00D10D1D" w:rsidRPr="00354D78" w:rsidRDefault="00D10D1D" w:rsidP="00D10D1D">
      <w:pPr>
        <w:shd w:val="clear" w:color="auto" w:fill="FFFFFF"/>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 xml:space="preserve">O papel das instituições de ensino superior (IES)  é fundamental na construção de um ambiente mais propício à melhoria dos indicadores de desenvolvimento e de coesão, nos países e nas regiões. Esse papel é reconhecido pelas próprias instituições (OCDE, 2007b): enquanto no passado as IES se limitavam a exercer as funções de ensino e investigação cumprindo o seu papel no âmbito do sistema ensino dos diversos países, na atualidade as suas funções evoluíram e vão mais além do que ensinar e investigar. De facto, a ligação com as entidades que se localizam no território passa a ser determinante através de mecanismos diversos, entre os quais a aprendizagem ao longo da vida ou a formação de graduados com níveis elevados de conhecimentos para o mercado de trabalho local, melhorando o capital humano dos territórios. </w:t>
      </w:r>
    </w:p>
    <w:p w14:paraId="430D13ED" w14:textId="77777777" w:rsidR="00D10D1D" w:rsidRPr="00951AC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Na tabela 1 sintetizamos o conjunto de variáveis, propostas por distintas organizações internacionais</w:t>
      </w:r>
      <w:r w:rsidR="009039D5">
        <w:rPr>
          <w:rFonts w:ascii="Times New Roman" w:hAnsi="Times New Roman" w:cs="Times New Roman"/>
          <w:sz w:val="24"/>
          <w:szCs w:val="24"/>
        </w:rPr>
        <w:t>,</w:t>
      </w:r>
      <w:r w:rsidRPr="00354D78">
        <w:rPr>
          <w:rFonts w:ascii="Times New Roman" w:hAnsi="Times New Roman" w:cs="Times New Roman"/>
          <w:sz w:val="24"/>
          <w:szCs w:val="24"/>
        </w:rPr>
        <w:t xml:space="preserve"> e </w:t>
      </w:r>
      <w:r w:rsidR="009039D5">
        <w:rPr>
          <w:rFonts w:ascii="Times New Roman" w:hAnsi="Times New Roman" w:cs="Times New Roman"/>
          <w:sz w:val="24"/>
          <w:szCs w:val="24"/>
        </w:rPr>
        <w:t xml:space="preserve">por </w:t>
      </w:r>
      <w:r w:rsidRPr="00354D78">
        <w:rPr>
          <w:rFonts w:ascii="Times New Roman" w:hAnsi="Times New Roman" w:cs="Times New Roman"/>
          <w:sz w:val="24"/>
          <w:szCs w:val="24"/>
        </w:rPr>
        <w:t>investigadores</w:t>
      </w:r>
      <w:r w:rsidR="009039D5">
        <w:rPr>
          <w:rFonts w:ascii="Times New Roman" w:hAnsi="Times New Roman" w:cs="Times New Roman"/>
          <w:sz w:val="24"/>
          <w:szCs w:val="24"/>
        </w:rPr>
        <w:t>,</w:t>
      </w:r>
      <w:r w:rsidRPr="00354D78">
        <w:rPr>
          <w:rFonts w:ascii="Times New Roman" w:hAnsi="Times New Roman" w:cs="Times New Roman"/>
          <w:sz w:val="24"/>
          <w:szCs w:val="24"/>
        </w:rPr>
        <w:t xml:space="preserve"> com vista à explicação dos níveis de coesão. Além dos indicadores evidenciados na tabela 1</w:t>
      </w:r>
      <w:r w:rsidR="009039D5">
        <w:rPr>
          <w:rFonts w:ascii="Times New Roman" w:hAnsi="Times New Roman" w:cs="Times New Roman"/>
          <w:sz w:val="24"/>
          <w:szCs w:val="24"/>
        </w:rPr>
        <w:t>,</w:t>
      </w:r>
      <w:r w:rsidRPr="00354D78">
        <w:rPr>
          <w:rFonts w:ascii="Times New Roman" w:hAnsi="Times New Roman" w:cs="Times New Roman"/>
          <w:sz w:val="24"/>
          <w:szCs w:val="24"/>
        </w:rPr>
        <w:t xml:space="preserve"> é importante destacar que o Banco Mundial, adoptando a defesa do cumprimento dos Objectivos do Milénio, os quais preconizam  que todas as crianças, em 2015, possam frequentar o sistema educativo, apresentou a estratégia denominada ‘</w:t>
      </w:r>
      <w:proofErr w:type="spellStart"/>
      <w:r w:rsidRPr="00354D78">
        <w:rPr>
          <w:rFonts w:ascii="Times New Roman" w:hAnsi="Times New Roman" w:cs="Times New Roman"/>
          <w:sz w:val="24"/>
          <w:szCs w:val="24"/>
        </w:rPr>
        <w:t>Learning</w:t>
      </w:r>
      <w:proofErr w:type="spellEnd"/>
      <w:r w:rsidRPr="00354D78">
        <w:rPr>
          <w:rFonts w:ascii="Times New Roman" w:hAnsi="Times New Roman" w:cs="Times New Roman"/>
          <w:sz w:val="24"/>
          <w:szCs w:val="24"/>
        </w:rPr>
        <w:t xml:space="preserve"> for </w:t>
      </w:r>
      <w:proofErr w:type="spellStart"/>
      <w:r w:rsidRPr="00354D78">
        <w:rPr>
          <w:rFonts w:ascii="Times New Roman" w:hAnsi="Times New Roman" w:cs="Times New Roman"/>
          <w:sz w:val="24"/>
          <w:szCs w:val="24"/>
        </w:rPr>
        <w:t>all</w:t>
      </w:r>
      <w:proofErr w:type="spellEnd"/>
      <w:r w:rsidRPr="00354D78">
        <w:rPr>
          <w:rFonts w:ascii="Times New Roman" w:hAnsi="Times New Roman" w:cs="Times New Roman"/>
          <w:sz w:val="24"/>
          <w:szCs w:val="24"/>
        </w:rPr>
        <w:t xml:space="preserve">’. Para o horizonte 2020 preconiza-se que todos os indivíduos tenham acesso à aprendizagem ou seja, admite-se que as sociedades evoluam no sentido de privilegiar os atributos da denominada </w:t>
      </w:r>
      <w:proofErr w:type="spellStart"/>
      <w:r w:rsidRPr="00354D78">
        <w:rPr>
          <w:rFonts w:ascii="Times New Roman" w:hAnsi="Times New Roman" w:cs="Times New Roman"/>
          <w:i/>
          <w:sz w:val="24"/>
          <w:szCs w:val="24"/>
        </w:rPr>
        <w:t>learning</w:t>
      </w:r>
      <w:proofErr w:type="spellEnd"/>
      <w:r w:rsidRPr="00354D78">
        <w:rPr>
          <w:rFonts w:ascii="Times New Roman" w:hAnsi="Times New Roman" w:cs="Times New Roman"/>
          <w:i/>
          <w:sz w:val="24"/>
          <w:szCs w:val="24"/>
        </w:rPr>
        <w:t xml:space="preserve"> </w:t>
      </w:r>
      <w:proofErr w:type="spellStart"/>
      <w:r w:rsidRPr="00354D78">
        <w:rPr>
          <w:rFonts w:ascii="Times New Roman" w:hAnsi="Times New Roman" w:cs="Times New Roman"/>
          <w:i/>
          <w:sz w:val="24"/>
          <w:szCs w:val="24"/>
        </w:rPr>
        <w:t>economy</w:t>
      </w:r>
      <w:proofErr w:type="spellEnd"/>
      <w:r w:rsidRPr="00354D78">
        <w:rPr>
          <w:rFonts w:ascii="Times New Roman" w:hAnsi="Times New Roman" w:cs="Times New Roman"/>
          <w:sz w:val="24"/>
          <w:szCs w:val="24"/>
        </w:rPr>
        <w:t xml:space="preserve"> </w:t>
      </w:r>
      <w:r w:rsidRPr="00354D78">
        <w:rPr>
          <w:rFonts w:ascii="Times New Roman" w:hAnsi="Times New Roman" w:cs="Times New Roman"/>
          <w:sz w:val="24"/>
          <w:szCs w:val="24"/>
        </w:rPr>
        <w:lastRenderedPageBreak/>
        <w:t xml:space="preserve">(Florida, 1995). Esta nova estratégia assenta na premissa </w:t>
      </w:r>
      <w:r w:rsidR="00951AC8">
        <w:rPr>
          <w:rFonts w:ascii="Times New Roman" w:hAnsi="Times New Roman" w:cs="Times New Roman"/>
          <w:sz w:val="24"/>
          <w:szCs w:val="24"/>
        </w:rPr>
        <w:t xml:space="preserve">de </w:t>
      </w:r>
      <w:r w:rsidRPr="00354D78">
        <w:rPr>
          <w:rFonts w:ascii="Times New Roman" w:hAnsi="Times New Roman" w:cs="Times New Roman"/>
          <w:sz w:val="24"/>
          <w:szCs w:val="24"/>
        </w:rPr>
        <w:t>que a coesão económica e social de qualquer território só será bem sucedida se as “</w:t>
      </w:r>
      <w:r w:rsidRPr="00354D78">
        <w:rPr>
          <w:rFonts w:ascii="Times New Roman" w:hAnsi="Times New Roman" w:cs="Times New Roman"/>
          <w:i/>
          <w:iCs/>
          <w:sz w:val="24"/>
          <w:szCs w:val="24"/>
          <w:lang w:val="pt-BR"/>
        </w:rPr>
        <w:t>pessoas desenvolverem a sua aprendizagem, tanto dentro como fora da escola, desde os seus primeiros anos de vida até o ensino escolar e entrada no mercado de trabalho;</w:t>
      </w:r>
      <w:r w:rsidRPr="00354D78">
        <w:rPr>
          <w:rFonts w:ascii="Times New Roman" w:hAnsi="Times New Roman" w:cs="Times New Roman"/>
          <w:iCs/>
          <w:sz w:val="24"/>
          <w:szCs w:val="24"/>
          <w:lang w:val="pt-BR"/>
        </w:rPr>
        <w:t xml:space="preserve"> p</w:t>
      </w:r>
      <w:r w:rsidRPr="00354D78">
        <w:rPr>
          <w:rFonts w:ascii="Times New Roman" w:hAnsi="Times New Roman" w:cs="Times New Roman"/>
          <w:i/>
          <w:iCs/>
          <w:sz w:val="24"/>
          <w:szCs w:val="24"/>
          <w:lang w:val="pt-BR"/>
        </w:rPr>
        <w:t xml:space="preserve">ara os países em desenvolvimento colherem plenamente os benefícios da educação precisam desenvolver o potencial da mente humana. E não há melhor ferramenta para conseguir isso do que a educação ” </w:t>
      </w:r>
      <w:r w:rsidRPr="00354D78">
        <w:rPr>
          <w:rFonts w:ascii="Times New Roman" w:hAnsi="Times New Roman" w:cs="Times New Roman"/>
          <w:iCs/>
          <w:sz w:val="24"/>
          <w:szCs w:val="24"/>
          <w:lang w:val="pt-BR"/>
        </w:rPr>
        <w:t>(</w:t>
      </w:r>
      <w:proofErr w:type="spellStart"/>
      <w:r w:rsidRPr="00092804">
        <w:rPr>
          <w:rFonts w:ascii="Times New Roman" w:hAnsi="Times New Roman" w:cs="Times New Roman"/>
          <w:sz w:val="24"/>
          <w:szCs w:val="24"/>
        </w:rPr>
        <w:t>Zoellick</w:t>
      </w:r>
      <w:proofErr w:type="spellEnd"/>
      <w:r w:rsidRPr="00092804">
        <w:rPr>
          <w:rFonts w:ascii="Times New Roman" w:hAnsi="Times New Roman" w:cs="Times New Roman"/>
          <w:sz w:val="24"/>
          <w:szCs w:val="24"/>
        </w:rPr>
        <w:t>, 2011).</w:t>
      </w:r>
    </w:p>
    <w:p w14:paraId="67C24E00" w14:textId="77777777" w:rsidR="00D10D1D" w:rsidRPr="00354D78" w:rsidRDefault="00D10D1D" w:rsidP="00D10D1D">
      <w:pPr>
        <w:shd w:val="clear" w:color="auto" w:fill="FFFFFF"/>
        <w:spacing w:line="360" w:lineRule="auto"/>
        <w:jc w:val="center"/>
        <w:outlineLvl w:val="3"/>
        <w:rPr>
          <w:rFonts w:ascii="Times New Roman" w:hAnsi="Times New Roman" w:cs="Times New Roman"/>
          <w:b/>
          <w:sz w:val="24"/>
          <w:szCs w:val="24"/>
        </w:rPr>
      </w:pPr>
      <w:r w:rsidRPr="00354D78">
        <w:rPr>
          <w:rFonts w:ascii="Times New Roman" w:hAnsi="Times New Roman" w:cs="Times New Roman"/>
          <w:b/>
          <w:sz w:val="24"/>
          <w:szCs w:val="24"/>
        </w:rPr>
        <w:t>Tabela 1: Indicadores pertinentes para medir a coesão social</w:t>
      </w:r>
    </w:p>
    <w:tbl>
      <w:tblPr>
        <w:tblStyle w:val="TableGrid"/>
        <w:tblW w:w="0" w:type="auto"/>
        <w:tblLook w:val="04A0" w:firstRow="1" w:lastRow="0" w:firstColumn="1" w:lastColumn="0" w:noHBand="0" w:noVBand="1"/>
      </w:tblPr>
      <w:tblGrid>
        <w:gridCol w:w="3085"/>
        <w:gridCol w:w="5635"/>
      </w:tblGrid>
      <w:tr w:rsidR="00D10D1D" w:rsidRPr="00354D78" w14:paraId="43B5FCD3" w14:textId="77777777" w:rsidTr="00D10D1D">
        <w:tc>
          <w:tcPr>
            <w:tcW w:w="3085" w:type="dxa"/>
          </w:tcPr>
          <w:p w14:paraId="24374D37" w14:textId="77777777" w:rsidR="00D10D1D" w:rsidRPr="00354D78" w:rsidRDefault="00D10D1D" w:rsidP="00D10D1D">
            <w:pPr>
              <w:spacing w:line="360" w:lineRule="auto"/>
              <w:jc w:val="center"/>
              <w:outlineLvl w:val="3"/>
              <w:rPr>
                <w:rFonts w:ascii="Times New Roman" w:hAnsi="Times New Roman" w:cs="Times New Roman"/>
                <w:b/>
                <w:sz w:val="24"/>
                <w:szCs w:val="24"/>
              </w:rPr>
            </w:pPr>
            <w:r w:rsidRPr="00354D78">
              <w:rPr>
                <w:rFonts w:ascii="Times New Roman" w:hAnsi="Times New Roman" w:cs="Times New Roman"/>
                <w:b/>
                <w:sz w:val="24"/>
                <w:szCs w:val="24"/>
              </w:rPr>
              <w:t>Organização</w:t>
            </w:r>
          </w:p>
        </w:tc>
        <w:tc>
          <w:tcPr>
            <w:tcW w:w="5635" w:type="dxa"/>
          </w:tcPr>
          <w:p w14:paraId="7899EA14" w14:textId="77777777" w:rsidR="00D10D1D" w:rsidRPr="00354D78" w:rsidRDefault="00D10D1D" w:rsidP="00D10D1D">
            <w:pPr>
              <w:spacing w:line="360" w:lineRule="auto"/>
              <w:jc w:val="center"/>
              <w:outlineLvl w:val="3"/>
              <w:rPr>
                <w:rFonts w:ascii="Times New Roman" w:hAnsi="Times New Roman" w:cs="Times New Roman"/>
                <w:b/>
                <w:sz w:val="24"/>
                <w:szCs w:val="24"/>
              </w:rPr>
            </w:pPr>
            <w:r w:rsidRPr="00354D78">
              <w:rPr>
                <w:rFonts w:ascii="Times New Roman" w:hAnsi="Times New Roman" w:cs="Times New Roman"/>
                <w:b/>
                <w:sz w:val="24"/>
                <w:szCs w:val="24"/>
              </w:rPr>
              <w:t>Indicadores</w:t>
            </w:r>
          </w:p>
        </w:tc>
      </w:tr>
      <w:tr w:rsidR="00D10D1D" w:rsidRPr="00354D78" w14:paraId="0406F65B" w14:textId="77777777" w:rsidTr="00D10D1D">
        <w:tc>
          <w:tcPr>
            <w:tcW w:w="3085" w:type="dxa"/>
          </w:tcPr>
          <w:p w14:paraId="37B0F25C"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Indicadores de coesão social</w:t>
            </w:r>
          </w:p>
          <w:p w14:paraId="1A4E86BF"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(OCDE) (1)</w:t>
            </w:r>
          </w:p>
        </w:tc>
        <w:tc>
          <w:tcPr>
            <w:tcW w:w="5635" w:type="dxa"/>
          </w:tcPr>
          <w:p w14:paraId="51940043"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Confiança</w:t>
            </w:r>
          </w:p>
          <w:p w14:paraId="35DAF0FE"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Confiança nas instituições sociais</w:t>
            </w:r>
          </w:p>
          <w:p w14:paraId="2B5C1445"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Comportamentos pro e anti-sociais</w:t>
            </w:r>
          </w:p>
          <w:p w14:paraId="0682664C"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Participação em actos eleitorais</w:t>
            </w:r>
          </w:p>
          <w:p w14:paraId="539B332C"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Tolerância</w:t>
            </w:r>
          </w:p>
        </w:tc>
      </w:tr>
      <w:tr w:rsidR="00D10D1D" w:rsidRPr="00354D78" w14:paraId="13C6A46F" w14:textId="77777777" w:rsidTr="00D10D1D">
        <w:tc>
          <w:tcPr>
            <w:tcW w:w="3085" w:type="dxa"/>
          </w:tcPr>
          <w:p w14:paraId="1A25AC98" w14:textId="77777777" w:rsidR="00D10D1D" w:rsidRPr="00092804" w:rsidRDefault="00D10D1D" w:rsidP="00D10D1D">
            <w:pPr>
              <w:spacing w:line="360" w:lineRule="auto"/>
              <w:jc w:val="both"/>
              <w:outlineLvl w:val="3"/>
              <w:rPr>
                <w:rFonts w:ascii="Times New Roman" w:hAnsi="Times New Roman" w:cs="Times New Roman"/>
                <w:sz w:val="24"/>
                <w:szCs w:val="24"/>
                <w:lang w:val="en-US"/>
              </w:rPr>
            </w:pPr>
            <w:proofErr w:type="spellStart"/>
            <w:r w:rsidRPr="00092804">
              <w:rPr>
                <w:rFonts w:ascii="Times New Roman" w:hAnsi="Times New Roman" w:cs="Times New Roman"/>
                <w:sz w:val="24"/>
                <w:szCs w:val="24"/>
                <w:lang w:val="en-US"/>
              </w:rPr>
              <w:t>Programme</w:t>
            </w:r>
            <w:proofErr w:type="spellEnd"/>
            <w:r w:rsidRPr="00092804">
              <w:rPr>
                <w:rFonts w:ascii="Times New Roman" w:hAnsi="Times New Roman" w:cs="Times New Roman"/>
                <w:sz w:val="24"/>
                <w:szCs w:val="24"/>
                <w:lang w:val="en-US"/>
              </w:rPr>
              <w:t xml:space="preserve"> for International Student Assessment (PISA)</w:t>
            </w:r>
          </w:p>
          <w:p w14:paraId="325B0B27"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OCDE (3)</w:t>
            </w:r>
          </w:p>
        </w:tc>
        <w:tc>
          <w:tcPr>
            <w:tcW w:w="5635" w:type="dxa"/>
          </w:tcPr>
          <w:p w14:paraId="69C79907"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Os dados para o ano 2009 do teste PISA mostram que a performance académica apenas é explicada em 6% pela prosperidade económica (PIB per capita); 94% são explicados  pelos gastos por aluno, pela pobreza relativa e pela proporção de estudantes oriundos de famílias imigrantes.</w:t>
            </w:r>
          </w:p>
          <w:p w14:paraId="294694C9"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 xml:space="preserve">As variáveis níveis económico, social e cultural das instituições de ensino e o estatuto </w:t>
            </w:r>
            <w:proofErr w:type="spellStart"/>
            <w:r w:rsidRPr="00354D78">
              <w:rPr>
                <w:rFonts w:ascii="Times New Roman" w:hAnsi="Times New Roman" w:cs="Times New Roman"/>
                <w:sz w:val="24"/>
                <w:szCs w:val="24"/>
              </w:rPr>
              <w:t>sócio-económico</w:t>
            </w:r>
            <w:proofErr w:type="spellEnd"/>
            <w:r w:rsidRPr="00354D78">
              <w:rPr>
                <w:rFonts w:ascii="Times New Roman" w:hAnsi="Times New Roman" w:cs="Times New Roman"/>
                <w:sz w:val="24"/>
                <w:szCs w:val="24"/>
              </w:rPr>
              <w:t xml:space="preserve">  dos alunos  explicam os resultados académicos dos estudantes.</w:t>
            </w:r>
          </w:p>
        </w:tc>
      </w:tr>
      <w:tr w:rsidR="00D10D1D" w:rsidRPr="00354D78" w14:paraId="4EC789C7" w14:textId="77777777" w:rsidTr="00D10D1D">
        <w:tc>
          <w:tcPr>
            <w:tcW w:w="3085" w:type="dxa"/>
          </w:tcPr>
          <w:p w14:paraId="469EFFC1"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Indicadores de Coesão Social</w:t>
            </w:r>
          </w:p>
          <w:p w14:paraId="5CC66940"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(Eurostat) (2)</w:t>
            </w:r>
          </w:p>
        </w:tc>
        <w:tc>
          <w:tcPr>
            <w:tcW w:w="5635" w:type="dxa"/>
          </w:tcPr>
          <w:p w14:paraId="42C0A9CC"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Desigualdade na distribuição de rendimento</w:t>
            </w:r>
          </w:p>
          <w:p w14:paraId="743EC003"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Taxa de risco de pobreza antes de transferências sociais, por sexo</w:t>
            </w:r>
          </w:p>
          <w:p w14:paraId="2659292E"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Taxa de risco de pobreza após transferências sociais, por sexo</w:t>
            </w:r>
          </w:p>
          <w:p w14:paraId="458D8760"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Persistência da taxa de risco de pobreza, por sexo</w:t>
            </w:r>
          </w:p>
          <w:p w14:paraId="618F5A85"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Taxa de desemprego de longo prazo, por sexo</w:t>
            </w:r>
          </w:p>
          <w:p w14:paraId="539088B1"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Crianças em famílias sem emprego</w:t>
            </w:r>
          </w:p>
          <w:p w14:paraId="6AD8C91D"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Famílias sem emprego, por sexo</w:t>
            </w:r>
          </w:p>
          <w:p w14:paraId="19A83D12"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lastRenderedPageBreak/>
              <w:t>Dispersão regional das taxas de emprego, por sexo</w:t>
            </w:r>
          </w:p>
          <w:p w14:paraId="663BA5CA"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Abandono escolar precoce, por sexo</w:t>
            </w:r>
          </w:p>
          <w:p w14:paraId="195436D0"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Crianças em educação pré-escolar, por duração e grupos de idades</w:t>
            </w:r>
          </w:p>
        </w:tc>
      </w:tr>
      <w:tr w:rsidR="00D10D1D" w:rsidRPr="00354D78" w14:paraId="71ADBF43" w14:textId="77777777" w:rsidTr="00D10D1D">
        <w:tc>
          <w:tcPr>
            <w:tcW w:w="3085" w:type="dxa"/>
          </w:tcPr>
          <w:p w14:paraId="57FD6451"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lastRenderedPageBreak/>
              <w:t xml:space="preserve">Green, Preston &amp; </w:t>
            </w:r>
            <w:proofErr w:type="spellStart"/>
            <w:r w:rsidRPr="00354D78">
              <w:rPr>
                <w:rFonts w:ascii="Times New Roman" w:hAnsi="Times New Roman" w:cs="Times New Roman"/>
                <w:sz w:val="24"/>
                <w:szCs w:val="24"/>
              </w:rPr>
              <w:t>Sabates</w:t>
            </w:r>
            <w:proofErr w:type="spellEnd"/>
            <w:r w:rsidRPr="00354D78">
              <w:rPr>
                <w:rFonts w:ascii="Times New Roman" w:hAnsi="Times New Roman" w:cs="Times New Roman"/>
                <w:sz w:val="24"/>
                <w:szCs w:val="24"/>
              </w:rPr>
              <w:t xml:space="preserve"> (2003)</w:t>
            </w:r>
          </w:p>
        </w:tc>
        <w:tc>
          <w:tcPr>
            <w:tcW w:w="5635" w:type="dxa"/>
          </w:tcPr>
          <w:p w14:paraId="2EFE6D24" w14:textId="77777777" w:rsidR="00D10D1D" w:rsidRPr="00354D78" w:rsidRDefault="00D10D1D" w:rsidP="00D10D1D">
            <w:pPr>
              <w:spacing w:line="360" w:lineRule="auto"/>
              <w:jc w:val="both"/>
              <w:outlineLvl w:val="3"/>
              <w:rPr>
                <w:rFonts w:ascii="Times New Roman" w:hAnsi="Times New Roman" w:cs="Times New Roman"/>
                <w:sz w:val="24"/>
                <w:szCs w:val="24"/>
              </w:rPr>
            </w:pPr>
            <w:r w:rsidRPr="00354D78">
              <w:rPr>
                <w:rFonts w:ascii="Times New Roman" w:hAnsi="Times New Roman" w:cs="Times New Roman"/>
                <w:sz w:val="24"/>
                <w:szCs w:val="24"/>
              </w:rPr>
              <w:t>Este modelo discute os efeitos da aprendizagem na coesão social, relacionando o funcionamento do mercado de trabalho com as disparidades de rendimento e com os diferentes níveis de coesão social.</w:t>
            </w:r>
          </w:p>
        </w:tc>
      </w:tr>
    </w:tbl>
    <w:p w14:paraId="318F6E98" w14:textId="77777777" w:rsidR="00FD7B44" w:rsidRPr="00092804" w:rsidRDefault="00D10D1D" w:rsidP="00D10D1D">
      <w:pPr>
        <w:shd w:val="clear" w:color="auto" w:fill="FFFFFF"/>
        <w:spacing w:line="360" w:lineRule="auto"/>
        <w:jc w:val="both"/>
        <w:outlineLvl w:val="3"/>
        <w:rPr>
          <w:rFonts w:ascii="Times New Roman" w:hAnsi="Times New Roman" w:cs="Times New Roman"/>
          <w:color w:val="1A1A1A"/>
          <w:sz w:val="20"/>
          <w:szCs w:val="20"/>
        </w:rPr>
      </w:pPr>
      <w:r w:rsidRPr="00092804">
        <w:rPr>
          <w:rFonts w:ascii="Times New Roman" w:hAnsi="Times New Roman" w:cs="Times New Roman"/>
          <w:sz w:val="24"/>
          <w:szCs w:val="24"/>
        </w:rPr>
        <w:t xml:space="preserve">Fonte: Elaboração própria a partir de:  </w:t>
      </w:r>
      <w:r w:rsidRPr="00092804">
        <w:rPr>
          <w:rFonts w:ascii="Times New Roman" w:hAnsi="Times New Roman" w:cs="Times New Roman"/>
          <w:sz w:val="20"/>
          <w:szCs w:val="20"/>
        </w:rPr>
        <w:t xml:space="preserve">(1) </w:t>
      </w:r>
      <w:r w:rsidRPr="00092804">
        <w:rPr>
          <w:rFonts w:ascii="Times New Roman" w:hAnsi="Times New Roman" w:cs="Times New Roman"/>
          <w:color w:val="1A1A1A"/>
          <w:sz w:val="20"/>
          <w:szCs w:val="20"/>
        </w:rPr>
        <w:t xml:space="preserve">OECD (2011), </w:t>
      </w:r>
      <w:proofErr w:type="spellStart"/>
      <w:r w:rsidRPr="00092804">
        <w:rPr>
          <w:rFonts w:ascii="Times New Roman" w:hAnsi="Times New Roman" w:cs="Times New Roman"/>
          <w:i/>
          <w:iCs/>
          <w:color w:val="1A1A1A"/>
          <w:sz w:val="20"/>
          <w:szCs w:val="20"/>
        </w:rPr>
        <w:t>Society</w:t>
      </w:r>
      <w:proofErr w:type="spellEnd"/>
      <w:r w:rsidRPr="00092804">
        <w:rPr>
          <w:rFonts w:ascii="Times New Roman" w:hAnsi="Times New Roman" w:cs="Times New Roman"/>
          <w:i/>
          <w:iCs/>
          <w:color w:val="1A1A1A"/>
          <w:sz w:val="20"/>
          <w:szCs w:val="20"/>
        </w:rPr>
        <w:t xml:space="preserve"> </w:t>
      </w:r>
      <w:proofErr w:type="spellStart"/>
      <w:r w:rsidRPr="00092804">
        <w:rPr>
          <w:rFonts w:ascii="Times New Roman" w:hAnsi="Times New Roman" w:cs="Times New Roman"/>
          <w:i/>
          <w:iCs/>
          <w:color w:val="1A1A1A"/>
          <w:sz w:val="20"/>
          <w:szCs w:val="20"/>
        </w:rPr>
        <w:t>at</w:t>
      </w:r>
      <w:proofErr w:type="spellEnd"/>
      <w:r w:rsidRPr="00092804">
        <w:rPr>
          <w:rFonts w:ascii="Times New Roman" w:hAnsi="Times New Roman" w:cs="Times New Roman"/>
          <w:i/>
          <w:iCs/>
          <w:color w:val="1A1A1A"/>
          <w:sz w:val="20"/>
          <w:szCs w:val="20"/>
        </w:rPr>
        <w:t xml:space="preserve"> a </w:t>
      </w:r>
      <w:proofErr w:type="spellStart"/>
      <w:r w:rsidRPr="00092804">
        <w:rPr>
          <w:rFonts w:ascii="Times New Roman" w:hAnsi="Times New Roman" w:cs="Times New Roman"/>
          <w:i/>
          <w:iCs/>
          <w:color w:val="1A1A1A"/>
          <w:sz w:val="20"/>
          <w:szCs w:val="20"/>
        </w:rPr>
        <w:t>Glance</w:t>
      </w:r>
      <w:proofErr w:type="spellEnd"/>
      <w:r w:rsidRPr="00092804">
        <w:rPr>
          <w:rFonts w:ascii="Times New Roman" w:hAnsi="Times New Roman" w:cs="Times New Roman"/>
          <w:i/>
          <w:iCs/>
          <w:color w:val="1A1A1A"/>
          <w:sz w:val="20"/>
          <w:szCs w:val="20"/>
        </w:rPr>
        <w:t xml:space="preserve"> 2011 - OECD Social </w:t>
      </w:r>
      <w:proofErr w:type="spellStart"/>
      <w:r w:rsidRPr="00092804">
        <w:rPr>
          <w:rFonts w:ascii="Times New Roman" w:hAnsi="Times New Roman" w:cs="Times New Roman"/>
          <w:i/>
          <w:iCs/>
          <w:color w:val="1A1A1A"/>
          <w:sz w:val="20"/>
          <w:szCs w:val="20"/>
        </w:rPr>
        <w:t>Indicators</w:t>
      </w:r>
      <w:proofErr w:type="spellEnd"/>
      <w:r w:rsidRPr="00092804">
        <w:rPr>
          <w:rFonts w:ascii="Times New Roman" w:hAnsi="Times New Roman" w:cs="Times New Roman"/>
          <w:color w:val="1A1A1A"/>
          <w:sz w:val="20"/>
          <w:szCs w:val="20"/>
        </w:rPr>
        <w:t xml:space="preserve"> (</w:t>
      </w:r>
      <w:hyperlink r:id="rId13" w:history="1">
        <w:r w:rsidRPr="00092804">
          <w:rPr>
            <w:rFonts w:ascii="Times New Roman" w:hAnsi="Times New Roman" w:cs="Times New Roman"/>
            <w:color w:val="3061A8"/>
            <w:sz w:val="20"/>
            <w:szCs w:val="20"/>
            <w:u w:val="single" w:color="3061A8"/>
          </w:rPr>
          <w:t>www.oecd.org/els/social/indicators/SAG</w:t>
        </w:r>
      </w:hyperlink>
      <w:r w:rsidRPr="00092804">
        <w:rPr>
          <w:rFonts w:ascii="Times New Roman" w:hAnsi="Times New Roman" w:cs="Times New Roman"/>
          <w:color w:val="1A1A1A"/>
          <w:sz w:val="20"/>
          <w:szCs w:val="20"/>
        </w:rPr>
        <w:t xml:space="preserve">); </w:t>
      </w:r>
    </w:p>
    <w:p w14:paraId="66927D6E" w14:textId="77777777" w:rsidR="00D10D1D" w:rsidRPr="00092804" w:rsidRDefault="00D10D1D" w:rsidP="00D10D1D">
      <w:pPr>
        <w:shd w:val="clear" w:color="auto" w:fill="FFFFFF"/>
        <w:spacing w:line="360" w:lineRule="auto"/>
        <w:jc w:val="both"/>
        <w:outlineLvl w:val="3"/>
        <w:rPr>
          <w:rFonts w:ascii="Times New Roman" w:hAnsi="Times New Roman" w:cs="Times New Roman"/>
          <w:color w:val="1A1A1A"/>
          <w:sz w:val="20"/>
          <w:szCs w:val="20"/>
        </w:rPr>
      </w:pPr>
      <w:r w:rsidRPr="00092804">
        <w:rPr>
          <w:rFonts w:ascii="Times New Roman" w:hAnsi="Times New Roman" w:cs="Times New Roman"/>
          <w:color w:val="1A1A1A"/>
          <w:sz w:val="20"/>
          <w:szCs w:val="20"/>
        </w:rPr>
        <w:t xml:space="preserve">(2) </w:t>
      </w:r>
      <w:hyperlink r:id="rId14" w:history="1">
        <w:r w:rsidRPr="00092804">
          <w:rPr>
            <w:rStyle w:val="Hyperlink"/>
            <w:rFonts w:ascii="Times New Roman" w:hAnsi="Times New Roman" w:cs="Times New Roman"/>
            <w:sz w:val="20"/>
            <w:szCs w:val="20"/>
          </w:rPr>
          <w:t>http://epp.eurostat.ec.europa.eu/portal/page/portal/structural_indicators/indicators/social_cohesion</w:t>
        </w:r>
      </w:hyperlink>
      <w:r w:rsidRPr="00092804">
        <w:rPr>
          <w:rFonts w:ascii="Times New Roman" w:hAnsi="Times New Roman" w:cs="Times New Roman"/>
          <w:color w:val="1A1A1A"/>
          <w:sz w:val="20"/>
          <w:szCs w:val="20"/>
        </w:rPr>
        <w:t xml:space="preserve">; Rego at.al, 2012; (3) OCDE, 2010 citado em Rego </w:t>
      </w:r>
      <w:proofErr w:type="spellStart"/>
      <w:r w:rsidRPr="00092804">
        <w:rPr>
          <w:rFonts w:ascii="Times New Roman" w:hAnsi="Times New Roman" w:cs="Times New Roman"/>
          <w:color w:val="1A1A1A"/>
          <w:sz w:val="20"/>
          <w:szCs w:val="20"/>
        </w:rPr>
        <w:t>et</w:t>
      </w:r>
      <w:proofErr w:type="spellEnd"/>
      <w:r w:rsidRPr="00092804">
        <w:rPr>
          <w:rFonts w:ascii="Times New Roman" w:hAnsi="Times New Roman" w:cs="Times New Roman"/>
          <w:color w:val="1A1A1A"/>
          <w:sz w:val="20"/>
          <w:szCs w:val="20"/>
        </w:rPr>
        <w:t xml:space="preserve"> .al., 2012</w:t>
      </w:r>
    </w:p>
    <w:p w14:paraId="1CE2D85A" w14:textId="77777777" w:rsidR="00E12612" w:rsidRPr="00E12612"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A informação </w:t>
      </w:r>
      <w:r w:rsidR="00E12612">
        <w:rPr>
          <w:rFonts w:ascii="Times New Roman" w:hAnsi="Times New Roman" w:cs="Times New Roman"/>
          <w:sz w:val="24"/>
          <w:szCs w:val="24"/>
        </w:rPr>
        <w:t>anterior</w:t>
      </w:r>
      <w:r w:rsidRPr="00354D78">
        <w:rPr>
          <w:rFonts w:ascii="Times New Roman" w:hAnsi="Times New Roman" w:cs="Times New Roman"/>
          <w:sz w:val="24"/>
          <w:szCs w:val="24"/>
        </w:rPr>
        <w:t xml:space="preserve"> permite-nos concluir que nos diversos casos analisados, diferenças nos níveis de educação estão sempre subjacentes aos indicadores considerados pertinentes para avaliar a coesão social. </w:t>
      </w:r>
      <w:r w:rsidR="00E12612">
        <w:rPr>
          <w:rFonts w:ascii="Times New Roman" w:hAnsi="Times New Roman" w:cs="Times New Roman"/>
          <w:sz w:val="24"/>
          <w:szCs w:val="24"/>
        </w:rPr>
        <w:t>I</w:t>
      </w:r>
      <w:r w:rsidRPr="00354D78">
        <w:rPr>
          <w:rFonts w:ascii="Times New Roman" w:hAnsi="Times New Roman" w:cs="Times New Roman"/>
          <w:sz w:val="24"/>
          <w:szCs w:val="24"/>
        </w:rPr>
        <w:t xml:space="preserve">ndivíduos com níveis de escolarização mais elevados revelam níveis de integração e de comprometimento social também mais elevados; os níveis de pobreza e de desemprego habitualmente são inversamente proporcionais ao tempo de permanência no sistema educativo; as maiores assimetrias de rendimento, em geral, ocorrem em sociedades onde a frequência de níveis elevados de escolarização são restritos a alguns estudantes oriundos de grupos sociais mais favorecidos. </w:t>
      </w:r>
      <w:bookmarkStart w:id="0" w:name="_GoBack"/>
      <w:bookmarkEnd w:id="0"/>
    </w:p>
    <w:p w14:paraId="4592C40B" w14:textId="77777777" w:rsidR="00D10D1D" w:rsidRPr="00354D78" w:rsidRDefault="00D10D1D" w:rsidP="00D10D1D">
      <w:pPr>
        <w:pStyle w:val="ListParagraph"/>
        <w:numPr>
          <w:ilvl w:val="0"/>
          <w:numId w:val="1"/>
        </w:numPr>
        <w:spacing w:line="360" w:lineRule="auto"/>
        <w:rPr>
          <w:rFonts w:ascii="Times New Roman" w:hAnsi="Times New Roman" w:cs="Times New Roman"/>
          <w:b/>
          <w:sz w:val="24"/>
          <w:szCs w:val="24"/>
        </w:rPr>
      </w:pPr>
      <w:r w:rsidRPr="00354D78">
        <w:rPr>
          <w:rFonts w:ascii="Times New Roman" w:hAnsi="Times New Roman" w:cs="Times New Roman"/>
          <w:b/>
          <w:sz w:val="24"/>
          <w:szCs w:val="24"/>
        </w:rPr>
        <w:t>Acesso ao ensino superior e mobilidade social</w:t>
      </w:r>
    </w:p>
    <w:p w14:paraId="2A77C18C"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Diversos artigos têm mostrado como a educação é um factor determinante para a mobilidade social entre gerações (vd. por exemplo </w:t>
      </w:r>
      <w:proofErr w:type="spellStart"/>
      <w:r w:rsidRPr="00354D78">
        <w:rPr>
          <w:rFonts w:ascii="Times New Roman" w:hAnsi="Times New Roman" w:cs="Times New Roman"/>
          <w:sz w:val="24"/>
          <w:szCs w:val="24"/>
        </w:rPr>
        <w:t>Solon</w:t>
      </w:r>
      <w:proofErr w:type="spellEnd"/>
      <w:r w:rsidRPr="00354D78">
        <w:rPr>
          <w:rFonts w:ascii="Times New Roman" w:hAnsi="Times New Roman" w:cs="Times New Roman"/>
          <w:sz w:val="24"/>
          <w:szCs w:val="24"/>
        </w:rPr>
        <w:t>, 2004, D’</w:t>
      </w:r>
      <w:proofErr w:type="spellStart"/>
      <w:r w:rsidRPr="00354D78">
        <w:rPr>
          <w:rFonts w:ascii="Times New Roman" w:hAnsi="Times New Roman" w:cs="Times New Roman"/>
          <w:sz w:val="24"/>
          <w:szCs w:val="24"/>
        </w:rPr>
        <w:t>Addio</w:t>
      </w:r>
      <w:proofErr w:type="spellEnd"/>
      <w:r w:rsidRPr="00354D78">
        <w:rPr>
          <w:rFonts w:ascii="Times New Roman" w:hAnsi="Times New Roman" w:cs="Times New Roman"/>
          <w:sz w:val="24"/>
          <w:szCs w:val="24"/>
        </w:rPr>
        <w:t xml:space="preserve">, 2007, ou Causa e </w:t>
      </w:r>
      <w:proofErr w:type="spellStart"/>
      <w:r w:rsidRPr="00354D78">
        <w:rPr>
          <w:rFonts w:ascii="Times New Roman" w:hAnsi="Times New Roman" w:cs="Times New Roman"/>
          <w:sz w:val="24"/>
          <w:szCs w:val="24"/>
        </w:rPr>
        <w:t>Johansson</w:t>
      </w:r>
      <w:proofErr w:type="spellEnd"/>
      <w:r w:rsidRPr="00354D78">
        <w:rPr>
          <w:rFonts w:ascii="Times New Roman" w:hAnsi="Times New Roman" w:cs="Times New Roman"/>
          <w:sz w:val="24"/>
          <w:szCs w:val="24"/>
        </w:rPr>
        <w:t xml:space="preserve">, 2009). Desde logo, porque o nível de habilitações literárias de um individuo influencia a probabilidade de conseguir um emprego e a qualidade do mesmo. A </w:t>
      </w:r>
      <w:r w:rsidRPr="00354D78">
        <w:rPr>
          <w:rFonts w:ascii="Times New Roman" w:hAnsi="Times New Roman" w:cs="Times New Roman"/>
          <w:sz w:val="24"/>
          <w:szCs w:val="24"/>
        </w:rPr>
        <w:fldChar w:fldCharType="begin"/>
      </w:r>
      <w:r w:rsidRPr="00354D78">
        <w:rPr>
          <w:rFonts w:ascii="Times New Roman" w:hAnsi="Times New Roman" w:cs="Times New Roman"/>
          <w:sz w:val="24"/>
          <w:szCs w:val="24"/>
        </w:rPr>
        <w:instrText xml:space="preserve"> REF _Ref365363694 \h </w:instrText>
      </w:r>
      <w:r w:rsidRPr="00354D78">
        <w:rPr>
          <w:rFonts w:ascii="Times New Roman" w:hAnsi="Times New Roman" w:cs="Times New Roman"/>
          <w:sz w:val="24"/>
          <w:szCs w:val="24"/>
        </w:rPr>
      </w:r>
      <w:r w:rsidRPr="00354D78">
        <w:rPr>
          <w:rFonts w:ascii="Times New Roman" w:hAnsi="Times New Roman" w:cs="Times New Roman"/>
          <w:sz w:val="24"/>
          <w:szCs w:val="24"/>
        </w:rPr>
        <w:fldChar w:fldCharType="separate"/>
      </w:r>
      <w:r w:rsidRPr="00354D78">
        <w:rPr>
          <w:rFonts w:ascii="Times New Roman" w:hAnsi="Times New Roman" w:cs="Times New Roman"/>
          <w:b/>
          <w:noProof/>
          <w:sz w:val="24"/>
          <w:szCs w:val="24"/>
        </w:rPr>
        <w:t>Figura 1</w:t>
      </w:r>
      <w:r w:rsidRPr="00354D78">
        <w:rPr>
          <w:rFonts w:ascii="Times New Roman" w:hAnsi="Times New Roman" w:cs="Times New Roman"/>
          <w:sz w:val="24"/>
          <w:szCs w:val="24"/>
        </w:rPr>
        <w:fldChar w:fldCharType="end"/>
      </w:r>
      <w:r w:rsidRPr="00354D78">
        <w:rPr>
          <w:rFonts w:ascii="Times New Roman" w:hAnsi="Times New Roman" w:cs="Times New Roman"/>
          <w:sz w:val="24"/>
          <w:szCs w:val="24"/>
        </w:rPr>
        <w:t xml:space="preserve"> mostra a percentagem de indivíduos em Portugal com emprego para cada nível educativo, na faixa etária de 25-64 anos, sobre o total de indivíduos nessa faixa etária e com esse nível de habilitações académicas. Como é possível observar, a taxa de empregabilidade é crescente com o nível académico.</w:t>
      </w:r>
    </w:p>
    <w:p w14:paraId="4F48F2BF" w14:textId="77777777" w:rsidR="00D10D1D" w:rsidRPr="00354D78" w:rsidRDefault="00D10D1D" w:rsidP="00D10D1D">
      <w:pPr>
        <w:spacing w:line="360" w:lineRule="auto"/>
        <w:jc w:val="both"/>
        <w:rPr>
          <w:rFonts w:ascii="Times New Roman" w:hAnsi="Times New Roman" w:cs="Times New Roman"/>
          <w:b/>
          <w:noProof/>
          <w:sz w:val="24"/>
          <w:szCs w:val="24"/>
        </w:rPr>
      </w:pPr>
      <w:bookmarkStart w:id="1" w:name="_Ref365363694"/>
      <w:r w:rsidRPr="00354D78">
        <w:rPr>
          <w:rFonts w:ascii="Times New Roman" w:hAnsi="Times New Roman" w:cs="Times New Roman"/>
          <w:b/>
          <w:noProof/>
          <w:sz w:val="24"/>
          <w:szCs w:val="24"/>
        </w:rPr>
        <w:t xml:space="preserve">Figura </w:t>
      </w:r>
      <w:r w:rsidRPr="00354D78">
        <w:rPr>
          <w:rFonts w:ascii="Times New Roman" w:hAnsi="Times New Roman" w:cs="Times New Roman"/>
          <w:b/>
          <w:noProof/>
          <w:sz w:val="24"/>
          <w:szCs w:val="24"/>
        </w:rPr>
        <w:fldChar w:fldCharType="begin"/>
      </w:r>
      <w:r w:rsidRPr="00354D78">
        <w:rPr>
          <w:rFonts w:ascii="Times New Roman" w:hAnsi="Times New Roman" w:cs="Times New Roman"/>
          <w:b/>
          <w:noProof/>
          <w:sz w:val="24"/>
          <w:szCs w:val="24"/>
        </w:rPr>
        <w:instrText xml:space="preserve"> SEQ Figura \* ARABIC </w:instrText>
      </w:r>
      <w:r w:rsidRPr="00354D78">
        <w:rPr>
          <w:rFonts w:ascii="Times New Roman" w:hAnsi="Times New Roman" w:cs="Times New Roman"/>
          <w:b/>
          <w:noProof/>
          <w:sz w:val="24"/>
          <w:szCs w:val="24"/>
        </w:rPr>
        <w:fldChar w:fldCharType="separate"/>
      </w:r>
      <w:r w:rsidRPr="00354D78">
        <w:rPr>
          <w:rFonts w:ascii="Times New Roman" w:hAnsi="Times New Roman" w:cs="Times New Roman"/>
          <w:b/>
          <w:noProof/>
          <w:sz w:val="24"/>
          <w:szCs w:val="24"/>
        </w:rPr>
        <w:t>1</w:t>
      </w:r>
      <w:r w:rsidRPr="00354D78">
        <w:rPr>
          <w:rFonts w:ascii="Times New Roman" w:hAnsi="Times New Roman" w:cs="Times New Roman"/>
          <w:b/>
          <w:noProof/>
          <w:sz w:val="24"/>
          <w:szCs w:val="24"/>
        </w:rPr>
        <w:fldChar w:fldCharType="end"/>
      </w:r>
      <w:bookmarkEnd w:id="1"/>
      <w:r w:rsidRPr="00354D78">
        <w:rPr>
          <w:rFonts w:ascii="Times New Roman" w:hAnsi="Times New Roman" w:cs="Times New Roman"/>
          <w:b/>
          <w:noProof/>
          <w:sz w:val="24"/>
          <w:szCs w:val="24"/>
        </w:rPr>
        <w:t>: Taxa de emprego, por nível educativo na população portuguesa entre 25 e 64 anos (dados de 2011)</w:t>
      </w:r>
    </w:p>
    <w:p w14:paraId="3C956FE4" w14:textId="77777777" w:rsidR="00D10D1D" w:rsidRPr="00354D78" w:rsidRDefault="00D10D1D" w:rsidP="00D10D1D">
      <w:pPr>
        <w:spacing w:after="0" w:line="360" w:lineRule="auto"/>
        <w:jc w:val="center"/>
        <w:rPr>
          <w:rFonts w:ascii="Times New Roman" w:hAnsi="Times New Roman" w:cs="Times New Roman"/>
          <w:sz w:val="24"/>
          <w:szCs w:val="24"/>
        </w:rPr>
      </w:pPr>
      <w:r w:rsidRPr="00354D78">
        <w:rPr>
          <w:rFonts w:ascii="Times New Roman" w:hAnsi="Times New Roman" w:cs="Times New Roman"/>
          <w:noProof/>
          <w:sz w:val="24"/>
          <w:szCs w:val="24"/>
          <w:lang w:val="en-US"/>
        </w:rPr>
        <w:lastRenderedPageBreak/>
        <w:drawing>
          <wp:inline distT="0" distB="0" distL="0" distR="0" wp14:anchorId="3BF211CA" wp14:editId="50A13631">
            <wp:extent cx="4044950" cy="2680724"/>
            <wp:effectExtent l="19050" t="0" r="0"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046992" cy="2682077"/>
                    </a:xfrm>
                    <a:prstGeom prst="rect">
                      <a:avLst/>
                    </a:prstGeom>
                    <a:noFill/>
                    <a:ln w="9525">
                      <a:noFill/>
                      <a:miter lim="800000"/>
                      <a:headEnd/>
                      <a:tailEnd/>
                    </a:ln>
                  </pic:spPr>
                </pic:pic>
              </a:graphicData>
            </a:graphic>
          </wp:inline>
        </w:drawing>
      </w:r>
    </w:p>
    <w:p w14:paraId="4BF243E3" w14:textId="77777777" w:rsidR="00D10D1D" w:rsidRPr="00092804" w:rsidRDefault="00E12612" w:rsidP="00D10D1D">
      <w:pPr>
        <w:spacing w:after="0" w:line="360" w:lineRule="auto"/>
        <w:jc w:val="center"/>
        <w:rPr>
          <w:rFonts w:ascii="Times New Roman" w:hAnsi="Times New Roman" w:cs="Times New Roman"/>
          <w:sz w:val="24"/>
          <w:szCs w:val="24"/>
        </w:rPr>
      </w:pPr>
      <w:r w:rsidRPr="00092804">
        <w:rPr>
          <w:rFonts w:ascii="Times New Roman" w:hAnsi="Times New Roman" w:cs="Times New Roman"/>
          <w:sz w:val="24"/>
          <w:szCs w:val="24"/>
        </w:rPr>
        <w:t xml:space="preserve">Fonte: (OCDE, </w:t>
      </w:r>
      <w:r w:rsidR="00D10D1D" w:rsidRPr="00092804">
        <w:rPr>
          <w:rFonts w:ascii="Times New Roman" w:hAnsi="Times New Roman" w:cs="Times New Roman"/>
          <w:sz w:val="24"/>
          <w:szCs w:val="24"/>
        </w:rPr>
        <w:t>2013)</w:t>
      </w:r>
    </w:p>
    <w:p w14:paraId="28232EF0" w14:textId="77777777" w:rsidR="00D10D1D" w:rsidRPr="00092804" w:rsidRDefault="00D10D1D" w:rsidP="00D10D1D">
      <w:pPr>
        <w:spacing w:line="360" w:lineRule="auto"/>
        <w:jc w:val="both"/>
        <w:rPr>
          <w:rFonts w:ascii="Times New Roman" w:hAnsi="Times New Roman" w:cs="Times New Roman"/>
          <w:sz w:val="24"/>
          <w:szCs w:val="24"/>
        </w:rPr>
      </w:pPr>
    </w:p>
    <w:p w14:paraId="68CC6E00"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Por outro lado, também porque quanto maior o nível de habilitações literárias, maior o rendimento salarial esperado. Portugal é dos países onde o prémio salarial é mais expressivo, a seguir à Irlanda, Grécia e alguns países do Leste Europeu. Em Portugal, o rendimento médio de quem tem o ensino superior é em média cerca de 70% superior a quem possui apenas o ensino secundário. O acesso ao ensino superior fornece uma vantagem competitiva aos trabalhadores, garantindo-lhes um maior rendimento médio no futuro e dessa forma, para alguns, é uma forma de ascensão social.</w:t>
      </w:r>
    </w:p>
    <w:p w14:paraId="05A4D46A" w14:textId="77777777" w:rsidR="00D80F39"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Contudo, para existir mobilidade social, seria necessário que o acesso ao ensino, designadamente ao ensino superior, fosse igual para todos. Na realidade porém, verifica-se um fenómeno de persistência educativa e de rendimentos entre os elementos de sucessivas gerações da mesma família. A evidência mostra que, globalmente, o estatuto socioeconómico de um indivíduo é directamente correlacionado com o dos seus pais. Contudo, a intensidade desta relação varia entre os países. Em princípio, quanto maior esta correlação, menor a possibilidade de mobilidade social num determinado país, mais difícil se torna para um individuo</w:t>
      </w:r>
      <w:r w:rsidR="00E12612">
        <w:rPr>
          <w:rFonts w:ascii="Times New Roman" w:hAnsi="Times New Roman" w:cs="Times New Roman"/>
          <w:sz w:val="24"/>
          <w:szCs w:val="24"/>
        </w:rPr>
        <w:t>,</w:t>
      </w:r>
      <w:r w:rsidRPr="00354D78">
        <w:rPr>
          <w:rFonts w:ascii="Times New Roman" w:hAnsi="Times New Roman" w:cs="Times New Roman"/>
          <w:sz w:val="24"/>
          <w:szCs w:val="24"/>
        </w:rPr>
        <w:t xml:space="preserve"> em particular</w:t>
      </w:r>
      <w:r w:rsidR="00E12612">
        <w:rPr>
          <w:rFonts w:ascii="Times New Roman" w:hAnsi="Times New Roman" w:cs="Times New Roman"/>
          <w:sz w:val="24"/>
          <w:szCs w:val="24"/>
        </w:rPr>
        <w:t>,</w:t>
      </w:r>
      <w:r w:rsidRPr="00354D78">
        <w:rPr>
          <w:rFonts w:ascii="Times New Roman" w:hAnsi="Times New Roman" w:cs="Times New Roman"/>
          <w:sz w:val="24"/>
          <w:szCs w:val="24"/>
        </w:rPr>
        <w:t xml:space="preserve"> escapar ao meio socioeconómico em que nasceu.</w:t>
      </w:r>
      <w:r w:rsidR="00DE61D7">
        <w:rPr>
          <w:rFonts w:ascii="Times New Roman" w:hAnsi="Times New Roman" w:cs="Times New Roman"/>
          <w:sz w:val="24"/>
          <w:szCs w:val="24"/>
        </w:rPr>
        <w:t xml:space="preserve"> </w:t>
      </w:r>
      <w:r w:rsidRPr="00354D78">
        <w:rPr>
          <w:rFonts w:ascii="Times New Roman" w:hAnsi="Times New Roman" w:cs="Times New Roman"/>
          <w:sz w:val="24"/>
          <w:szCs w:val="24"/>
        </w:rPr>
        <w:t xml:space="preserve">Para quantificar esta relação, é habitual comparar as diferenças no valor dos rendimentos obtidos pelas diferentes gerações. O rendimento é uma boa proxy para o nível de estatuto socioeconómico, e reflecte normalmente o nível de educação atingido. </w:t>
      </w:r>
      <w:r w:rsidR="00DE61D7">
        <w:rPr>
          <w:rFonts w:ascii="Times New Roman" w:hAnsi="Times New Roman" w:cs="Times New Roman"/>
          <w:sz w:val="24"/>
          <w:szCs w:val="24"/>
        </w:rPr>
        <w:t>Estudos desenvolvidos,</w:t>
      </w:r>
      <w:r w:rsidRPr="00354D78">
        <w:rPr>
          <w:rFonts w:ascii="Times New Roman" w:hAnsi="Times New Roman" w:cs="Times New Roman"/>
          <w:sz w:val="24"/>
          <w:szCs w:val="24"/>
        </w:rPr>
        <w:t xml:space="preserve"> por exemplo por </w:t>
      </w:r>
      <w:proofErr w:type="spellStart"/>
      <w:r w:rsidRPr="00354D78">
        <w:rPr>
          <w:rFonts w:ascii="Times New Roman" w:hAnsi="Times New Roman" w:cs="Times New Roman"/>
          <w:sz w:val="24"/>
          <w:szCs w:val="24"/>
        </w:rPr>
        <w:t>Corak</w:t>
      </w:r>
      <w:proofErr w:type="spellEnd"/>
      <w:r w:rsidRPr="00354D78">
        <w:rPr>
          <w:rFonts w:ascii="Times New Roman" w:hAnsi="Times New Roman" w:cs="Times New Roman"/>
          <w:sz w:val="24"/>
          <w:szCs w:val="24"/>
        </w:rPr>
        <w:t xml:space="preserve"> (2006), D’</w:t>
      </w:r>
      <w:proofErr w:type="spellStart"/>
      <w:r w:rsidRPr="00354D78">
        <w:rPr>
          <w:rFonts w:ascii="Times New Roman" w:hAnsi="Times New Roman" w:cs="Times New Roman"/>
          <w:sz w:val="24"/>
          <w:szCs w:val="24"/>
        </w:rPr>
        <w:t>Addio</w:t>
      </w:r>
      <w:proofErr w:type="spellEnd"/>
      <w:r w:rsidRPr="00354D78">
        <w:rPr>
          <w:rFonts w:ascii="Times New Roman" w:hAnsi="Times New Roman" w:cs="Times New Roman"/>
          <w:sz w:val="24"/>
          <w:szCs w:val="24"/>
        </w:rPr>
        <w:t xml:space="preserve"> (2007) e por </w:t>
      </w:r>
      <w:proofErr w:type="spellStart"/>
      <w:r w:rsidRPr="00354D78">
        <w:rPr>
          <w:rFonts w:ascii="Times New Roman" w:hAnsi="Times New Roman" w:cs="Times New Roman"/>
          <w:sz w:val="24"/>
          <w:szCs w:val="24"/>
        </w:rPr>
        <w:t>Blanden</w:t>
      </w:r>
      <w:proofErr w:type="spellEnd"/>
      <w:r w:rsidRPr="00354D78">
        <w:rPr>
          <w:rFonts w:ascii="Times New Roman" w:hAnsi="Times New Roman" w:cs="Times New Roman"/>
          <w:sz w:val="24"/>
          <w:szCs w:val="24"/>
        </w:rPr>
        <w:t xml:space="preserve"> (2008) para a OCDE mostram </w:t>
      </w:r>
      <w:r w:rsidR="00DE61D7">
        <w:rPr>
          <w:rFonts w:ascii="Times New Roman" w:hAnsi="Times New Roman" w:cs="Times New Roman"/>
          <w:sz w:val="24"/>
          <w:szCs w:val="24"/>
        </w:rPr>
        <w:t>que</w:t>
      </w:r>
      <w:r w:rsidRPr="00354D78">
        <w:rPr>
          <w:rFonts w:ascii="Times New Roman" w:hAnsi="Times New Roman" w:cs="Times New Roman"/>
          <w:sz w:val="24"/>
          <w:szCs w:val="24"/>
        </w:rPr>
        <w:t xml:space="preserve"> no Reino Unido, Estados Unidos, Itá</w:t>
      </w:r>
      <w:r w:rsidR="00DE61D7">
        <w:rPr>
          <w:rFonts w:ascii="Times New Roman" w:hAnsi="Times New Roman" w:cs="Times New Roman"/>
          <w:sz w:val="24"/>
          <w:szCs w:val="24"/>
        </w:rPr>
        <w:t xml:space="preserve">lia e França indiciam uma menor mobilidade social, </w:t>
      </w:r>
      <w:r w:rsidRPr="00354D78">
        <w:rPr>
          <w:rFonts w:ascii="Times New Roman" w:hAnsi="Times New Roman" w:cs="Times New Roman"/>
          <w:sz w:val="24"/>
          <w:szCs w:val="24"/>
        </w:rPr>
        <w:t>enquanto</w:t>
      </w:r>
      <w:r w:rsidR="00DE61D7">
        <w:rPr>
          <w:rFonts w:ascii="Times New Roman" w:hAnsi="Times New Roman" w:cs="Times New Roman"/>
          <w:sz w:val="24"/>
          <w:szCs w:val="24"/>
        </w:rPr>
        <w:t xml:space="preserve"> os resultados </w:t>
      </w:r>
      <w:r w:rsidR="00DE61D7">
        <w:rPr>
          <w:rFonts w:ascii="Times New Roman" w:hAnsi="Times New Roman" w:cs="Times New Roman"/>
          <w:sz w:val="24"/>
          <w:szCs w:val="24"/>
        </w:rPr>
        <w:lastRenderedPageBreak/>
        <w:t>para</w:t>
      </w:r>
      <w:r w:rsidRPr="00354D78">
        <w:rPr>
          <w:rFonts w:ascii="Times New Roman" w:hAnsi="Times New Roman" w:cs="Times New Roman"/>
          <w:sz w:val="24"/>
          <w:szCs w:val="24"/>
        </w:rPr>
        <w:t xml:space="preserve"> os países nórdicos, a Austrália e o Canadá </w:t>
      </w:r>
      <w:r w:rsidR="00DE61D7">
        <w:rPr>
          <w:rFonts w:ascii="Times New Roman" w:hAnsi="Times New Roman" w:cs="Times New Roman"/>
          <w:sz w:val="24"/>
          <w:szCs w:val="24"/>
        </w:rPr>
        <w:t xml:space="preserve">são </w:t>
      </w:r>
      <w:r w:rsidRPr="00354D78">
        <w:rPr>
          <w:rFonts w:ascii="Times New Roman" w:hAnsi="Times New Roman" w:cs="Times New Roman"/>
          <w:sz w:val="24"/>
          <w:szCs w:val="24"/>
        </w:rPr>
        <w:t>indicativos de uma potencialmente mais elevada mobilidade social.</w:t>
      </w:r>
      <w:r w:rsidR="00D80F39">
        <w:rPr>
          <w:rFonts w:ascii="Times New Roman" w:hAnsi="Times New Roman" w:cs="Times New Roman"/>
          <w:sz w:val="24"/>
          <w:szCs w:val="24"/>
        </w:rPr>
        <w:t xml:space="preserve"> </w:t>
      </w:r>
    </w:p>
    <w:p w14:paraId="1F7594E4" w14:textId="77777777" w:rsidR="00D10D1D" w:rsidRPr="00354D78" w:rsidRDefault="00D10D1D" w:rsidP="0037653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Outra forma complementar de observar a mobilidade social com base no nível de educação é através da relação entre a probabilidade de acesso ao ensino superior e as habilitações académicas dos pais. Como foi já demonstrado em diversos estudos (vd. por exemplo, o modelo </w:t>
      </w:r>
      <w:proofErr w:type="spellStart"/>
      <w:r w:rsidRPr="00354D78">
        <w:rPr>
          <w:rFonts w:ascii="Times New Roman" w:hAnsi="Times New Roman" w:cs="Times New Roman"/>
          <w:sz w:val="24"/>
          <w:szCs w:val="24"/>
        </w:rPr>
        <w:t>logit</w:t>
      </w:r>
      <w:proofErr w:type="spellEnd"/>
      <w:r w:rsidRPr="00354D78">
        <w:rPr>
          <w:rFonts w:ascii="Times New Roman" w:hAnsi="Times New Roman" w:cs="Times New Roman"/>
          <w:sz w:val="24"/>
          <w:szCs w:val="24"/>
        </w:rPr>
        <w:t xml:space="preserve"> em Vieira e Vieira, 2013), a probabilidade de frequentar o ensino superior depende muito da escolaridade dos pais, não só por razões financeiras, mas também porque esta influencia o conhecimento relativo aos benefícios decorrentes da educação. (</w:t>
      </w:r>
      <w:proofErr w:type="spellStart"/>
      <w:r w:rsidRPr="00354D78">
        <w:rPr>
          <w:rFonts w:ascii="Times New Roman" w:hAnsi="Times New Roman" w:cs="Times New Roman"/>
          <w:sz w:val="24"/>
          <w:szCs w:val="24"/>
        </w:rPr>
        <w:t>Gayle</w:t>
      </w:r>
      <w:proofErr w:type="spellEnd"/>
      <w:r w:rsidRPr="00354D78">
        <w:rPr>
          <w:rFonts w:ascii="Times New Roman" w:hAnsi="Times New Roman" w:cs="Times New Roman"/>
          <w:sz w:val="24"/>
          <w:szCs w:val="24"/>
        </w:rPr>
        <w:t xml:space="preserve"> </w:t>
      </w:r>
      <w:proofErr w:type="spellStart"/>
      <w:r w:rsidRPr="00354D78">
        <w:rPr>
          <w:rFonts w:ascii="Times New Roman" w:hAnsi="Times New Roman" w:cs="Times New Roman"/>
          <w:sz w:val="24"/>
          <w:szCs w:val="24"/>
        </w:rPr>
        <w:t>et</w:t>
      </w:r>
      <w:proofErr w:type="spellEnd"/>
      <w:r w:rsidRPr="00354D78">
        <w:rPr>
          <w:rFonts w:ascii="Times New Roman" w:hAnsi="Times New Roman" w:cs="Times New Roman"/>
          <w:sz w:val="24"/>
          <w:szCs w:val="24"/>
        </w:rPr>
        <w:t xml:space="preserve"> al., 2003). Hertz </w:t>
      </w:r>
      <w:proofErr w:type="spellStart"/>
      <w:r w:rsidRPr="00354D78">
        <w:rPr>
          <w:rFonts w:ascii="Times New Roman" w:hAnsi="Times New Roman" w:cs="Times New Roman"/>
          <w:sz w:val="24"/>
          <w:szCs w:val="24"/>
        </w:rPr>
        <w:t>et</w:t>
      </w:r>
      <w:proofErr w:type="spellEnd"/>
      <w:r w:rsidRPr="00354D78">
        <w:rPr>
          <w:rFonts w:ascii="Times New Roman" w:hAnsi="Times New Roman" w:cs="Times New Roman"/>
          <w:sz w:val="24"/>
          <w:szCs w:val="24"/>
        </w:rPr>
        <w:t xml:space="preserve"> al. (2007) identificaram este efeito de persistência educacional numa amostra de quarenta e dois países, que não incluía Portugal, observando também grandes diferenças regionais nos resultados. A OCDE (2007, p. 119) mostra que os alunos portugueses são cerca de 3,2 vezes mais propensos a frequentar o ensino superior se os seus pais possuírem um diploma universitário, sendo esta a maior proporção entre os dez países da União Europeia (UE) analisados​​. Dados mais recentes mostram que Portugal continua a ser o país onde a probabilidade de aceder ao ensino superior, se tiver um pai licenciado, sobre a probabilidade de entrar, se o pai tiver habilitações abaixo do ensino secundário (indicador de 'persistência' no ensino superior), é a mais elevada de entre os países analisados.</w:t>
      </w:r>
    </w:p>
    <w:p w14:paraId="7CDDB302"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Causa e </w:t>
      </w:r>
      <w:proofErr w:type="spellStart"/>
      <w:r w:rsidRPr="00354D78">
        <w:rPr>
          <w:rFonts w:ascii="Times New Roman" w:hAnsi="Times New Roman" w:cs="Times New Roman"/>
          <w:sz w:val="24"/>
          <w:szCs w:val="24"/>
        </w:rPr>
        <w:t>Johansson</w:t>
      </w:r>
      <w:proofErr w:type="spellEnd"/>
      <w:r w:rsidRPr="00354D78">
        <w:rPr>
          <w:rFonts w:ascii="Times New Roman" w:hAnsi="Times New Roman" w:cs="Times New Roman"/>
          <w:sz w:val="24"/>
          <w:szCs w:val="24"/>
        </w:rPr>
        <w:t xml:space="preserve"> (2009), num estudo para os países da OCDE, mostram que a mobilidade social é menor no Luxemburgo e nos países do sul da Europa. Os países nórdicos são os que apresentam um maior grau de mobilidade social entre gerações. Dois factores determinantes desta diferença são a educação e os cuidados pré-escolares, ambos largamente dependentes das políticas públicas nestes sectores. Em ambos os casos, Portugal surge claramente atrás dos restantes países europeus. Por exemplo, a </w:t>
      </w:r>
      <w:r w:rsidRPr="00354D78">
        <w:rPr>
          <w:rFonts w:ascii="Times New Roman" w:hAnsi="Times New Roman" w:cs="Times New Roman"/>
          <w:sz w:val="24"/>
          <w:szCs w:val="24"/>
        </w:rPr>
        <w:fldChar w:fldCharType="begin"/>
      </w:r>
      <w:r w:rsidRPr="00354D78">
        <w:rPr>
          <w:rFonts w:ascii="Times New Roman" w:hAnsi="Times New Roman" w:cs="Times New Roman"/>
          <w:sz w:val="24"/>
          <w:szCs w:val="24"/>
        </w:rPr>
        <w:instrText xml:space="preserve"> REF _Ref365363777 \h </w:instrText>
      </w:r>
      <w:r w:rsidRPr="00354D78">
        <w:rPr>
          <w:rFonts w:ascii="Times New Roman" w:hAnsi="Times New Roman" w:cs="Times New Roman"/>
          <w:sz w:val="24"/>
          <w:szCs w:val="24"/>
        </w:rPr>
      </w:r>
      <w:r w:rsidRPr="00354D78">
        <w:rPr>
          <w:rFonts w:ascii="Times New Roman" w:hAnsi="Times New Roman" w:cs="Times New Roman"/>
          <w:sz w:val="24"/>
          <w:szCs w:val="24"/>
        </w:rPr>
        <w:fldChar w:fldCharType="separate"/>
      </w:r>
      <w:r w:rsidRPr="00354D78">
        <w:rPr>
          <w:rFonts w:ascii="Times New Roman" w:hAnsi="Times New Roman" w:cs="Times New Roman"/>
          <w:b/>
          <w:noProof/>
          <w:sz w:val="24"/>
          <w:szCs w:val="24"/>
        </w:rPr>
        <w:t xml:space="preserve">Figura </w:t>
      </w:r>
      <w:r w:rsidR="00FD7B44">
        <w:rPr>
          <w:rFonts w:ascii="Times New Roman" w:hAnsi="Times New Roman" w:cs="Times New Roman"/>
          <w:b/>
          <w:noProof/>
          <w:sz w:val="24"/>
          <w:szCs w:val="24"/>
        </w:rPr>
        <w:t>2</w:t>
      </w:r>
      <w:r w:rsidRPr="00354D78">
        <w:rPr>
          <w:rFonts w:ascii="Times New Roman" w:hAnsi="Times New Roman" w:cs="Times New Roman"/>
          <w:sz w:val="24"/>
          <w:szCs w:val="24"/>
        </w:rPr>
        <w:fldChar w:fldCharType="end"/>
      </w:r>
      <w:r w:rsidRPr="00354D78">
        <w:rPr>
          <w:rFonts w:ascii="Times New Roman" w:hAnsi="Times New Roman" w:cs="Times New Roman"/>
          <w:sz w:val="24"/>
          <w:szCs w:val="24"/>
        </w:rPr>
        <w:t xml:space="preserve"> apresenta a percentagem de população na faixa etária dos 25 aos 64 anos com um diploma de ensino superior.</w:t>
      </w:r>
    </w:p>
    <w:p w14:paraId="60295F2B" w14:textId="77777777" w:rsidR="00D10D1D" w:rsidRPr="00354D78" w:rsidRDefault="00D10D1D" w:rsidP="00D10D1D">
      <w:pPr>
        <w:spacing w:line="360" w:lineRule="auto"/>
        <w:jc w:val="both"/>
        <w:rPr>
          <w:rFonts w:ascii="Times New Roman" w:hAnsi="Times New Roman" w:cs="Times New Roman"/>
          <w:b/>
          <w:noProof/>
          <w:sz w:val="24"/>
          <w:szCs w:val="24"/>
        </w:rPr>
      </w:pPr>
      <w:bookmarkStart w:id="2" w:name="_Ref365363777"/>
      <w:r w:rsidRPr="00354D78">
        <w:rPr>
          <w:rFonts w:ascii="Times New Roman" w:hAnsi="Times New Roman" w:cs="Times New Roman"/>
          <w:b/>
          <w:noProof/>
          <w:sz w:val="24"/>
          <w:szCs w:val="24"/>
        </w:rPr>
        <w:t xml:space="preserve">Figura </w:t>
      </w:r>
      <w:bookmarkEnd w:id="2"/>
      <w:r w:rsidR="00FD7B44">
        <w:rPr>
          <w:rFonts w:ascii="Times New Roman" w:hAnsi="Times New Roman" w:cs="Times New Roman"/>
          <w:b/>
          <w:noProof/>
          <w:sz w:val="24"/>
          <w:szCs w:val="24"/>
        </w:rPr>
        <w:t>2</w:t>
      </w:r>
      <w:r w:rsidRPr="00354D78">
        <w:rPr>
          <w:rFonts w:ascii="Times New Roman" w:hAnsi="Times New Roman" w:cs="Times New Roman"/>
          <w:b/>
          <w:noProof/>
          <w:sz w:val="24"/>
          <w:szCs w:val="24"/>
        </w:rPr>
        <w:t>: Percentagem de população entre 25 e 64 anos com ensino superior (dados de 2011)</w:t>
      </w:r>
    </w:p>
    <w:p w14:paraId="2E34CFCF" w14:textId="77777777" w:rsidR="00D10D1D" w:rsidRPr="00354D78" w:rsidRDefault="00D10D1D" w:rsidP="00D10D1D">
      <w:pPr>
        <w:spacing w:line="360" w:lineRule="auto"/>
        <w:jc w:val="center"/>
        <w:rPr>
          <w:rFonts w:ascii="Times New Roman" w:hAnsi="Times New Roman" w:cs="Times New Roman"/>
          <w:sz w:val="24"/>
          <w:szCs w:val="24"/>
        </w:rPr>
      </w:pPr>
      <w:r w:rsidRPr="00354D78">
        <w:rPr>
          <w:rFonts w:ascii="Times New Roman" w:hAnsi="Times New Roman" w:cs="Times New Roman"/>
          <w:noProof/>
          <w:sz w:val="24"/>
          <w:szCs w:val="24"/>
          <w:lang w:val="en-US"/>
        </w:rPr>
        <w:lastRenderedPageBreak/>
        <w:drawing>
          <wp:inline distT="0" distB="0" distL="0" distR="0" wp14:anchorId="53A8DE66" wp14:editId="1068DEC7">
            <wp:extent cx="3348990" cy="4314357"/>
            <wp:effectExtent l="19050" t="0" r="3810" b="0"/>
            <wp:docPr id="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3350752" cy="4316626"/>
                    </a:xfrm>
                    <a:prstGeom prst="rect">
                      <a:avLst/>
                    </a:prstGeom>
                    <a:noFill/>
                    <a:ln w="9525">
                      <a:noFill/>
                      <a:miter lim="800000"/>
                      <a:headEnd/>
                      <a:tailEnd/>
                    </a:ln>
                  </pic:spPr>
                </pic:pic>
              </a:graphicData>
            </a:graphic>
          </wp:inline>
        </w:drawing>
      </w:r>
    </w:p>
    <w:p w14:paraId="3B151436" w14:textId="77777777" w:rsidR="00D10D1D" w:rsidRPr="00354D78" w:rsidRDefault="00D10D1D" w:rsidP="00D10D1D">
      <w:pPr>
        <w:spacing w:after="0" w:line="360" w:lineRule="auto"/>
        <w:jc w:val="center"/>
        <w:rPr>
          <w:rFonts w:ascii="Times New Roman" w:hAnsi="Times New Roman" w:cs="Times New Roman"/>
          <w:sz w:val="24"/>
          <w:szCs w:val="24"/>
          <w:lang w:val="en-US"/>
        </w:rPr>
      </w:pPr>
      <w:proofErr w:type="spellStart"/>
      <w:proofErr w:type="gramStart"/>
      <w:r w:rsidRPr="00354D78">
        <w:rPr>
          <w:rFonts w:ascii="Times New Roman" w:hAnsi="Times New Roman" w:cs="Times New Roman"/>
          <w:sz w:val="24"/>
          <w:szCs w:val="24"/>
          <w:lang w:val="en-US"/>
        </w:rPr>
        <w:t>fonte</w:t>
      </w:r>
      <w:proofErr w:type="spellEnd"/>
      <w:proofErr w:type="gramEnd"/>
      <w:r w:rsidRPr="00354D78">
        <w:rPr>
          <w:rFonts w:ascii="Times New Roman" w:hAnsi="Times New Roman" w:cs="Times New Roman"/>
          <w:sz w:val="24"/>
          <w:szCs w:val="24"/>
          <w:lang w:val="en-US"/>
        </w:rPr>
        <w:t>: OCDE, Education at a Glance (2013)</w:t>
      </w:r>
    </w:p>
    <w:p w14:paraId="32B5378E" w14:textId="77777777" w:rsidR="00D10D1D" w:rsidRPr="00354D78" w:rsidRDefault="00D10D1D" w:rsidP="00D10D1D">
      <w:pPr>
        <w:spacing w:line="360" w:lineRule="auto"/>
        <w:jc w:val="both"/>
        <w:rPr>
          <w:rFonts w:ascii="Times New Roman" w:hAnsi="Times New Roman" w:cs="Times New Roman"/>
          <w:sz w:val="24"/>
          <w:szCs w:val="24"/>
          <w:lang w:val="en-US"/>
        </w:rPr>
      </w:pPr>
    </w:p>
    <w:p w14:paraId="6D21178D"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Como podemos observar no gráfico, Portugal encontra-se no fundo desta lista de países europeus, apenas acima da Itália e da Turquia. Nesta faixa etária, apenas 17% dos portugueses entre os 25 e os 64 anos possuía em 2011 um diploma de ensino superior, um valor que é quase metade da média dos países da OCDE (32%).</w:t>
      </w:r>
    </w:p>
    <w:p w14:paraId="29917BAD"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E a situação relativa de Portugal piora ainda mais se descermos um grau de ensino e compararmos a taxa de graduação do ensino secundário nos mesmos países europeus e para o mesmo ano de 2011.</w:t>
      </w:r>
      <w:r w:rsidR="0037653D">
        <w:rPr>
          <w:rFonts w:ascii="Times New Roman" w:hAnsi="Times New Roman" w:cs="Times New Roman"/>
          <w:sz w:val="24"/>
          <w:szCs w:val="24"/>
        </w:rPr>
        <w:t xml:space="preserve"> </w:t>
      </w:r>
      <w:r w:rsidRPr="00354D78">
        <w:rPr>
          <w:rFonts w:ascii="Times New Roman" w:hAnsi="Times New Roman" w:cs="Times New Roman"/>
          <w:sz w:val="24"/>
          <w:szCs w:val="24"/>
        </w:rPr>
        <w:t xml:space="preserve">Neste caso, Portugal ocupa mesmo o último lugar na lista de países europeus da OCDE. Apenas 18% da população entre os 25 e os 64 anos tinha como habilitações académicas o ensino secundário completo, um valor muito semelhante à percentagem que possuía um grau de ensino superior. </w:t>
      </w:r>
      <w:r w:rsidR="0037653D">
        <w:rPr>
          <w:rFonts w:ascii="Times New Roman" w:hAnsi="Times New Roman" w:cs="Times New Roman"/>
          <w:sz w:val="24"/>
          <w:szCs w:val="24"/>
        </w:rPr>
        <w:t xml:space="preserve"> Assim, e</w:t>
      </w:r>
      <w:r w:rsidRPr="00354D78">
        <w:rPr>
          <w:rFonts w:ascii="Times New Roman" w:hAnsi="Times New Roman" w:cs="Times New Roman"/>
          <w:sz w:val="24"/>
          <w:szCs w:val="24"/>
        </w:rPr>
        <w:t>m Portugal, em 2011, apenas um terço da população nesta faixa etária possuía o ensino secundário ou terciário, quando a média da OCDE é de mais do dobro, com 77% da população com pelo menos o ensino secundário completo. Em 2011, 44% dos portugueses entre os 25 e os 64 anos possuía como habilitações literárias o ensino primário ou menos.</w:t>
      </w:r>
    </w:p>
    <w:p w14:paraId="4D4274A3"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lastRenderedPageBreak/>
        <w:t>Em termos de níveis de educação, Portugal apresenta péssimas perspectivas de incentivo à mobilidade social. Em termos de educação pré-primária os números são menos negativos. Apesar de se encontrar nos últimos lugares na lista de países europeus em termos de educação pré-escolar (o gráfico mostra a taxa de participação de crianças de 4 anos), os valores apresentados estão já ligeiramente acima da média da OCDE.</w:t>
      </w:r>
    </w:p>
    <w:p w14:paraId="0981746C" w14:textId="77777777" w:rsidR="00D10D1D" w:rsidRPr="00354D78" w:rsidRDefault="00D10D1D" w:rsidP="00D10D1D">
      <w:pPr>
        <w:spacing w:line="360" w:lineRule="auto"/>
        <w:jc w:val="both"/>
        <w:rPr>
          <w:rFonts w:ascii="Times New Roman" w:hAnsi="Times New Roman" w:cs="Times New Roman"/>
          <w:sz w:val="24"/>
          <w:szCs w:val="24"/>
        </w:rPr>
      </w:pPr>
    </w:p>
    <w:p w14:paraId="465C1998" w14:textId="77777777" w:rsidR="00D10D1D" w:rsidRPr="00354D78" w:rsidRDefault="00D10D1D" w:rsidP="00D10D1D">
      <w:pPr>
        <w:spacing w:line="360" w:lineRule="auto"/>
        <w:jc w:val="both"/>
        <w:rPr>
          <w:rFonts w:ascii="Times New Roman" w:hAnsi="Times New Roman" w:cs="Times New Roman"/>
          <w:b/>
          <w:noProof/>
          <w:sz w:val="24"/>
          <w:szCs w:val="24"/>
        </w:rPr>
      </w:pPr>
      <w:r w:rsidRPr="00354D78">
        <w:rPr>
          <w:rFonts w:ascii="Times New Roman" w:hAnsi="Times New Roman" w:cs="Times New Roman"/>
          <w:b/>
          <w:noProof/>
          <w:sz w:val="24"/>
          <w:szCs w:val="24"/>
        </w:rPr>
        <w:t xml:space="preserve">Figura </w:t>
      </w:r>
      <w:r w:rsidR="00FD7B44">
        <w:rPr>
          <w:rFonts w:ascii="Times New Roman" w:hAnsi="Times New Roman" w:cs="Times New Roman"/>
          <w:b/>
          <w:noProof/>
          <w:sz w:val="24"/>
          <w:szCs w:val="24"/>
        </w:rPr>
        <w:t>3</w:t>
      </w:r>
      <w:r w:rsidRPr="00354D78">
        <w:rPr>
          <w:rFonts w:ascii="Times New Roman" w:hAnsi="Times New Roman" w:cs="Times New Roman"/>
          <w:b/>
          <w:noProof/>
          <w:sz w:val="24"/>
          <w:szCs w:val="24"/>
        </w:rPr>
        <w:t>: Percentagem de crianças de 4 anos matriculadas no ensino pré-primário (dados de 2011)</w:t>
      </w:r>
    </w:p>
    <w:p w14:paraId="564EA533"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noProof/>
          <w:sz w:val="24"/>
          <w:szCs w:val="24"/>
          <w:lang w:val="en-US"/>
        </w:rPr>
        <w:drawing>
          <wp:inline distT="0" distB="0" distL="0" distR="0" wp14:anchorId="2237251A" wp14:editId="389721C0">
            <wp:extent cx="5400040" cy="2872448"/>
            <wp:effectExtent l="19050" t="0" r="0" b="0"/>
            <wp:docPr id="1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5400040" cy="2872448"/>
                    </a:xfrm>
                    <a:prstGeom prst="rect">
                      <a:avLst/>
                    </a:prstGeom>
                    <a:noFill/>
                    <a:ln w="9525">
                      <a:noFill/>
                      <a:miter lim="800000"/>
                      <a:headEnd/>
                      <a:tailEnd/>
                    </a:ln>
                  </pic:spPr>
                </pic:pic>
              </a:graphicData>
            </a:graphic>
          </wp:inline>
        </w:drawing>
      </w:r>
    </w:p>
    <w:p w14:paraId="22246C39" w14:textId="77777777" w:rsidR="00D10D1D" w:rsidRPr="00354D78" w:rsidRDefault="00D10D1D" w:rsidP="00D10D1D">
      <w:pPr>
        <w:spacing w:after="0" w:line="360" w:lineRule="auto"/>
        <w:jc w:val="center"/>
        <w:rPr>
          <w:rFonts w:ascii="Times New Roman" w:hAnsi="Times New Roman" w:cs="Times New Roman"/>
          <w:sz w:val="24"/>
          <w:szCs w:val="24"/>
          <w:lang w:val="en-US"/>
        </w:rPr>
      </w:pPr>
      <w:proofErr w:type="spellStart"/>
      <w:proofErr w:type="gramStart"/>
      <w:r w:rsidRPr="00354D78">
        <w:rPr>
          <w:rFonts w:ascii="Times New Roman" w:hAnsi="Times New Roman" w:cs="Times New Roman"/>
          <w:sz w:val="24"/>
          <w:szCs w:val="24"/>
          <w:lang w:val="en-US"/>
        </w:rPr>
        <w:t>fonte</w:t>
      </w:r>
      <w:proofErr w:type="spellEnd"/>
      <w:proofErr w:type="gramEnd"/>
      <w:r w:rsidRPr="00354D78">
        <w:rPr>
          <w:rFonts w:ascii="Times New Roman" w:hAnsi="Times New Roman" w:cs="Times New Roman"/>
          <w:sz w:val="24"/>
          <w:szCs w:val="24"/>
          <w:lang w:val="en-US"/>
        </w:rPr>
        <w:t>: OCDE, Education at a Glance (2013)</w:t>
      </w:r>
    </w:p>
    <w:p w14:paraId="6A588040" w14:textId="77777777" w:rsidR="00D10D1D" w:rsidRPr="00354D78" w:rsidRDefault="00D10D1D" w:rsidP="00D10D1D">
      <w:pPr>
        <w:spacing w:line="360" w:lineRule="auto"/>
        <w:jc w:val="both"/>
        <w:rPr>
          <w:rFonts w:ascii="Times New Roman" w:hAnsi="Times New Roman" w:cs="Times New Roman"/>
          <w:sz w:val="24"/>
          <w:szCs w:val="24"/>
          <w:lang w:val="en-US"/>
        </w:rPr>
      </w:pPr>
    </w:p>
    <w:p w14:paraId="603D0445"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Causa e </w:t>
      </w:r>
      <w:proofErr w:type="spellStart"/>
      <w:r w:rsidRPr="00354D78">
        <w:rPr>
          <w:rFonts w:ascii="Times New Roman" w:hAnsi="Times New Roman" w:cs="Times New Roman"/>
          <w:sz w:val="24"/>
          <w:szCs w:val="24"/>
        </w:rPr>
        <w:t>Chapuis</w:t>
      </w:r>
      <w:proofErr w:type="spellEnd"/>
      <w:r w:rsidRPr="00354D78">
        <w:rPr>
          <w:rFonts w:ascii="Times New Roman" w:hAnsi="Times New Roman" w:cs="Times New Roman"/>
          <w:sz w:val="24"/>
          <w:szCs w:val="24"/>
        </w:rPr>
        <w:t xml:space="preserve"> (2009), por exemplo, mostram que a taxa de participação e o nível de investimento público em educação pré-escolar conseguem compensar parcialmente a influência da família nas capacidades cognitivas dos adolescentes.</w:t>
      </w:r>
    </w:p>
    <w:p w14:paraId="1FD9AFEC"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Para além dos níveis de educação da população e dos cuidados pré-escolares, Causa e </w:t>
      </w:r>
      <w:proofErr w:type="spellStart"/>
      <w:r w:rsidRPr="00354D78">
        <w:rPr>
          <w:rFonts w:ascii="Times New Roman" w:hAnsi="Times New Roman" w:cs="Times New Roman"/>
          <w:sz w:val="24"/>
          <w:szCs w:val="24"/>
        </w:rPr>
        <w:t>Johansson</w:t>
      </w:r>
      <w:proofErr w:type="spellEnd"/>
      <w:r w:rsidRPr="00354D78">
        <w:rPr>
          <w:rFonts w:ascii="Times New Roman" w:hAnsi="Times New Roman" w:cs="Times New Roman"/>
          <w:sz w:val="24"/>
          <w:szCs w:val="24"/>
        </w:rPr>
        <w:t xml:space="preserve"> (2009) mostram que um outro determinante da mobilidade social são as políticas redistributivas de rendimentos. Os países variam consideravelmente na importância que atribuem à redistribuição e equidade, e isso tem impacto na correlação entre o estatuto socioeconómico das diferentes gerações. </w:t>
      </w:r>
    </w:p>
    <w:p w14:paraId="7D3EB6F0"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No caso particular do acesso ao ensino superior, quanto menor o valor das propinas cobradas aos estudantes e quanto maior o número de estudantes ajudados pelo apoio </w:t>
      </w:r>
      <w:r w:rsidRPr="00354D78">
        <w:rPr>
          <w:rFonts w:ascii="Times New Roman" w:hAnsi="Times New Roman" w:cs="Times New Roman"/>
          <w:sz w:val="24"/>
          <w:szCs w:val="24"/>
        </w:rPr>
        <w:lastRenderedPageBreak/>
        <w:t xml:space="preserve">social escolar ou por um esquema de crédito bancário apoiado pelo Estado, maior o efeito redistributivo e maiores as possibilidades de mobilidade social. </w:t>
      </w:r>
    </w:p>
    <w:p w14:paraId="69FD1CF5"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Por outro lado, pode também argumentar-se que uma maior redistribuição implica uma maior eficiência económica, pois permite uma melhor afectação e valorização dos recursos humanos de uma sociedade. Neste sentido, alguns estudos (e.g. </w:t>
      </w:r>
      <w:proofErr w:type="spellStart"/>
      <w:r w:rsidRPr="00354D78">
        <w:rPr>
          <w:rFonts w:ascii="Times New Roman" w:hAnsi="Times New Roman" w:cs="Times New Roman"/>
          <w:sz w:val="24"/>
          <w:szCs w:val="24"/>
        </w:rPr>
        <w:t>Galor</w:t>
      </w:r>
      <w:proofErr w:type="spellEnd"/>
      <w:r w:rsidRPr="00354D78">
        <w:rPr>
          <w:rFonts w:ascii="Times New Roman" w:hAnsi="Times New Roman" w:cs="Times New Roman"/>
          <w:sz w:val="24"/>
          <w:szCs w:val="24"/>
        </w:rPr>
        <w:t xml:space="preserve"> </w:t>
      </w:r>
      <w:proofErr w:type="spellStart"/>
      <w:r w:rsidRPr="00354D78">
        <w:rPr>
          <w:rFonts w:ascii="Times New Roman" w:hAnsi="Times New Roman" w:cs="Times New Roman"/>
          <w:sz w:val="24"/>
          <w:szCs w:val="24"/>
        </w:rPr>
        <w:t>and</w:t>
      </w:r>
      <w:proofErr w:type="spellEnd"/>
      <w:r w:rsidRPr="00354D78">
        <w:rPr>
          <w:rFonts w:ascii="Times New Roman" w:hAnsi="Times New Roman" w:cs="Times New Roman"/>
          <w:sz w:val="24"/>
          <w:szCs w:val="24"/>
        </w:rPr>
        <w:t xml:space="preserve"> </w:t>
      </w:r>
      <w:proofErr w:type="spellStart"/>
      <w:r w:rsidRPr="00354D78">
        <w:rPr>
          <w:rFonts w:ascii="Times New Roman" w:hAnsi="Times New Roman" w:cs="Times New Roman"/>
          <w:sz w:val="24"/>
          <w:szCs w:val="24"/>
        </w:rPr>
        <w:t>Tsiddon</w:t>
      </w:r>
      <w:proofErr w:type="spellEnd"/>
      <w:r w:rsidRPr="00354D78">
        <w:rPr>
          <w:rFonts w:ascii="Times New Roman" w:hAnsi="Times New Roman" w:cs="Times New Roman"/>
          <w:sz w:val="24"/>
          <w:szCs w:val="24"/>
        </w:rPr>
        <w:t>, 1997) têm mostrado que uma baixa mobilidade social tem consequências negativas no crescimento económico dos países. Isto implica que as políticas públicas que contribuam para aumentar a mobilidade social, designadamente promovendo o ensino superior a estudantes de famílias com menores níveis de educação e de rendimentos, estão simultaneamente a combater as desigualdades sociais e a promover o crescimento económico.</w:t>
      </w:r>
    </w:p>
    <w:p w14:paraId="2E4CC1F1" w14:textId="77777777" w:rsidR="00D10D1D" w:rsidRPr="00FD7B44" w:rsidRDefault="00D10D1D" w:rsidP="00FD7B44">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Diversos estudos mostram que o investimento público na educação aumenta a mobilidade social entre gerações (vd. por exemplo </w:t>
      </w:r>
      <w:proofErr w:type="spellStart"/>
      <w:r w:rsidRPr="00354D78">
        <w:rPr>
          <w:rFonts w:ascii="Times New Roman" w:hAnsi="Times New Roman" w:cs="Times New Roman"/>
          <w:sz w:val="24"/>
          <w:szCs w:val="24"/>
        </w:rPr>
        <w:t>Solon</w:t>
      </w:r>
      <w:proofErr w:type="spellEnd"/>
      <w:r w:rsidRPr="00354D78">
        <w:rPr>
          <w:rFonts w:ascii="Times New Roman" w:hAnsi="Times New Roman" w:cs="Times New Roman"/>
          <w:sz w:val="24"/>
          <w:szCs w:val="24"/>
        </w:rPr>
        <w:t xml:space="preserve">, 2004 ou Mayer e </w:t>
      </w:r>
      <w:proofErr w:type="spellStart"/>
      <w:r w:rsidRPr="00354D78">
        <w:rPr>
          <w:rFonts w:ascii="Times New Roman" w:hAnsi="Times New Roman" w:cs="Times New Roman"/>
          <w:sz w:val="24"/>
          <w:szCs w:val="24"/>
        </w:rPr>
        <w:t>Lopoo</w:t>
      </w:r>
      <w:proofErr w:type="spellEnd"/>
      <w:r w:rsidRPr="00354D78">
        <w:rPr>
          <w:rFonts w:ascii="Times New Roman" w:hAnsi="Times New Roman" w:cs="Times New Roman"/>
          <w:sz w:val="24"/>
          <w:szCs w:val="24"/>
        </w:rPr>
        <w:t>, 2008), sobretudo em sociedades onde as famílias enfrentam restrições financeiras. No caso de Portugal, apesar da muito baixa taxa de diplomados e da necessidade de convergência para os níveis médios europeus, o investimento no ensino superior é dos mais baixos registados na Europa, apenas à frente de três países do Leste Europeu.</w:t>
      </w:r>
    </w:p>
    <w:p w14:paraId="51B8F358" w14:textId="77777777" w:rsidR="00D10D1D"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Existe, em diversos países, uma consciência crescente da necessidade de promover o acesso ao ensino superior, para aumentar a mobilidade social e, dessa forma, melhorar a formação dos trabalhadores e as perspectivas de crescimento económico. Muitos países promovem já medidas para assegurar vagas no ensino superior para estudantes provenientes de minorias ou de meios socioeconómicos mais desfavorecidos. </w:t>
      </w:r>
      <w:proofErr w:type="spellStart"/>
      <w:r w:rsidRPr="00354D78">
        <w:rPr>
          <w:rFonts w:ascii="Times New Roman" w:hAnsi="Times New Roman" w:cs="Times New Roman"/>
          <w:sz w:val="24"/>
          <w:szCs w:val="24"/>
        </w:rPr>
        <w:t>Haveman</w:t>
      </w:r>
      <w:proofErr w:type="spellEnd"/>
      <w:r w:rsidRPr="00354D78">
        <w:rPr>
          <w:rFonts w:ascii="Times New Roman" w:hAnsi="Times New Roman" w:cs="Times New Roman"/>
          <w:sz w:val="24"/>
          <w:szCs w:val="24"/>
        </w:rPr>
        <w:t xml:space="preserve"> e </w:t>
      </w:r>
      <w:proofErr w:type="spellStart"/>
      <w:r w:rsidRPr="00354D78">
        <w:rPr>
          <w:rFonts w:ascii="Times New Roman" w:hAnsi="Times New Roman" w:cs="Times New Roman"/>
          <w:sz w:val="24"/>
          <w:szCs w:val="24"/>
        </w:rPr>
        <w:t>Smeeding</w:t>
      </w:r>
      <w:proofErr w:type="spellEnd"/>
      <w:r w:rsidRPr="00354D78">
        <w:rPr>
          <w:rFonts w:ascii="Times New Roman" w:hAnsi="Times New Roman" w:cs="Times New Roman"/>
          <w:sz w:val="24"/>
          <w:szCs w:val="24"/>
        </w:rPr>
        <w:t xml:space="preserve"> (2006) ou </w:t>
      </w:r>
      <w:proofErr w:type="spellStart"/>
      <w:r w:rsidRPr="00354D78">
        <w:rPr>
          <w:rFonts w:ascii="Times New Roman" w:hAnsi="Times New Roman" w:cs="Times New Roman"/>
          <w:sz w:val="24"/>
          <w:szCs w:val="24"/>
        </w:rPr>
        <w:t>Greenstone</w:t>
      </w:r>
      <w:proofErr w:type="spellEnd"/>
      <w:r w:rsidRPr="00354D78">
        <w:rPr>
          <w:rFonts w:ascii="Times New Roman" w:hAnsi="Times New Roman" w:cs="Times New Roman"/>
          <w:sz w:val="24"/>
          <w:szCs w:val="24"/>
        </w:rPr>
        <w:t xml:space="preserve"> (2013), para os EUA, e </w:t>
      </w:r>
      <w:proofErr w:type="spellStart"/>
      <w:r w:rsidRPr="00354D78">
        <w:rPr>
          <w:rFonts w:ascii="Times New Roman" w:hAnsi="Times New Roman" w:cs="Times New Roman"/>
          <w:sz w:val="24"/>
          <w:szCs w:val="24"/>
        </w:rPr>
        <w:t>Milburn</w:t>
      </w:r>
      <w:proofErr w:type="spellEnd"/>
      <w:r w:rsidRPr="00354D78">
        <w:rPr>
          <w:rFonts w:ascii="Times New Roman" w:hAnsi="Times New Roman" w:cs="Times New Roman"/>
          <w:sz w:val="24"/>
          <w:szCs w:val="24"/>
        </w:rPr>
        <w:t xml:space="preserve"> (2012), para o caso particular do Reino Unido por exemplo, enumeram um vasto conjunto de acções que as instituições e o governo devem implementar para tornar mais equitativo o acesso ao ensino superior. </w:t>
      </w:r>
      <w:proofErr w:type="spellStart"/>
      <w:r w:rsidRPr="00354D78">
        <w:rPr>
          <w:rFonts w:ascii="Times New Roman" w:hAnsi="Times New Roman" w:cs="Times New Roman"/>
          <w:sz w:val="24"/>
          <w:szCs w:val="24"/>
        </w:rPr>
        <w:t>Edwards</w:t>
      </w:r>
      <w:proofErr w:type="spellEnd"/>
      <w:r w:rsidRPr="00354D78">
        <w:rPr>
          <w:rFonts w:ascii="Times New Roman" w:hAnsi="Times New Roman" w:cs="Times New Roman"/>
          <w:sz w:val="24"/>
          <w:szCs w:val="24"/>
        </w:rPr>
        <w:t xml:space="preserve"> </w:t>
      </w:r>
      <w:proofErr w:type="spellStart"/>
      <w:r w:rsidRPr="00354D78">
        <w:rPr>
          <w:rFonts w:ascii="Times New Roman" w:hAnsi="Times New Roman" w:cs="Times New Roman"/>
          <w:sz w:val="24"/>
          <w:szCs w:val="24"/>
        </w:rPr>
        <w:t>et</w:t>
      </w:r>
      <w:proofErr w:type="spellEnd"/>
      <w:r w:rsidRPr="00354D78">
        <w:rPr>
          <w:rFonts w:ascii="Times New Roman" w:hAnsi="Times New Roman" w:cs="Times New Roman"/>
          <w:sz w:val="24"/>
          <w:szCs w:val="24"/>
        </w:rPr>
        <w:t xml:space="preserve"> al. (2012) referem que, na Suécia, o método de selecção de candidatos para o ensino superior é organizado com o objectivo de diversificar a população estudantil e incentivar a admissão de estudantes provenientes de extractos sociais menos favorecidos. Para além dos candidatos que concorrem com base no desempenho na escola secundária, até um terço das novas entradas podem ser de indivíduos admitidos com base em entrevistas, experiência em determinadas áreas ou experiências alternativas de aprendizagem anterior.  </w:t>
      </w:r>
    </w:p>
    <w:p w14:paraId="3F5C6B08" w14:textId="77777777" w:rsidR="006F1A8B" w:rsidRPr="00092804" w:rsidRDefault="006F1A8B" w:rsidP="006F1A8B">
      <w:pPr>
        <w:spacing w:line="360" w:lineRule="auto"/>
        <w:rPr>
          <w:rFonts w:ascii="Times New Roman" w:hAnsi="Times New Roman" w:cs="Times New Roman"/>
          <w:b/>
          <w:sz w:val="24"/>
          <w:szCs w:val="24"/>
        </w:rPr>
      </w:pPr>
      <w:r w:rsidRPr="00092804">
        <w:rPr>
          <w:rFonts w:ascii="Times New Roman" w:hAnsi="Times New Roman" w:cs="Times New Roman"/>
          <w:b/>
          <w:sz w:val="24"/>
          <w:szCs w:val="24"/>
        </w:rPr>
        <w:t>4. Notas finais</w:t>
      </w:r>
    </w:p>
    <w:p w14:paraId="5782F99B" w14:textId="77777777" w:rsidR="005B642E" w:rsidRDefault="00D10D1D" w:rsidP="006F1A8B">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lastRenderedPageBreak/>
        <w:t>Em Portugal, a situação tem vindo a melhorar gradualmente nos últimos anos</w:t>
      </w:r>
      <w:r w:rsidR="006F1A8B">
        <w:rPr>
          <w:rFonts w:ascii="Times New Roman" w:hAnsi="Times New Roman" w:cs="Times New Roman"/>
          <w:sz w:val="24"/>
          <w:szCs w:val="24"/>
        </w:rPr>
        <w:t>, em termos de melhoria de capital humano e mobilidade social</w:t>
      </w:r>
      <w:r w:rsidRPr="00354D78">
        <w:rPr>
          <w:rFonts w:ascii="Times New Roman" w:hAnsi="Times New Roman" w:cs="Times New Roman"/>
          <w:sz w:val="24"/>
          <w:szCs w:val="24"/>
        </w:rPr>
        <w:t>.</w:t>
      </w:r>
      <w:r w:rsidR="006F1A8B">
        <w:rPr>
          <w:rFonts w:ascii="Times New Roman" w:hAnsi="Times New Roman" w:cs="Times New Roman"/>
          <w:sz w:val="24"/>
          <w:szCs w:val="24"/>
        </w:rPr>
        <w:t xml:space="preserve"> Este resultado está inequivocamente associado ao alargamento do sistema de ensino superior, localizado em diversas instituições ao longo do país, o que permitiu uma maior democratização no acesso a este subsistema de ensino.</w:t>
      </w:r>
      <w:r w:rsidRPr="00354D78">
        <w:rPr>
          <w:rFonts w:ascii="Times New Roman" w:hAnsi="Times New Roman" w:cs="Times New Roman"/>
          <w:sz w:val="24"/>
          <w:szCs w:val="24"/>
        </w:rPr>
        <w:t xml:space="preserve"> </w:t>
      </w:r>
      <w:r w:rsidR="006F1A8B">
        <w:rPr>
          <w:rFonts w:ascii="Times New Roman" w:hAnsi="Times New Roman" w:cs="Times New Roman"/>
          <w:sz w:val="24"/>
          <w:szCs w:val="24"/>
        </w:rPr>
        <w:t xml:space="preserve">Contudo, o efeito de ‘persistência educacional’ é bastante significativo no nosso país, à semelhança do que se verifica noutros países onde as assimetrias económico-sociais são significativas. </w:t>
      </w:r>
    </w:p>
    <w:p w14:paraId="56AE9822" w14:textId="77777777" w:rsidR="00D10D1D" w:rsidRPr="006F1A8B" w:rsidRDefault="00D10D1D" w:rsidP="006F1A8B">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A percentagem de população na faixa etária 25-64 anos com um diploma de ensino superior passou de 9% em 2000 para 13% em 2005, 14% em 2008 e 17% em 2011, um aumento expressivo apesar de, como vimos, nos deixar ainda na cauda dos países europeus neste indicador. Porém, as medidas de austeridade dos últimos anos podem amortecer significativamente esta evolução. A austeridade tem provocado desemprego, recessão</w:t>
      </w:r>
      <w:r w:rsidR="00CC3568">
        <w:rPr>
          <w:rFonts w:ascii="Times New Roman" w:hAnsi="Times New Roman" w:cs="Times New Roman"/>
          <w:sz w:val="24"/>
          <w:szCs w:val="24"/>
        </w:rPr>
        <w:t xml:space="preserve"> económica</w:t>
      </w:r>
      <w:r w:rsidRPr="00354D78">
        <w:rPr>
          <w:rFonts w:ascii="Times New Roman" w:hAnsi="Times New Roman" w:cs="Times New Roman"/>
          <w:sz w:val="24"/>
          <w:szCs w:val="24"/>
        </w:rPr>
        <w:t>, cortes nos orçamentos das universidades</w:t>
      </w:r>
      <w:r w:rsidR="00CC3568">
        <w:rPr>
          <w:rFonts w:ascii="Times New Roman" w:hAnsi="Times New Roman" w:cs="Times New Roman"/>
          <w:sz w:val="24"/>
          <w:szCs w:val="24"/>
        </w:rPr>
        <w:t xml:space="preserve"> e das famílias</w:t>
      </w:r>
      <w:r w:rsidRPr="00354D78">
        <w:rPr>
          <w:rFonts w:ascii="Times New Roman" w:hAnsi="Times New Roman" w:cs="Times New Roman"/>
          <w:sz w:val="24"/>
          <w:szCs w:val="24"/>
        </w:rPr>
        <w:t>, diminuição do apoio social escolar e aumento de propinas. Uma consequência imediata tem sido o abandono precoce do ensino superior, e uma descida assinalável no número de candidatos, que este ano foi 9% inferior a 2012. As consequências de médio e longo prazo das medidas de austeridade podem ser um ciclo vicioso de baixos níveis educativos, baixo crescimento económico e menor mobilidade social.</w:t>
      </w:r>
    </w:p>
    <w:p w14:paraId="030F2E9E" w14:textId="77777777" w:rsidR="00D10D1D" w:rsidRPr="00354D78" w:rsidRDefault="00D10D1D" w:rsidP="00D10D1D">
      <w:pPr>
        <w:spacing w:line="360" w:lineRule="auto"/>
        <w:rPr>
          <w:rFonts w:ascii="Times New Roman" w:hAnsi="Times New Roman" w:cs="Times New Roman"/>
          <w:b/>
          <w:sz w:val="24"/>
          <w:szCs w:val="24"/>
          <w:lang w:val="en-US"/>
        </w:rPr>
      </w:pPr>
      <w:proofErr w:type="spellStart"/>
      <w:r w:rsidRPr="00354D78">
        <w:rPr>
          <w:rFonts w:ascii="Times New Roman" w:hAnsi="Times New Roman" w:cs="Times New Roman"/>
          <w:b/>
          <w:sz w:val="24"/>
          <w:szCs w:val="24"/>
          <w:lang w:val="en-US"/>
        </w:rPr>
        <w:t>Referências</w:t>
      </w:r>
      <w:proofErr w:type="spellEnd"/>
    </w:p>
    <w:p w14:paraId="787C03D7" w14:textId="77777777" w:rsidR="00D10D1D" w:rsidRPr="00354D78" w:rsidRDefault="00D10D1D" w:rsidP="00D10D1D">
      <w:pPr>
        <w:spacing w:line="360" w:lineRule="auto"/>
        <w:jc w:val="both"/>
        <w:rPr>
          <w:rFonts w:ascii="Times New Roman" w:hAnsi="Times New Roman" w:cs="Times New Roman"/>
          <w:sz w:val="24"/>
          <w:szCs w:val="24"/>
          <w:lang w:val="en-US"/>
        </w:rPr>
      </w:pPr>
      <w:proofErr w:type="spellStart"/>
      <w:r w:rsidRPr="00354D78">
        <w:rPr>
          <w:rFonts w:ascii="Times New Roman" w:hAnsi="Times New Roman" w:cs="Times New Roman"/>
          <w:sz w:val="24"/>
          <w:szCs w:val="24"/>
          <w:lang w:val="en-US"/>
        </w:rPr>
        <w:t>Blanden</w:t>
      </w:r>
      <w:proofErr w:type="spellEnd"/>
      <w:r w:rsidRPr="00354D78">
        <w:rPr>
          <w:rFonts w:ascii="Times New Roman" w:hAnsi="Times New Roman" w:cs="Times New Roman"/>
          <w:sz w:val="24"/>
          <w:szCs w:val="24"/>
          <w:lang w:val="en-US"/>
        </w:rPr>
        <w:t xml:space="preserve">, J. (2008) Intergenerational Income Mobility in a Comparative Perspective, in P. </w:t>
      </w:r>
      <w:proofErr w:type="gramStart"/>
      <w:r w:rsidRPr="00354D78">
        <w:rPr>
          <w:rFonts w:ascii="Times New Roman" w:hAnsi="Times New Roman" w:cs="Times New Roman"/>
          <w:sz w:val="24"/>
          <w:szCs w:val="24"/>
          <w:lang w:val="en-US"/>
        </w:rPr>
        <w:t>Dolton ,</w:t>
      </w:r>
      <w:proofErr w:type="gramEnd"/>
      <w:r w:rsidRPr="00354D78">
        <w:rPr>
          <w:rFonts w:ascii="Times New Roman" w:hAnsi="Times New Roman" w:cs="Times New Roman"/>
          <w:sz w:val="24"/>
          <w:szCs w:val="24"/>
          <w:lang w:val="en-US"/>
        </w:rPr>
        <w:t xml:space="preserve"> R. </w:t>
      </w:r>
      <w:proofErr w:type="spellStart"/>
      <w:r w:rsidRPr="00354D78">
        <w:rPr>
          <w:rFonts w:ascii="Times New Roman" w:hAnsi="Times New Roman" w:cs="Times New Roman"/>
          <w:sz w:val="24"/>
          <w:szCs w:val="24"/>
          <w:lang w:val="en-US"/>
        </w:rPr>
        <w:t>Apslund</w:t>
      </w:r>
      <w:proofErr w:type="spellEnd"/>
      <w:r w:rsidRPr="00354D78">
        <w:rPr>
          <w:rFonts w:ascii="Times New Roman" w:hAnsi="Times New Roman" w:cs="Times New Roman"/>
          <w:sz w:val="24"/>
          <w:szCs w:val="24"/>
          <w:lang w:val="en-US"/>
        </w:rPr>
        <w:t xml:space="preserve"> and E. Barth (eds.), Education and Inequality Across Europe, Edward Edgar. </w:t>
      </w:r>
    </w:p>
    <w:p w14:paraId="48AC41E6" w14:textId="77777777" w:rsidR="00D10D1D" w:rsidRPr="00354D78" w:rsidRDefault="00D10D1D" w:rsidP="00D10D1D">
      <w:pPr>
        <w:spacing w:line="360" w:lineRule="auto"/>
        <w:jc w:val="both"/>
        <w:rPr>
          <w:rFonts w:ascii="Times New Roman" w:hAnsi="Times New Roman" w:cs="Times New Roman"/>
          <w:sz w:val="24"/>
          <w:szCs w:val="24"/>
          <w:lang w:val="en-US"/>
        </w:rPr>
      </w:pPr>
      <w:proofErr w:type="spellStart"/>
      <w:r w:rsidRPr="00354D78">
        <w:rPr>
          <w:rFonts w:ascii="Times New Roman" w:hAnsi="Times New Roman" w:cs="Times New Roman"/>
          <w:sz w:val="24"/>
          <w:szCs w:val="24"/>
          <w:lang w:val="en-US"/>
        </w:rPr>
        <w:t>Causa</w:t>
      </w:r>
      <w:proofErr w:type="spellEnd"/>
      <w:r w:rsidRPr="00354D78">
        <w:rPr>
          <w:rFonts w:ascii="Times New Roman" w:hAnsi="Times New Roman" w:cs="Times New Roman"/>
          <w:sz w:val="24"/>
          <w:szCs w:val="24"/>
          <w:lang w:val="en-US"/>
        </w:rPr>
        <w:t xml:space="preserve">, O. e </w:t>
      </w:r>
      <w:proofErr w:type="spellStart"/>
      <w:r w:rsidRPr="00354D78">
        <w:rPr>
          <w:rFonts w:ascii="Times New Roman" w:hAnsi="Times New Roman" w:cs="Times New Roman"/>
          <w:sz w:val="24"/>
          <w:szCs w:val="24"/>
          <w:lang w:val="en-US"/>
        </w:rPr>
        <w:t>Chapuis</w:t>
      </w:r>
      <w:proofErr w:type="spellEnd"/>
      <w:r w:rsidRPr="00354D78">
        <w:rPr>
          <w:rFonts w:ascii="Times New Roman" w:hAnsi="Times New Roman" w:cs="Times New Roman"/>
          <w:sz w:val="24"/>
          <w:szCs w:val="24"/>
          <w:lang w:val="en-US"/>
        </w:rPr>
        <w:t>, C. (2009) Equity in Student Achievement across OECD Countries: An Investigation of the Role of Policies, OECD Economics Department Working Papers No.708.</w:t>
      </w:r>
    </w:p>
    <w:p w14:paraId="1368E99A" w14:textId="77777777" w:rsidR="00D10D1D" w:rsidRPr="006F1A8B" w:rsidRDefault="00D10D1D" w:rsidP="006F1A8B">
      <w:pPr>
        <w:spacing w:line="360" w:lineRule="auto"/>
        <w:jc w:val="both"/>
        <w:rPr>
          <w:rFonts w:ascii="Times New Roman" w:hAnsi="Times New Roman" w:cs="Times New Roman"/>
          <w:sz w:val="24"/>
          <w:szCs w:val="24"/>
          <w:lang w:val="en-US"/>
        </w:rPr>
      </w:pPr>
      <w:proofErr w:type="spellStart"/>
      <w:r w:rsidRPr="00354D78">
        <w:rPr>
          <w:rFonts w:ascii="Times New Roman" w:hAnsi="Times New Roman" w:cs="Times New Roman"/>
          <w:sz w:val="24"/>
          <w:szCs w:val="24"/>
          <w:lang w:val="en-US"/>
        </w:rPr>
        <w:t>Causa</w:t>
      </w:r>
      <w:proofErr w:type="spellEnd"/>
      <w:r w:rsidRPr="00354D78">
        <w:rPr>
          <w:rFonts w:ascii="Times New Roman" w:hAnsi="Times New Roman" w:cs="Times New Roman"/>
          <w:sz w:val="24"/>
          <w:szCs w:val="24"/>
          <w:lang w:val="en-US"/>
        </w:rPr>
        <w:t xml:space="preserve">, O. e Johansson, A. (2009) Intergenerational Social Mobility, Economics Department Working Papers No. 707, OECD - </w:t>
      </w:r>
      <w:proofErr w:type="spellStart"/>
      <w:r w:rsidRPr="00354D78">
        <w:rPr>
          <w:rFonts w:ascii="Times New Roman" w:hAnsi="Times New Roman" w:cs="Times New Roman"/>
          <w:sz w:val="24"/>
          <w:szCs w:val="24"/>
          <w:lang w:val="en-US"/>
        </w:rPr>
        <w:t>Organisation</w:t>
      </w:r>
      <w:proofErr w:type="spellEnd"/>
      <w:r w:rsidRPr="00354D78">
        <w:rPr>
          <w:rFonts w:ascii="Times New Roman" w:hAnsi="Times New Roman" w:cs="Times New Roman"/>
          <w:sz w:val="24"/>
          <w:szCs w:val="24"/>
          <w:lang w:val="en-US"/>
        </w:rPr>
        <w:t xml:space="preserve"> for Economic Cooperation and Development.</w:t>
      </w:r>
    </w:p>
    <w:p w14:paraId="3AD672A4" w14:textId="77777777" w:rsidR="00D10D1D" w:rsidRPr="00354D78" w:rsidRDefault="00D10D1D" w:rsidP="00D10D1D">
      <w:pPr>
        <w:spacing w:line="360" w:lineRule="auto"/>
        <w:jc w:val="both"/>
        <w:rPr>
          <w:rFonts w:ascii="Times New Roman" w:hAnsi="Times New Roman" w:cs="Times New Roman"/>
          <w:sz w:val="24"/>
          <w:szCs w:val="24"/>
          <w:lang w:val="en-US"/>
        </w:rPr>
      </w:pPr>
      <w:proofErr w:type="spellStart"/>
      <w:r w:rsidRPr="00354D78">
        <w:rPr>
          <w:rFonts w:ascii="Times New Roman" w:hAnsi="Times New Roman" w:cs="Times New Roman"/>
          <w:sz w:val="24"/>
          <w:szCs w:val="24"/>
          <w:lang w:val="en-US"/>
        </w:rPr>
        <w:t>Corak</w:t>
      </w:r>
      <w:proofErr w:type="spellEnd"/>
      <w:r w:rsidRPr="00354D78">
        <w:rPr>
          <w:rFonts w:ascii="Times New Roman" w:hAnsi="Times New Roman" w:cs="Times New Roman"/>
          <w:sz w:val="24"/>
          <w:szCs w:val="24"/>
          <w:lang w:val="en-US"/>
        </w:rPr>
        <w:t xml:space="preserve">, M. (2006) Do Poor Children Become Poor Adults? </w:t>
      </w:r>
      <w:proofErr w:type="gramStart"/>
      <w:r w:rsidRPr="00354D78">
        <w:rPr>
          <w:rFonts w:ascii="Times New Roman" w:hAnsi="Times New Roman" w:cs="Times New Roman"/>
          <w:sz w:val="24"/>
          <w:szCs w:val="24"/>
          <w:lang w:val="en-US"/>
        </w:rPr>
        <w:t>Lessons from a Cross Country Comparison of Generational Earnings Mobility, IZA Discussion Paper No. 1993.</w:t>
      </w:r>
      <w:proofErr w:type="gramEnd"/>
    </w:p>
    <w:p w14:paraId="4FF8D22C" w14:textId="77777777" w:rsidR="00D10D1D" w:rsidRPr="00354D78" w:rsidRDefault="00D10D1D" w:rsidP="00D10D1D">
      <w:pPr>
        <w:spacing w:line="360" w:lineRule="auto"/>
        <w:jc w:val="both"/>
        <w:rPr>
          <w:rFonts w:ascii="Times New Roman" w:hAnsi="Times New Roman" w:cs="Times New Roman"/>
          <w:sz w:val="24"/>
          <w:szCs w:val="24"/>
          <w:lang w:val="en-US"/>
        </w:rPr>
      </w:pPr>
      <w:proofErr w:type="spellStart"/>
      <w:r w:rsidRPr="00354D78">
        <w:rPr>
          <w:rFonts w:ascii="Times New Roman" w:hAnsi="Times New Roman" w:cs="Times New Roman"/>
          <w:sz w:val="24"/>
          <w:szCs w:val="24"/>
          <w:lang w:val="en-US"/>
        </w:rPr>
        <w:lastRenderedPageBreak/>
        <w:t>Corak</w:t>
      </w:r>
      <w:proofErr w:type="spellEnd"/>
      <w:r w:rsidRPr="00354D78">
        <w:rPr>
          <w:rFonts w:ascii="Times New Roman" w:hAnsi="Times New Roman" w:cs="Times New Roman"/>
          <w:sz w:val="24"/>
          <w:szCs w:val="24"/>
          <w:lang w:val="en-US"/>
        </w:rPr>
        <w:t>, M. (2012) Inequality from Generation to Generation:  The United States in Comparison, forthcoming.</w:t>
      </w:r>
    </w:p>
    <w:p w14:paraId="17A3BE99" w14:textId="77777777" w:rsidR="00D10D1D" w:rsidRPr="00354D78" w:rsidRDefault="00D10D1D" w:rsidP="00D10D1D">
      <w:pPr>
        <w:spacing w:line="360" w:lineRule="auto"/>
        <w:jc w:val="both"/>
        <w:rPr>
          <w:rFonts w:ascii="Times New Roman" w:hAnsi="Times New Roman" w:cs="Times New Roman"/>
          <w:sz w:val="24"/>
          <w:szCs w:val="24"/>
          <w:lang w:val="en-US"/>
        </w:rPr>
      </w:pPr>
      <w:proofErr w:type="spellStart"/>
      <w:r w:rsidRPr="00354D78">
        <w:rPr>
          <w:rFonts w:ascii="Times New Roman" w:hAnsi="Times New Roman" w:cs="Times New Roman"/>
          <w:sz w:val="24"/>
          <w:szCs w:val="24"/>
          <w:lang w:val="en-US"/>
        </w:rPr>
        <w:t>D’Addio</w:t>
      </w:r>
      <w:proofErr w:type="spellEnd"/>
      <w:r w:rsidRPr="00354D78">
        <w:rPr>
          <w:rFonts w:ascii="Times New Roman" w:hAnsi="Times New Roman" w:cs="Times New Roman"/>
          <w:sz w:val="24"/>
          <w:szCs w:val="24"/>
          <w:lang w:val="en-US"/>
        </w:rPr>
        <w:t>, A. (2007) Intergenerational Transmission of Disadvantage: Mobility or Immobility Across Generations? A Review of the Evidence for OECD countries, OECD Social, Employment and Migration Working Paper, No. 52.</w:t>
      </w:r>
    </w:p>
    <w:p w14:paraId="7FD3BA89" w14:textId="77777777" w:rsidR="00D10D1D" w:rsidRPr="00354D78" w:rsidRDefault="00D10D1D" w:rsidP="00D10D1D">
      <w:pPr>
        <w:spacing w:line="360" w:lineRule="auto"/>
        <w:jc w:val="both"/>
        <w:rPr>
          <w:rFonts w:ascii="Times New Roman" w:hAnsi="Times New Roman" w:cs="Times New Roman"/>
          <w:sz w:val="24"/>
          <w:szCs w:val="24"/>
          <w:lang w:val="en-US"/>
        </w:rPr>
      </w:pPr>
      <w:proofErr w:type="gramStart"/>
      <w:r w:rsidRPr="00354D78">
        <w:rPr>
          <w:rFonts w:ascii="Times New Roman" w:hAnsi="Times New Roman" w:cs="Times New Roman"/>
          <w:sz w:val="24"/>
          <w:szCs w:val="24"/>
          <w:lang w:val="en-US"/>
        </w:rPr>
        <w:t xml:space="preserve">Edwards, D., Coates, H. and Friedman, T. (2012) A survey of international practice in university admissions testing, Higher Education </w:t>
      </w:r>
      <w:proofErr w:type="spellStart"/>
      <w:r w:rsidRPr="00354D78">
        <w:rPr>
          <w:rFonts w:ascii="Times New Roman" w:hAnsi="Times New Roman" w:cs="Times New Roman"/>
          <w:sz w:val="24"/>
          <w:szCs w:val="24"/>
          <w:lang w:val="en-US"/>
        </w:rPr>
        <w:t>Mangement</w:t>
      </w:r>
      <w:proofErr w:type="spellEnd"/>
      <w:r w:rsidRPr="00354D78">
        <w:rPr>
          <w:rFonts w:ascii="Times New Roman" w:hAnsi="Times New Roman" w:cs="Times New Roman"/>
          <w:sz w:val="24"/>
          <w:szCs w:val="24"/>
          <w:lang w:val="en-US"/>
        </w:rPr>
        <w:t xml:space="preserve"> Policy, 24 (1), 87-104.</w:t>
      </w:r>
      <w:proofErr w:type="gramEnd"/>
    </w:p>
    <w:p w14:paraId="78A81A7E" w14:textId="77777777" w:rsidR="00D10D1D" w:rsidRPr="00354D78" w:rsidRDefault="00D10D1D" w:rsidP="00D10D1D">
      <w:pPr>
        <w:spacing w:line="360" w:lineRule="auto"/>
        <w:jc w:val="both"/>
        <w:rPr>
          <w:rFonts w:ascii="Times New Roman" w:hAnsi="Times New Roman" w:cs="Times New Roman"/>
          <w:sz w:val="24"/>
          <w:szCs w:val="24"/>
          <w:lang w:val="en-US"/>
        </w:rPr>
      </w:pPr>
      <w:proofErr w:type="spellStart"/>
      <w:proofErr w:type="gramStart"/>
      <w:r w:rsidRPr="00354D78">
        <w:rPr>
          <w:rFonts w:ascii="Times New Roman" w:hAnsi="Times New Roman" w:cs="Times New Roman"/>
          <w:sz w:val="24"/>
          <w:szCs w:val="24"/>
          <w:lang w:val="en-US"/>
        </w:rPr>
        <w:t>Galor</w:t>
      </w:r>
      <w:proofErr w:type="spellEnd"/>
      <w:r w:rsidRPr="00354D78">
        <w:rPr>
          <w:rFonts w:ascii="Times New Roman" w:hAnsi="Times New Roman" w:cs="Times New Roman"/>
          <w:sz w:val="24"/>
          <w:szCs w:val="24"/>
          <w:lang w:val="en-US"/>
        </w:rPr>
        <w:t xml:space="preserve">, O e D. </w:t>
      </w:r>
      <w:proofErr w:type="spellStart"/>
      <w:r w:rsidRPr="00354D78">
        <w:rPr>
          <w:rFonts w:ascii="Times New Roman" w:hAnsi="Times New Roman" w:cs="Times New Roman"/>
          <w:sz w:val="24"/>
          <w:szCs w:val="24"/>
          <w:lang w:val="en-US"/>
        </w:rPr>
        <w:t>Tsiddon</w:t>
      </w:r>
      <w:proofErr w:type="spellEnd"/>
      <w:r w:rsidRPr="00354D78">
        <w:rPr>
          <w:rFonts w:ascii="Times New Roman" w:hAnsi="Times New Roman" w:cs="Times New Roman"/>
          <w:sz w:val="24"/>
          <w:szCs w:val="24"/>
          <w:lang w:val="en-US"/>
        </w:rPr>
        <w:t xml:space="preserve"> (1997) Technological Progress, Mobility, and Economic Growth, American Economic Review, 87.</w:t>
      </w:r>
      <w:proofErr w:type="gramEnd"/>
    </w:p>
    <w:p w14:paraId="640D565F" w14:textId="77777777" w:rsidR="00D10D1D" w:rsidRPr="00354D78" w:rsidRDefault="00D10D1D" w:rsidP="00D10D1D">
      <w:pPr>
        <w:spacing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lang w:val="en-US"/>
        </w:rPr>
        <w:t xml:space="preserve">Gayle, V., </w:t>
      </w:r>
      <w:proofErr w:type="spellStart"/>
      <w:r w:rsidRPr="00354D78">
        <w:rPr>
          <w:rFonts w:ascii="Times New Roman" w:hAnsi="Times New Roman" w:cs="Times New Roman"/>
          <w:sz w:val="24"/>
          <w:szCs w:val="24"/>
          <w:lang w:val="en-US"/>
        </w:rPr>
        <w:t>Berridge</w:t>
      </w:r>
      <w:proofErr w:type="spellEnd"/>
      <w:r w:rsidRPr="00354D78">
        <w:rPr>
          <w:rFonts w:ascii="Times New Roman" w:hAnsi="Times New Roman" w:cs="Times New Roman"/>
          <w:sz w:val="24"/>
          <w:szCs w:val="24"/>
          <w:lang w:val="en-US"/>
        </w:rPr>
        <w:t xml:space="preserve">, D. e Davies, R. (2003) Econometric Analysis of the Demand for Higher Education, Department for Education and Skills Research Report 472, University of </w:t>
      </w:r>
      <w:proofErr w:type="spellStart"/>
      <w:r w:rsidRPr="00354D78">
        <w:rPr>
          <w:rFonts w:ascii="Times New Roman" w:hAnsi="Times New Roman" w:cs="Times New Roman"/>
          <w:sz w:val="24"/>
          <w:szCs w:val="24"/>
          <w:lang w:val="en-US"/>
        </w:rPr>
        <w:t>Stirling</w:t>
      </w:r>
      <w:proofErr w:type="spellEnd"/>
      <w:r w:rsidRPr="00354D78">
        <w:rPr>
          <w:rFonts w:ascii="Times New Roman" w:hAnsi="Times New Roman" w:cs="Times New Roman"/>
          <w:sz w:val="24"/>
          <w:szCs w:val="24"/>
          <w:lang w:val="en-US"/>
        </w:rPr>
        <w:t>.</w:t>
      </w:r>
    </w:p>
    <w:p w14:paraId="6EB76B6D" w14:textId="77777777" w:rsidR="00D10D1D" w:rsidRPr="00354D78" w:rsidRDefault="00D10D1D" w:rsidP="00D10D1D">
      <w:pPr>
        <w:spacing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lang w:val="en-US"/>
        </w:rPr>
        <w:t xml:space="preserve">Green, A., Preston, J. &amp; </w:t>
      </w:r>
      <w:proofErr w:type="spellStart"/>
      <w:r w:rsidRPr="00354D78">
        <w:rPr>
          <w:rFonts w:ascii="Times New Roman" w:hAnsi="Times New Roman" w:cs="Times New Roman"/>
          <w:sz w:val="24"/>
          <w:szCs w:val="24"/>
          <w:lang w:val="en-US"/>
        </w:rPr>
        <w:t>Sabates</w:t>
      </w:r>
      <w:proofErr w:type="spellEnd"/>
      <w:r w:rsidRPr="00354D78">
        <w:rPr>
          <w:rFonts w:ascii="Times New Roman" w:hAnsi="Times New Roman" w:cs="Times New Roman"/>
          <w:sz w:val="24"/>
          <w:szCs w:val="24"/>
          <w:lang w:val="en-US"/>
        </w:rPr>
        <w:t xml:space="preserve">, R. (2003), Education, Equity and Social Cohesion: a Distributional Model. London: Centre for </w:t>
      </w:r>
      <w:proofErr w:type="spellStart"/>
      <w:r w:rsidRPr="00354D78">
        <w:rPr>
          <w:rFonts w:ascii="Times New Roman" w:hAnsi="Times New Roman" w:cs="Times New Roman"/>
          <w:sz w:val="24"/>
          <w:szCs w:val="24"/>
          <w:lang w:val="en-US"/>
        </w:rPr>
        <w:t>Researche</w:t>
      </w:r>
      <w:proofErr w:type="spellEnd"/>
      <w:r w:rsidRPr="00354D78">
        <w:rPr>
          <w:rFonts w:ascii="Times New Roman" w:hAnsi="Times New Roman" w:cs="Times New Roman"/>
          <w:sz w:val="24"/>
          <w:szCs w:val="24"/>
          <w:lang w:val="en-US"/>
        </w:rPr>
        <w:t xml:space="preserve"> on the Wider Benefits of Learning.</w:t>
      </w:r>
    </w:p>
    <w:p w14:paraId="0DA12A8A" w14:textId="77777777" w:rsidR="00D10D1D" w:rsidRPr="00354D78" w:rsidRDefault="00D10D1D" w:rsidP="00D10D1D">
      <w:pPr>
        <w:spacing w:line="360" w:lineRule="auto"/>
        <w:jc w:val="both"/>
        <w:rPr>
          <w:rFonts w:ascii="Times New Roman" w:hAnsi="Times New Roman" w:cs="Times New Roman"/>
          <w:sz w:val="24"/>
          <w:szCs w:val="24"/>
          <w:lang w:val="en-US"/>
        </w:rPr>
      </w:pPr>
      <w:proofErr w:type="gramStart"/>
      <w:r w:rsidRPr="00354D78">
        <w:rPr>
          <w:rFonts w:ascii="Times New Roman" w:hAnsi="Times New Roman" w:cs="Times New Roman"/>
          <w:sz w:val="24"/>
          <w:szCs w:val="24"/>
          <w:lang w:val="en-US"/>
        </w:rPr>
        <w:t xml:space="preserve">Greenstone, M., Looney, A., </w:t>
      </w:r>
      <w:proofErr w:type="spellStart"/>
      <w:r w:rsidRPr="00354D78">
        <w:rPr>
          <w:rFonts w:ascii="Times New Roman" w:hAnsi="Times New Roman" w:cs="Times New Roman"/>
          <w:sz w:val="24"/>
          <w:szCs w:val="24"/>
          <w:lang w:val="en-US"/>
        </w:rPr>
        <w:t>Patashnik</w:t>
      </w:r>
      <w:proofErr w:type="spellEnd"/>
      <w:r w:rsidRPr="00354D78">
        <w:rPr>
          <w:rFonts w:ascii="Times New Roman" w:hAnsi="Times New Roman" w:cs="Times New Roman"/>
          <w:sz w:val="24"/>
          <w:szCs w:val="24"/>
          <w:lang w:val="en-US"/>
        </w:rPr>
        <w:t>, J. e Yu, M. (2013) Thirteen Economic Facts about Social Mobility and the Role of Education, The Hamilton Project, Policy Memo, June.</w:t>
      </w:r>
      <w:proofErr w:type="gramEnd"/>
    </w:p>
    <w:p w14:paraId="7AE9A002" w14:textId="77777777" w:rsidR="00D10D1D" w:rsidRPr="00354D78" w:rsidRDefault="00D10D1D" w:rsidP="00D10D1D">
      <w:pPr>
        <w:spacing w:line="360" w:lineRule="auto"/>
        <w:jc w:val="both"/>
        <w:rPr>
          <w:rFonts w:ascii="Times New Roman" w:hAnsi="Times New Roman" w:cs="Times New Roman"/>
          <w:sz w:val="24"/>
          <w:szCs w:val="24"/>
          <w:lang w:val="en-US"/>
        </w:rPr>
      </w:pPr>
      <w:proofErr w:type="spellStart"/>
      <w:r w:rsidRPr="00354D78">
        <w:rPr>
          <w:rFonts w:ascii="Times New Roman" w:hAnsi="Times New Roman" w:cs="Times New Roman"/>
          <w:sz w:val="24"/>
          <w:szCs w:val="24"/>
          <w:lang w:val="en-US"/>
        </w:rPr>
        <w:t>Haveman</w:t>
      </w:r>
      <w:proofErr w:type="spellEnd"/>
      <w:r w:rsidRPr="00354D78">
        <w:rPr>
          <w:rFonts w:ascii="Times New Roman" w:hAnsi="Times New Roman" w:cs="Times New Roman"/>
          <w:sz w:val="24"/>
          <w:szCs w:val="24"/>
          <w:lang w:val="en-US"/>
        </w:rPr>
        <w:t xml:space="preserve">, R. e </w:t>
      </w:r>
      <w:proofErr w:type="spellStart"/>
      <w:r w:rsidRPr="00354D78">
        <w:rPr>
          <w:rFonts w:ascii="Times New Roman" w:hAnsi="Times New Roman" w:cs="Times New Roman"/>
          <w:sz w:val="24"/>
          <w:szCs w:val="24"/>
          <w:lang w:val="en-US"/>
        </w:rPr>
        <w:t>Smeeding</w:t>
      </w:r>
      <w:proofErr w:type="spellEnd"/>
      <w:r w:rsidRPr="00354D78">
        <w:rPr>
          <w:rFonts w:ascii="Times New Roman" w:hAnsi="Times New Roman" w:cs="Times New Roman"/>
          <w:sz w:val="24"/>
          <w:szCs w:val="24"/>
          <w:lang w:val="en-US"/>
        </w:rPr>
        <w:t>, T. (</w:t>
      </w:r>
      <w:proofErr w:type="gramStart"/>
      <w:r w:rsidRPr="00354D78">
        <w:rPr>
          <w:rFonts w:ascii="Times New Roman" w:hAnsi="Times New Roman" w:cs="Times New Roman"/>
          <w:sz w:val="24"/>
          <w:szCs w:val="24"/>
          <w:lang w:val="en-US"/>
        </w:rPr>
        <w:t>2006)The</w:t>
      </w:r>
      <w:proofErr w:type="gramEnd"/>
      <w:r w:rsidRPr="00354D78">
        <w:rPr>
          <w:rFonts w:ascii="Times New Roman" w:hAnsi="Times New Roman" w:cs="Times New Roman"/>
          <w:sz w:val="24"/>
          <w:szCs w:val="24"/>
          <w:lang w:val="en-US"/>
        </w:rPr>
        <w:t xml:space="preserve"> Role of Higher Education in Social Mobility, The Future of Children, Opportunity in America, 16(2), 125-150.</w:t>
      </w:r>
    </w:p>
    <w:p w14:paraId="6FAC6F8C" w14:textId="77777777" w:rsidR="00D10D1D" w:rsidRPr="00354D78" w:rsidRDefault="00D10D1D" w:rsidP="00FA1342">
      <w:pPr>
        <w:spacing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lang w:val="en-US"/>
        </w:rPr>
        <w:t xml:space="preserve">Hertz, T., </w:t>
      </w:r>
      <w:proofErr w:type="spellStart"/>
      <w:r w:rsidRPr="00354D78">
        <w:rPr>
          <w:rFonts w:ascii="Times New Roman" w:hAnsi="Times New Roman" w:cs="Times New Roman"/>
          <w:sz w:val="24"/>
          <w:szCs w:val="24"/>
          <w:lang w:val="en-US"/>
        </w:rPr>
        <w:t>Jayasundera</w:t>
      </w:r>
      <w:proofErr w:type="spellEnd"/>
      <w:r w:rsidRPr="00354D78">
        <w:rPr>
          <w:rFonts w:ascii="Times New Roman" w:hAnsi="Times New Roman" w:cs="Times New Roman"/>
          <w:sz w:val="24"/>
          <w:szCs w:val="24"/>
          <w:lang w:val="en-US"/>
        </w:rPr>
        <w:t xml:space="preserve">, T., </w:t>
      </w:r>
      <w:proofErr w:type="spellStart"/>
      <w:r w:rsidRPr="00354D78">
        <w:rPr>
          <w:rFonts w:ascii="Times New Roman" w:hAnsi="Times New Roman" w:cs="Times New Roman"/>
          <w:sz w:val="24"/>
          <w:szCs w:val="24"/>
          <w:lang w:val="en-US"/>
        </w:rPr>
        <w:t>Piraino</w:t>
      </w:r>
      <w:proofErr w:type="spellEnd"/>
      <w:r w:rsidRPr="00354D78">
        <w:rPr>
          <w:rFonts w:ascii="Times New Roman" w:hAnsi="Times New Roman" w:cs="Times New Roman"/>
          <w:sz w:val="24"/>
          <w:szCs w:val="24"/>
          <w:lang w:val="en-US"/>
        </w:rPr>
        <w:t xml:space="preserve">, P., </w:t>
      </w:r>
      <w:proofErr w:type="spellStart"/>
      <w:r w:rsidRPr="00354D78">
        <w:rPr>
          <w:rFonts w:ascii="Times New Roman" w:hAnsi="Times New Roman" w:cs="Times New Roman"/>
          <w:sz w:val="24"/>
          <w:szCs w:val="24"/>
          <w:lang w:val="en-US"/>
        </w:rPr>
        <w:t>Selcuk</w:t>
      </w:r>
      <w:proofErr w:type="spellEnd"/>
      <w:r w:rsidRPr="00354D78">
        <w:rPr>
          <w:rFonts w:ascii="Times New Roman" w:hAnsi="Times New Roman" w:cs="Times New Roman"/>
          <w:sz w:val="24"/>
          <w:szCs w:val="24"/>
          <w:lang w:val="en-US"/>
        </w:rPr>
        <w:t xml:space="preserve">, S., Smith, N. e </w:t>
      </w:r>
      <w:proofErr w:type="spellStart"/>
      <w:r w:rsidRPr="00354D78">
        <w:rPr>
          <w:rFonts w:ascii="Times New Roman" w:hAnsi="Times New Roman" w:cs="Times New Roman"/>
          <w:sz w:val="24"/>
          <w:szCs w:val="24"/>
          <w:lang w:val="en-US"/>
        </w:rPr>
        <w:t>Verashchagina</w:t>
      </w:r>
      <w:proofErr w:type="spellEnd"/>
      <w:r w:rsidRPr="00354D78">
        <w:rPr>
          <w:rFonts w:ascii="Times New Roman" w:hAnsi="Times New Roman" w:cs="Times New Roman"/>
          <w:sz w:val="24"/>
          <w:szCs w:val="24"/>
          <w:lang w:val="en-US"/>
        </w:rPr>
        <w:t>, A. (2007) The Inheritance of Educational Inequality: international comparisons and fifty-year trends, The B.E. Journal of Economic Analysis and Policy 7(2).</w:t>
      </w:r>
    </w:p>
    <w:p w14:paraId="454053C2" w14:textId="77777777" w:rsidR="00D10D1D" w:rsidRPr="00354D78" w:rsidRDefault="00D10D1D" w:rsidP="00D10D1D">
      <w:pPr>
        <w:spacing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lang w:val="en-US"/>
        </w:rPr>
        <w:t xml:space="preserve">Mayer, S. e </w:t>
      </w:r>
      <w:proofErr w:type="spellStart"/>
      <w:r w:rsidRPr="00354D78">
        <w:rPr>
          <w:rFonts w:ascii="Times New Roman" w:hAnsi="Times New Roman" w:cs="Times New Roman"/>
          <w:sz w:val="24"/>
          <w:szCs w:val="24"/>
          <w:lang w:val="en-US"/>
        </w:rPr>
        <w:t>Lopoo</w:t>
      </w:r>
      <w:proofErr w:type="spellEnd"/>
      <w:r w:rsidRPr="00354D78">
        <w:rPr>
          <w:rFonts w:ascii="Times New Roman" w:hAnsi="Times New Roman" w:cs="Times New Roman"/>
          <w:sz w:val="24"/>
          <w:szCs w:val="24"/>
          <w:lang w:val="en-US"/>
        </w:rPr>
        <w:t>, L. (2008) Government Spending and Intergenerational Mobility, Journal of Public Economics, 92, 139-158.</w:t>
      </w:r>
    </w:p>
    <w:p w14:paraId="4FDA03BB" w14:textId="77777777" w:rsidR="00D10D1D" w:rsidRPr="00354D78" w:rsidRDefault="00D10D1D" w:rsidP="00D10D1D">
      <w:pPr>
        <w:spacing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lang w:val="en-US"/>
        </w:rPr>
        <w:t>Milburn, A. (2012) University challenge: how higher education can advance social mobility: a progress report by the independent reviewer on social mobility and child poverty, Independent Reviewer on Social Mobility and Child Poverty, Cabinet Office.</w:t>
      </w:r>
    </w:p>
    <w:p w14:paraId="79CDF6FF" w14:textId="77777777" w:rsidR="00D10D1D" w:rsidRPr="00354D78" w:rsidRDefault="00D10D1D" w:rsidP="00D10D1D">
      <w:pPr>
        <w:spacing w:line="360" w:lineRule="auto"/>
        <w:jc w:val="both"/>
        <w:rPr>
          <w:rFonts w:ascii="Times New Roman" w:hAnsi="Times New Roman" w:cs="Times New Roman"/>
          <w:sz w:val="24"/>
          <w:szCs w:val="24"/>
          <w:lang w:val="en-US"/>
        </w:rPr>
      </w:pPr>
      <w:proofErr w:type="gramStart"/>
      <w:r w:rsidRPr="00354D78">
        <w:rPr>
          <w:rFonts w:ascii="Times New Roman" w:hAnsi="Times New Roman" w:cs="Times New Roman"/>
          <w:sz w:val="24"/>
          <w:szCs w:val="24"/>
          <w:lang w:val="en-US"/>
        </w:rPr>
        <w:t>OECD (2007) Education at a Glance, OECD Publishing.</w:t>
      </w:r>
      <w:proofErr w:type="gramEnd"/>
    </w:p>
    <w:p w14:paraId="6D897B36" w14:textId="77777777" w:rsidR="00FA1342" w:rsidRPr="006F1A8B" w:rsidRDefault="00D10D1D" w:rsidP="006F1A8B">
      <w:pPr>
        <w:spacing w:after="0" w:line="360" w:lineRule="auto"/>
        <w:jc w:val="both"/>
        <w:rPr>
          <w:rFonts w:ascii="Times New Roman" w:hAnsi="Times New Roman" w:cs="Times New Roman"/>
          <w:b/>
          <w:i/>
          <w:sz w:val="24"/>
          <w:szCs w:val="24"/>
          <w:lang w:val="en-GB"/>
        </w:rPr>
      </w:pPr>
      <w:r w:rsidRPr="00354D78">
        <w:rPr>
          <w:rFonts w:ascii="Times New Roman" w:hAnsi="Times New Roman" w:cs="Times New Roman"/>
          <w:i/>
          <w:sz w:val="24"/>
          <w:szCs w:val="24"/>
          <w:lang w:val="en-GB"/>
        </w:rPr>
        <w:lastRenderedPageBreak/>
        <w:t>OCDE (2007b) Higher education and the regions: globally competitive, locally engaged</w:t>
      </w:r>
      <w:r w:rsidRPr="00354D78">
        <w:rPr>
          <w:rFonts w:ascii="Times New Roman" w:hAnsi="Times New Roman" w:cs="Times New Roman"/>
          <w:sz w:val="24"/>
          <w:szCs w:val="24"/>
          <w:lang w:val="en-GB"/>
        </w:rPr>
        <w:t>, OECD Publishing,</w:t>
      </w:r>
      <w:r w:rsidRPr="00354D78">
        <w:rPr>
          <w:rFonts w:ascii="Times New Roman" w:hAnsi="Times New Roman" w:cs="Times New Roman"/>
          <w:color w:val="943634"/>
          <w:sz w:val="24"/>
          <w:szCs w:val="24"/>
          <w:lang w:val="en-GB"/>
        </w:rPr>
        <w:t xml:space="preserve"> </w:t>
      </w:r>
      <w:r w:rsidRPr="00354D78">
        <w:rPr>
          <w:rFonts w:ascii="Times New Roman" w:hAnsi="Times New Roman" w:cs="Times New Roman"/>
          <w:sz w:val="24"/>
          <w:szCs w:val="24"/>
          <w:lang w:val="en-GB"/>
        </w:rPr>
        <w:t>Paris.</w:t>
      </w:r>
    </w:p>
    <w:p w14:paraId="4E48BA15" w14:textId="77777777" w:rsidR="00D10D1D" w:rsidRPr="00354D78" w:rsidRDefault="00D10D1D" w:rsidP="00D10D1D">
      <w:pPr>
        <w:spacing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lang w:val="en-US"/>
        </w:rPr>
        <w:t>OECD (2013) Education at a Glance 2013: OECD Indicators, OECD Publishing.</w:t>
      </w:r>
    </w:p>
    <w:p w14:paraId="57178E05" w14:textId="77777777" w:rsidR="00D10D1D" w:rsidRPr="00092804" w:rsidRDefault="00D10D1D" w:rsidP="00D10D1D">
      <w:pPr>
        <w:widowControl w:val="0"/>
        <w:autoSpaceDE w:val="0"/>
        <w:autoSpaceDN w:val="0"/>
        <w:adjustRightInd w:val="0"/>
        <w:spacing w:line="360" w:lineRule="auto"/>
        <w:jc w:val="both"/>
        <w:rPr>
          <w:rFonts w:ascii="Times New Roman" w:hAnsi="Times New Roman" w:cs="Times New Roman"/>
          <w:sz w:val="24"/>
          <w:szCs w:val="24"/>
        </w:rPr>
      </w:pPr>
      <w:r w:rsidRPr="00092804">
        <w:rPr>
          <w:rFonts w:ascii="Times New Roman" w:hAnsi="Times New Roman" w:cs="Times New Roman"/>
          <w:sz w:val="24"/>
          <w:szCs w:val="24"/>
        </w:rPr>
        <w:t xml:space="preserve">Rego, C.; Caleiro, A.; Vieira, C.; Vieira, I.; Baltazar, M. S. (2013): </w:t>
      </w:r>
      <w:r w:rsidRPr="00092804">
        <w:rPr>
          <w:rFonts w:ascii="Times New Roman" w:hAnsi="Times New Roman" w:cs="Times New Roman"/>
          <w:i/>
          <w:iCs/>
          <w:sz w:val="24"/>
          <w:szCs w:val="24"/>
        </w:rPr>
        <w:t>Eficiência e/ou coesão territorial: de que modo uma rede de Instituições de Ensino Superior pode contribuir para estes objectivos?</w:t>
      </w:r>
      <w:r w:rsidRPr="00092804">
        <w:rPr>
          <w:rFonts w:ascii="Times New Roman" w:hAnsi="Times New Roman" w:cs="Times New Roman"/>
          <w:sz w:val="24"/>
          <w:szCs w:val="24"/>
        </w:rPr>
        <w:t xml:space="preserve"> </w:t>
      </w:r>
      <w:proofErr w:type="spellStart"/>
      <w:r w:rsidRPr="00092804">
        <w:rPr>
          <w:rFonts w:ascii="Times New Roman" w:hAnsi="Times New Roman" w:cs="Times New Roman"/>
          <w:sz w:val="24"/>
          <w:szCs w:val="24"/>
        </w:rPr>
        <w:t>Munich</w:t>
      </w:r>
      <w:proofErr w:type="spellEnd"/>
      <w:r w:rsidRPr="00092804">
        <w:rPr>
          <w:rFonts w:ascii="Times New Roman" w:hAnsi="Times New Roman" w:cs="Times New Roman"/>
          <w:sz w:val="24"/>
          <w:szCs w:val="24"/>
        </w:rPr>
        <w:t xml:space="preserve"> </w:t>
      </w:r>
      <w:proofErr w:type="spellStart"/>
      <w:r w:rsidRPr="00092804">
        <w:rPr>
          <w:rFonts w:ascii="Times New Roman" w:hAnsi="Times New Roman" w:cs="Times New Roman"/>
          <w:sz w:val="24"/>
          <w:szCs w:val="24"/>
        </w:rPr>
        <w:t>Personal</w:t>
      </w:r>
      <w:proofErr w:type="spellEnd"/>
      <w:r w:rsidRPr="00092804">
        <w:rPr>
          <w:rFonts w:ascii="Times New Roman" w:hAnsi="Times New Roman" w:cs="Times New Roman"/>
          <w:sz w:val="24"/>
          <w:szCs w:val="24"/>
        </w:rPr>
        <w:t xml:space="preserve"> </w:t>
      </w:r>
      <w:proofErr w:type="spellStart"/>
      <w:r w:rsidRPr="00092804">
        <w:rPr>
          <w:rFonts w:ascii="Times New Roman" w:hAnsi="Times New Roman" w:cs="Times New Roman"/>
          <w:sz w:val="24"/>
          <w:szCs w:val="24"/>
        </w:rPr>
        <w:t>RePEc</w:t>
      </w:r>
      <w:proofErr w:type="spellEnd"/>
      <w:r w:rsidRPr="00092804">
        <w:rPr>
          <w:rFonts w:ascii="Times New Roman" w:hAnsi="Times New Roman" w:cs="Times New Roman"/>
          <w:sz w:val="24"/>
          <w:szCs w:val="24"/>
        </w:rPr>
        <w:t xml:space="preserve"> </w:t>
      </w:r>
      <w:proofErr w:type="spellStart"/>
      <w:r w:rsidRPr="00092804">
        <w:rPr>
          <w:rFonts w:ascii="Times New Roman" w:hAnsi="Times New Roman" w:cs="Times New Roman"/>
          <w:sz w:val="24"/>
          <w:szCs w:val="24"/>
        </w:rPr>
        <w:t>Archive</w:t>
      </w:r>
      <w:proofErr w:type="spellEnd"/>
      <w:r w:rsidRPr="00092804">
        <w:rPr>
          <w:rFonts w:ascii="Times New Roman" w:hAnsi="Times New Roman" w:cs="Times New Roman"/>
          <w:sz w:val="24"/>
          <w:szCs w:val="24"/>
        </w:rPr>
        <w:t xml:space="preserve"> </w:t>
      </w:r>
      <w:proofErr w:type="spellStart"/>
      <w:r w:rsidRPr="00092804">
        <w:rPr>
          <w:rFonts w:ascii="Times New Roman" w:hAnsi="Times New Roman" w:cs="Times New Roman"/>
          <w:sz w:val="24"/>
          <w:szCs w:val="24"/>
        </w:rPr>
        <w:t>Paper</w:t>
      </w:r>
      <w:proofErr w:type="spellEnd"/>
      <w:r w:rsidRPr="00092804">
        <w:rPr>
          <w:rFonts w:ascii="Times New Roman" w:hAnsi="Times New Roman" w:cs="Times New Roman"/>
          <w:sz w:val="24"/>
          <w:szCs w:val="24"/>
        </w:rPr>
        <w:t xml:space="preserve"> nº </w:t>
      </w:r>
      <w:r w:rsidRPr="00092804">
        <w:rPr>
          <w:rFonts w:ascii="Times New Roman" w:hAnsi="Times New Roman" w:cs="Times New Roman"/>
          <w:i/>
          <w:iCs/>
          <w:sz w:val="24"/>
          <w:szCs w:val="24"/>
        </w:rPr>
        <w:t>43638, Janeiro,</w:t>
      </w:r>
      <w:r w:rsidRPr="00092804">
        <w:rPr>
          <w:rFonts w:ascii="Times New Roman" w:hAnsi="Times New Roman" w:cs="Times New Roman"/>
          <w:sz w:val="24"/>
          <w:szCs w:val="24"/>
        </w:rPr>
        <w:t xml:space="preserve"> Universidade de </w:t>
      </w:r>
      <w:proofErr w:type="spellStart"/>
      <w:r w:rsidRPr="00092804">
        <w:rPr>
          <w:rFonts w:ascii="Times New Roman" w:hAnsi="Times New Roman" w:cs="Times New Roman"/>
          <w:sz w:val="24"/>
          <w:szCs w:val="24"/>
        </w:rPr>
        <w:t>Munich</w:t>
      </w:r>
      <w:proofErr w:type="spellEnd"/>
      <w:r w:rsidRPr="00092804">
        <w:rPr>
          <w:rFonts w:ascii="Times New Roman" w:hAnsi="Times New Roman" w:cs="Times New Roman"/>
          <w:sz w:val="24"/>
          <w:szCs w:val="24"/>
        </w:rPr>
        <w:t xml:space="preserve"> (</w:t>
      </w:r>
      <w:r w:rsidRPr="00092804">
        <w:rPr>
          <w:rFonts w:ascii="Times New Roman" w:hAnsi="Times New Roman" w:cs="Times New Roman"/>
          <w:i/>
          <w:iCs/>
          <w:sz w:val="24"/>
          <w:szCs w:val="24"/>
        </w:rPr>
        <w:t>http://mpra.ub.uni-muenchen.de).</w:t>
      </w:r>
    </w:p>
    <w:p w14:paraId="3DB04037" w14:textId="77777777" w:rsidR="00D10D1D" w:rsidRPr="00092804" w:rsidRDefault="00D10D1D" w:rsidP="00D10D1D">
      <w:pPr>
        <w:spacing w:line="360" w:lineRule="auto"/>
        <w:jc w:val="both"/>
        <w:rPr>
          <w:rFonts w:ascii="Times New Roman" w:hAnsi="Times New Roman" w:cs="Times New Roman"/>
          <w:bCs/>
          <w:color w:val="000000"/>
          <w:sz w:val="24"/>
          <w:szCs w:val="24"/>
          <w:lang w:val="en-US"/>
        </w:rPr>
      </w:pPr>
      <w:r w:rsidRPr="00092804">
        <w:rPr>
          <w:rFonts w:ascii="Times New Roman" w:hAnsi="Times New Roman" w:cs="Times New Roman"/>
          <w:bCs/>
          <w:color w:val="000000"/>
          <w:sz w:val="24"/>
          <w:szCs w:val="24"/>
          <w:lang w:val="en-US"/>
        </w:rPr>
        <w:t xml:space="preserve">Rego, C; Baltazar, M. S.; Caleiro, A. (2012), "Higher Education and Social Cohesion", Higher Education of Social Science, vol.2, nº 2, pp. 17-24 </w:t>
      </w:r>
      <w:hyperlink r:id="rId18" w:history="1">
        <w:r w:rsidRPr="00354D78">
          <w:rPr>
            <w:rFonts w:ascii="Times New Roman" w:hAnsi="Times New Roman" w:cs="Times New Roman"/>
            <w:color w:val="0020DD"/>
            <w:sz w:val="24"/>
            <w:szCs w:val="24"/>
            <w:u w:val="single" w:color="0020DD"/>
            <w:lang w:val="en-US"/>
          </w:rPr>
          <w:t>http://cscanada.net/index.php/hess/issue/view/165</w:t>
        </w:r>
      </w:hyperlink>
      <w:r w:rsidRPr="00354D78">
        <w:rPr>
          <w:rFonts w:ascii="Times New Roman" w:hAnsi="Times New Roman" w:cs="Times New Roman"/>
          <w:sz w:val="24"/>
          <w:szCs w:val="24"/>
          <w:lang w:val="en-US"/>
        </w:rPr>
        <w:t>.</w:t>
      </w:r>
    </w:p>
    <w:p w14:paraId="2D9C5520" w14:textId="77777777" w:rsidR="006F1A8B" w:rsidRPr="00092804" w:rsidRDefault="00D10D1D" w:rsidP="006F1A8B">
      <w:pPr>
        <w:spacing w:after="60"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rPr>
        <w:t xml:space="preserve">Baltazar, M.S.; Rego C.; Caleiro, A. (2011), Educação e Coesão Social – que diferença faz o ensino superior?, 17º Congresso da APDR, Instituto Politécnico de Bragança, 29 de Junho a 2 de Julho. </w:t>
      </w:r>
      <w:hyperlink r:id="rId19" w:history="1">
        <w:r w:rsidRPr="00092804">
          <w:rPr>
            <w:rStyle w:val="Hyperlink"/>
            <w:rFonts w:ascii="Times New Roman" w:hAnsi="Times New Roman" w:cs="Times New Roman"/>
            <w:sz w:val="24"/>
            <w:szCs w:val="24"/>
            <w:lang w:val="en-US"/>
          </w:rPr>
          <w:t>http://www.apdr.pt/congresso/2011/ACTAS/Sessão%2024.pdf</w:t>
        </w:r>
      </w:hyperlink>
      <w:r w:rsidRPr="00092804">
        <w:rPr>
          <w:rFonts w:ascii="Times New Roman" w:hAnsi="Times New Roman" w:cs="Times New Roman"/>
          <w:sz w:val="24"/>
          <w:szCs w:val="24"/>
          <w:lang w:val="en-US"/>
        </w:rPr>
        <w:t>.</w:t>
      </w:r>
    </w:p>
    <w:p w14:paraId="617A699D" w14:textId="77777777" w:rsidR="00D10D1D" w:rsidRPr="00354D78" w:rsidRDefault="00D10D1D" w:rsidP="00D10D1D">
      <w:pPr>
        <w:spacing w:line="360" w:lineRule="auto"/>
        <w:jc w:val="both"/>
        <w:rPr>
          <w:rFonts w:ascii="Times New Roman" w:hAnsi="Times New Roman" w:cs="Times New Roman"/>
          <w:sz w:val="24"/>
          <w:szCs w:val="24"/>
          <w:lang w:val="en-US"/>
        </w:rPr>
      </w:pPr>
      <w:r w:rsidRPr="00354D78">
        <w:rPr>
          <w:rFonts w:ascii="Times New Roman" w:hAnsi="Times New Roman" w:cs="Times New Roman"/>
          <w:sz w:val="24"/>
          <w:szCs w:val="24"/>
          <w:lang w:val="en-US"/>
        </w:rPr>
        <w:t xml:space="preserve">Solon, G. (2004) A Model of Intergenerational Mobility Variation over Time and Place, in M. </w:t>
      </w:r>
      <w:proofErr w:type="spellStart"/>
      <w:r w:rsidRPr="00354D78">
        <w:rPr>
          <w:rFonts w:ascii="Times New Roman" w:hAnsi="Times New Roman" w:cs="Times New Roman"/>
          <w:sz w:val="24"/>
          <w:szCs w:val="24"/>
          <w:lang w:val="en-US"/>
        </w:rPr>
        <w:t>Corak</w:t>
      </w:r>
      <w:proofErr w:type="spellEnd"/>
      <w:r w:rsidRPr="00354D78">
        <w:rPr>
          <w:rFonts w:ascii="Times New Roman" w:hAnsi="Times New Roman" w:cs="Times New Roman"/>
          <w:sz w:val="24"/>
          <w:szCs w:val="24"/>
          <w:lang w:val="en-US"/>
        </w:rPr>
        <w:t xml:space="preserve"> (ed.) Generational Income Mobility in North America and Europe, Cambridge University Press, 38–47.</w:t>
      </w:r>
    </w:p>
    <w:p w14:paraId="3032A6B2" w14:textId="77777777" w:rsidR="00D10D1D" w:rsidRPr="00354D78" w:rsidRDefault="00D10D1D" w:rsidP="00D10D1D">
      <w:pPr>
        <w:spacing w:line="360" w:lineRule="auto"/>
        <w:jc w:val="both"/>
        <w:rPr>
          <w:rFonts w:ascii="Times New Roman" w:hAnsi="Times New Roman" w:cs="Times New Roman"/>
          <w:sz w:val="24"/>
          <w:szCs w:val="24"/>
        </w:rPr>
      </w:pPr>
      <w:r w:rsidRPr="00354D78">
        <w:rPr>
          <w:rFonts w:ascii="Times New Roman" w:hAnsi="Times New Roman" w:cs="Times New Roman"/>
          <w:sz w:val="24"/>
          <w:szCs w:val="24"/>
        </w:rPr>
        <w:t xml:space="preserve">Vieira, C. e Vieira, I. (2013) Procura de ensino superior em Portugal: determinantes e perspectivas, in C. Rego </w:t>
      </w:r>
      <w:proofErr w:type="spellStart"/>
      <w:r w:rsidRPr="00354D78">
        <w:rPr>
          <w:rFonts w:ascii="Times New Roman" w:hAnsi="Times New Roman" w:cs="Times New Roman"/>
          <w:sz w:val="24"/>
          <w:szCs w:val="24"/>
        </w:rPr>
        <w:t>et</w:t>
      </w:r>
      <w:proofErr w:type="spellEnd"/>
      <w:r w:rsidRPr="00354D78">
        <w:rPr>
          <w:rFonts w:ascii="Times New Roman" w:hAnsi="Times New Roman" w:cs="Times New Roman"/>
          <w:sz w:val="24"/>
          <w:szCs w:val="24"/>
        </w:rPr>
        <w:t xml:space="preserve"> al. (</w:t>
      </w:r>
      <w:proofErr w:type="spellStart"/>
      <w:r w:rsidRPr="00354D78">
        <w:rPr>
          <w:rFonts w:ascii="Times New Roman" w:hAnsi="Times New Roman" w:cs="Times New Roman"/>
          <w:sz w:val="24"/>
          <w:szCs w:val="24"/>
        </w:rPr>
        <w:t>eds</w:t>
      </w:r>
      <w:proofErr w:type="spellEnd"/>
      <w:r w:rsidRPr="00354D78">
        <w:rPr>
          <w:rFonts w:ascii="Times New Roman" w:hAnsi="Times New Roman" w:cs="Times New Roman"/>
          <w:sz w:val="24"/>
          <w:szCs w:val="24"/>
        </w:rPr>
        <w:t xml:space="preserve">), Redes de Ensino Superior: Contributos </w:t>
      </w:r>
      <w:r w:rsidR="00FA1342">
        <w:rPr>
          <w:rFonts w:ascii="Times New Roman" w:hAnsi="Times New Roman" w:cs="Times New Roman"/>
          <w:sz w:val="24"/>
          <w:szCs w:val="24"/>
        </w:rPr>
        <w:t>perante os d</w:t>
      </w:r>
      <w:r w:rsidRPr="00354D78">
        <w:rPr>
          <w:rFonts w:ascii="Times New Roman" w:hAnsi="Times New Roman" w:cs="Times New Roman"/>
          <w:sz w:val="24"/>
          <w:szCs w:val="24"/>
        </w:rPr>
        <w:t xml:space="preserve">esafios </w:t>
      </w:r>
      <w:r w:rsidR="00FA1342">
        <w:rPr>
          <w:rFonts w:ascii="Times New Roman" w:hAnsi="Times New Roman" w:cs="Times New Roman"/>
          <w:sz w:val="24"/>
          <w:szCs w:val="24"/>
        </w:rPr>
        <w:t>do desenvolvimento</w:t>
      </w:r>
      <w:r w:rsidRPr="00354D78">
        <w:rPr>
          <w:rFonts w:ascii="Times New Roman" w:hAnsi="Times New Roman" w:cs="Times New Roman"/>
          <w:sz w:val="24"/>
          <w:szCs w:val="24"/>
        </w:rPr>
        <w:t xml:space="preserve">, </w:t>
      </w:r>
      <w:proofErr w:type="spellStart"/>
      <w:r w:rsidRPr="00354D78">
        <w:rPr>
          <w:rFonts w:ascii="Times New Roman" w:hAnsi="Times New Roman" w:cs="Times New Roman"/>
          <w:sz w:val="24"/>
          <w:szCs w:val="24"/>
        </w:rPr>
        <w:t>forthcoming</w:t>
      </w:r>
      <w:proofErr w:type="spellEnd"/>
      <w:r w:rsidRPr="00354D78">
        <w:rPr>
          <w:rFonts w:ascii="Times New Roman" w:hAnsi="Times New Roman" w:cs="Times New Roman"/>
          <w:sz w:val="24"/>
          <w:szCs w:val="24"/>
        </w:rPr>
        <w:t>.</w:t>
      </w:r>
    </w:p>
    <w:p w14:paraId="2231BB67" w14:textId="77777777" w:rsidR="00D10D1D" w:rsidRPr="00092804" w:rsidRDefault="00D10D1D" w:rsidP="00D10D1D">
      <w:pPr>
        <w:spacing w:line="360" w:lineRule="auto"/>
        <w:jc w:val="both"/>
        <w:rPr>
          <w:rFonts w:ascii="Times New Roman" w:hAnsi="Times New Roman" w:cs="Times New Roman"/>
          <w:sz w:val="24"/>
          <w:szCs w:val="24"/>
          <w:lang w:val="en-US"/>
        </w:rPr>
      </w:pPr>
      <w:proofErr w:type="spellStart"/>
      <w:proofErr w:type="gramStart"/>
      <w:r w:rsidRPr="00354D78">
        <w:rPr>
          <w:rFonts w:ascii="Times New Roman" w:hAnsi="Times New Roman" w:cs="Times New Roman"/>
          <w:sz w:val="24"/>
          <w:szCs w:val="24"/>
          <w:lang w:val="en-US"/>
        </w:rPr>
        <w:t>Zoellick</w:t>
      </w:r>
      <w:proofErr w:type="spellEnd"/>
      <w:r w:rsidRPr="00354D78">
        <w:rPr>
          <w:rFonts w:ascii="Times New Roman" w:hAnsi="Times New Roman" w:cs="Times New Roman"/>
          <w:sz w:val="24"/>
          <w:szCs w:val="24"/>
          <w:lang w:val="en-US"/>
        </w:rPr>
        <w:t xml:space="preserve">, Robert, Press Release No2011/414/HDN; </w:t>
      </w:r>
      <w:hyperlink r:id="rId20" w:history="1">
        <w:r w:rsidRPr="00354D78">
          <w:rPr>
            <w:rStyle w:val="Hyperlink"/>
            <w:rFonts w:ascii="Times New Roman" w:hAnsi="Times New Roman" w:cs="Times New Roman"/>
            <w:sz w:val="24"/>
            <w:szCs w:val="24"/>
            <w:lang w:val="en-US"/>
          </w:rPr>
          <w:t>http://web.worldbank.org</w:t>
        </w:r>
      </w:hyperlink>
      <w:r w:rsidRPr="00354D78">
        <w:rPr>
          <w:rFonts w:ascii="Times New Roman" w:hAnsi="Times New Roman" w:cs="Times New Roman"/>
          <w:sz w:val="24"/>
          <w:szCs w:val="24"/>
          <w:lang w:val="en-US"/>
        </w:rPr>
        <w:t>) (2011).</w:t>
      </w:r>
      <w:proofErr w:type="gramEnd"/>
    </w:p>
    <w:p w14:paraId="68EF35DB" w14:textId="77777777" w:rsidR="00D10D1D" w:rsidRPr="00092804" w:rsidRDefault="00D10D1D" w:rsidP="006F1A8B">
      <w:pPr>
        <w:autoSpaceDE w:val="0"/>
        <w:autoSpaceDN w:val="0"/>
        <w:adjustRightInd w:val="0"/>
        <w:spacing w:after="0" w:line="360" w:lineRule="auto"/>
        <w:jc w:val="both"/>
        <w:rPr>
          <w:rFonts w:ascii="Times New Roman" w:hAnsi="Times New Roman" w:cs="Times New Roman"/>
          <w:sz w:val="24"/>
          <w:szCs w:val="24"/>
          <w:lang w:val="en-US"/>
        </w:rPr>
      </w:pPr>
    </w:p>
    <w:sectPr w:rsidR="00D10D1D" w:rsidRPr="00092804" w:rsidSect="00B772B8">
      <w:pgSz w:w="11908" w:h="17335"/>
      <w:pgMar w:top="1417" w:right="1701" w:bottom="1417" w:left="1701"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5716A" w14:textId="77777777" w:rsidR="00882EB2" w:rsidRDefault="00882EB2" w:rsidP="00851B3C">
      <w:pPr>
        <w:spacing w:after="0" w:line="240" w:lineRule="auto"/>
      </w:pPr>
      <w:r>
        <w:separator/>
      </w:r>
    </w:p>
  </w:endnote>
  <w:endnote w:type="continuationSeparator" w:id="0">
    <w:p w14:paraId="3FD8958E" w14:textId="77777777" w:rsidR="00882EB2" w:rsidRDefault="00882EB2" w:rsidP="0085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A1C67" w14:textId="77777777" w:rsidR="00882EB2" w:rsidRDefault="00882EB2" w:rsidP="00851B3C">
      <w:pPr>
        <w:spacing w:after="0" w:line="240" w:lineRule="auto"/>
      </w:pPr>
      <w:r>
        <w:separator/>
      </w:r>
    </w:p>
  </w:footnote>
  <w:footnote w:type="continuationSeparator" w:id="0">
    <w:p w14:paraId="27ECE3B6" w14:textId="77777777" w:rsidR="00882EB2" w:rsidRDefault="00882EB2" w:rsidP="00851B3C">
      <w:pPr>
        <w:spacing w:after="0" w:line="240" w:lineRule="auto"/>
      </w:pPr>
      <w:r>
        <w:continuationSeparator/>
      </w:r>
    </w:p>
  </w:footnote>
  <w:footnote w:id="1">
    <w:p w14:paraId="3BBF896D" w14:textId="77777777" w:rsidR="006F1A8B" w:rsidRPr="00851B3C" w:rsidRDefault="006F1A8B" w:rsidP="00851B3C">
      <w:pPr>
        <w:pStyle w:val="FootnoteText"/>
        <w:jc w:val="both"/>
        <w:rPr>
          <w:lang w:val="pt-BR"/>
        </w:rPr>
      </w:pPr>
      <w:r>
        <w:rPr>
          <w:rStyle w:val="FootnoteReference"/>
        </w:rPr>
        <w:footnoteRef/>
      </w:r>
      <w:r>
        <w:t xml:space="preserve"> </w:t>
      </w:r>
      <w:r w:rsidRPr="00547E43">
        <w:rPr>
          <w:rFonts w:ascii="Times New Roman" w:hAnsi="Times New Roman" w:cs="Times New Roman"/>
          <w:sz w:val="20"/>
          <w:szCs w:val="20"/>
          <w:lang w:val="pt-BR"/>
        </w:rPr>
        <w:t>Este trabalho decorre da investigação realizada no âmbito do pro</w:t>
      </w:r>
      <w:r>
        <w:rPr>
          <w:rFonts w:ascii="Times New Roman" w:hAnsi="Times New Roman" w:cs="Times New Roman"/>
          <w:sz w:val="20"/>
          <w:szCs w:val="20"/>
          <w:lang w:val="pt-BR"/>
        </w:rPr>
        <w:t>je</w:t>
      </w:r>
      <w:r w:rsidRPr="00547E43">
        <w:rPr>
          <w:rFonts w:ascii="Times New Roman" w:hAnsi="Times New Roman" w:cs="Times New Roman"/>
          <w:sz w:val="20"/>
          <w:szCs w:val="20"/>
          <w:lang w:val="pt-BR"/>
        </w:rPr>
        <w:t xml:space="preserve">to </w:t>
      </w:r>
      <w:r w:rsidRPr="00547E43">
        <w:rPr>
          <w:rFonts w:ascii="Times New Roman" w:hAnsi="Times New Roman" w:cs="Times New Roman"/>
          <w:sz w:val="20"/>
          <w:szCs w:val="20"/>
        </w:rPr>
        <w:t xml:space="preserve">FCT PTDC/CPE-PEC/103727/2008, Reconstruir a rede do sistema de ensino superior Português: desafios da demografia, do crescimento económico e da coesão regional, bem como o apoio da Fundação para a Ciência e Tecnologia e FEDER / COMPETE (concessão </w:t>
      </w:r>
      <w:proofErr w:type="spellStart"/>
      <w:r w:rsidRPr="00547E43">
        <w:rPr>
          <w:rFonts w:ascii="Times New Roman" w:hAnsi="Times New Roman" w:cs="Times New Roman"/>
          <w:sz w:val="20"/>
          <w:szCs w:val="20"/>
        </w:rPr>
        <w:t>PEst</w:t>
      </w:r>
      <w:proofErr w:type="spellEnd"/>
      <w:r w:rsidRPr="00547E43">
        <w:rPr>
          <w:rFonts w:ascii="Times New Roman" w:hAnsi="Times New Roman" w:cs="Times New Roman"/>
          <w:sz w:val="20"/>
          <w:szCs w:val="20"/>
        </w:rPr>
        <w:t>-C/EGE/UI4007/2011).</w:t>
      </w:r>
      <w:r>
        <w:rPr>
          <w:rFonts w:ascii="Times New Roman" w:hAnsi="Times New Roman" w:cs="Times New Roman"/>
          <w:sz w:val="20"/>
          <w:szCs w:val="20"/>
        </w:rPr>
        <w:t xml:space="preserve"> Agradece-se o apoio financeiro.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425E"/>
    <w:multiLevelType w:val="hybridMultilevel"/>
    <w:tmpl w:val="84BA7CC6"/>
    <w:lvl w:ilvl="0" w:tplc="141CCC46">
      <w:start w:val="1"/>
      <w:numFmt w:val="bullet"/>
      <w:lvlText w:val="•"/>
      <w:lvlJc w:val="left"/>
      <w:pPr>
        <w:tabs>
          <w:tab w:val="num" w:pos="720"/>
        </w:tabs>
        <w:ind w:left="720" w:hanging="360"/>
      </w:pPr>
      <w:rPr>
        <w:rFonts w:ascii="Arial" w:hAnsi="Arial" w:hint="default"/>
      </w:rPr>
    </w:lvl>
    <w:lvl w:ilvl="1" w:tplc="5712A154" w:tentative="1">
      <w:start w:val="1"/>
      <w:numFmt w:val="bullet"/>
      <w:lvlText w:val="•"/>
      <w:lvlJc w:val="left"/>
      <w:pPr>
        <w:tabs>
          <w:tab w:val="num" w:pos="1440"/>
        </w:tabs>
        <w:ind w:left="1440" w:hanging="360"/>
      </w:pPr>
      <w:rPr>
        <w:rFonts w:ascii="Arial" w:hAnsi="Arial" w:hint="default"/>
      </w:rPr>
    </w:lvl>
    <w:lvl w:ilvl="2" w:tplc="853E0A58" w:tentative="1">
      <w:start w:val="1"/>
      <w:numFmt w:val="bullet"/>
      <w:lvlText w:val="•"/>
      <w:lvlJc w:val="left"/>
      <w:pPr>
        <w:tabs>
          <w:tab w:val="num" w:pos="2160"/>
        </w:tabs>
        <w:ind w:left="2160" w:hanging="360"/>
      </w:pPr>
      <w:rPr>
        <w:rFonts w:ascii="Arial" w:hAnsi="Arial" w:hint="default"/>
      </w:rPr>
    </w:lvl>
    <w:lvl w:ilvl="3" w:tplc="27F64B78" w:tentative="1">
      <w:start w:val="1"/>
      <w:numFmt w:val="bullet"/>
      <w:lvlText w:val="•"/>
      <w:lvlJc w:val="left"/>
      <w:pPr>
        <w:tabs>
          <w:tab w:val="num" w:pos="2880"/>
        </w:tabs>
        <w:ind w:left="2880" w:hanging="360"/>
      </w:pPr>
      <w:rPr>
        <w:rFonts w:ascii="Arial" w:hAnsi="Arial" w:hint="default"/>
      </w:rPr>
    </w:lvl>
    <w:lvl w:ilvl="4" w:tplc="91DE9F74" w:tentative="1">
      <w:start w:val="1"/>
      <w:numFmt w:val="bullet"/>
      <w:lvlText w:val="•"/>
      <w:lvlJc w:val="left"/>
      <w:pPr>
        <w:tabs>
          <w:tab w:val="num" w:pos="3600"/>
        </w:tabs>
        <w:ind w:left="3600" w:hanging="360"/>
      </w:pPr>
      <w:rPr>
        <w:rFonts w:ascii="Arial" w:hAnsi="Arial" w:hint="default"/>
      </w:rPr>
    </w:lvl>
    <w:lvl w:ilvl="5" w:tplc="92649656" w:tentative="1">
      <w:start w:val="1"/>
      <w:numFmt w:val="bullet"/>
      <w:lvlText w:val="•"/>
      <w:lvlJc w:val="left"/>
      <w:pPr>
        <w:tabs>
          <w:tab w:val="num" w:pos="4320"/>
        </w:tabs>
        <w:ind w:left="4320" w:hanging="360"/>
      </w:pPr>
      <w:rPr>
        <w:rFonts w:ascii="Arial" w:hAnsi="Arial" w:hint="default"/>
      </w:rPr>
    </w:lvl>
    <w:lvl w:ilvl="6" w:tplc="DD7C8996" w:tentative="1">
      <w:start w:val="1"/>
      <w:numFmt w:val="bullet"/>
      <w:lvlText w:val="•"/>
      <w:lvlJc w:val="left"/>
      <w:pPr>
        <w:tabs>
          <w:tab w:val="num" w:pos="5040"/>
        </w:tabs>
        <w:ind w:left="5040" w:hanging="360"/>
      </w:pPr>
      <w:rPr>
        <w:rFonts w:ascii="Arial" w:hAnsi="Arial" w:hint="default"/>
      </w:rPr>
    </w:lvl>
    <w:lvl w:ilvl="7" w:tplc="B792DC58" w:tentative="1">
      <w:start w:val="1"/>
      <w:numFmt w:val="bullet"/>
      <w:lvlText w:val="•"/>
      <w:lvlJc w:val="left"/>
      <w:pPr>
        <w:tabs>
          <w:tab w:val="num" w:pos="5760"/>
        </w:tabs>
        <w:ind w:left="5760" w:hanging="360"/>
      </w:pPr>
      <w:rPr>
        <w:rFonts w:ascii="Arial" w:hAnsi="Arial" w:hint="default"/>
      </w:rPr>
    </w:lvl>
    <w:lvl w:ilvl="8" w:tplc="BE7AC174" w:tentative="1">
      <w:start w:val="1"/>
      <w:numFmt w:val="bullet"/>
      <w:lvlText w:val="•"/>
      <w:lvlJc w:val="left"/>
      <w:pPr>
        <w:tabs>
          <w:tab w:val="num" w:pos="6480"/>
        </w:tabs>
        <w:ind w:left="6480" w:hanging="360"/>
      </w:pPr>
      <w:rPr>
        <w:rFonts w:ascii="Arial" w:hAnsi="Arial" w:hint="default"/>
      </w:rPr>
    </w:lvl>
  </w:abstractNum>
  <w:abstractNum w:abstractNumId="1">
    <w:nsid w:val="34B011BC"/>
    <w:multiLevelType w:val="hybridMultilevel"/>
    <w:tmpl w:val="021429CC"/>
    <w:lvl w:ilvl="0" w:tplc="E9C83FA4">
      <w:start w:val="1"/>
      <w:numFmt w:val="bullet"/>
      <w:lvlText w:val="•"/>
      <w:lvlJc w:val="left"/>
      <w:pPr>
        <w:tabs>
          <w:tab w:val="num" w:pos="720"/>
        </w:tabs>
        <w:ind w:left="720" w:hanging="360"/>
      </w:pPr>
      <w:rPr>
        <w:rFonts w:ascii="Arial" w:hAnsi="Arial" w:hint="default"/>
      </w:rPr>
    </w:lvl>
    <w:lvl w:ilvl="1" w:tplc="D9E0FD78" w:tentative="1">
      <w:start w:val="1"/>
      <w:numFmt w:val="bullet"/>
      <w:lvlText w:val="•"/>
      <w:lvlJc w:val="left"/>
      <w:pPr>
        <w:tabs>
          <w:tab w:val="num" w:pos="1440"/>
        </w:tabs>
        <w:ind w:left="1440" w:hanging="360"/>
      </w:pPr>
      <w:rPr>
        <w:rFonts w:ascii="Arial" w:hAnsi="Arial" w:hint="default"/>
      </w:rPr>
    </w:lvl>
    <w:lvl w:ilvl="2" w:tplc="A4A01CB2" w:tentative="1">
      <w:start w:val="1"/>
      <w:numFmt w:val="bullet"/>
      <w:lvlText w:val="•"/>
      <w:lvlJc w:val="left"/>
      <w:pPr>
        <w:tabs>
          <w:tab w:val="num" w:pos="2160"/>
        </w:tabs>
        <w:ind w:left="2160" w:hanging="360"/>
      </w:pPr>
      <w:rPr>
        <w:rFonts w:ascii="Arial" w:hAnsi="Arial" w:hint="default"/>
      </w:rPr>
    </w:lvl>
    <w:lvl w:ilvl="3" w:tplc="1C3EDD9E" w:tentative="1">
      <w:start w:val="1"/>
      <w:numFmt w:val="bullet"/>
      <w:lvlText w:val="•"/>
      <w:lvlJc w:val="left"/>
      <w:pPr>
        <w:tabs>
          <w:tab w:val="num" w:pos="2880"/>
        </w:tabs>
        <w:ind w:left="2880" w:hanging="360"/>
      </w:pPr>
      <w:rPr>
        <w:rFonts w:ascii="Arial" w:hAnsi="Arial" w:hint="default"/>
      </w:rPr>
    </w:lvl>
    <w:lvl w:ilvl="4" w:tplc="8FC034EE" w:tentative="1">
      <w:start w:val="1"/>
      <w:numFmt w:val="bullet"/>
      <w:lvlText w:val="•"/>
      <w:lvlJc w:val="left"/>
      <w:pPr>
        <w:tabs>
          <w:tab w:val="num" w:pos="3600"/>
        </w:tabs>
        <w:ind w:left="3600" w:hanging="360"/>
      </w:pPr>
      <w:rPr>
        <w:rFonts w:ascii="Arial" w:hAnsi="Arial" w:hint="default"/>
      </w:rPr>
    </w:lvl>
    <w:lvl w:ilvl="5" w:tplc="07106EF0" w:tentative="1">
      <w:start w:val="1"/>
      <w:numFmt w:val="bullet"/>
      <w:lvlText w:val="•"/>
      <w:lvlJc w:val="left"/>
      <w:pPr>
        <w:tabs>
          <w:tab w:val="num" w:pos="4320"/>
        </w:tabs>
        <w:ind w:left="4320" w:hanging="360"/>
      </w:pPr>
      <w:rPr>
        <w:rFonts w:ascii="Arial" w:hAnsi="Arial" w:hint="default"/>
      </w:rPr>
    </w:lvl>
    <w:lvl w:ilvl="6" w:tplc="6BD2C940" w:tentative="1">
      <w:start w:val="1"/>
      <w:numFmt w:val="bullet"/>
      <w:lvlText w:val="•"/>
      <w:lvlJc w:val="left"/>
      <w:pPr>
        <w:tabs>
          <w:tab w:val="num" w:pos="5040"/>
        </w:tabs>
        <w:ind w:left="5040" w:hanging="360"/>
      </w:pPr>
      <w:rPr>
        <w:rFonts w:ascii="Arial" w:hAnsi="Arial" w:hint="default"/>
      </w:rPr>
    </w:lvl>
    <w:lvl w:ilvl="7" w:tplc="457AD80E" w:tentative="1">
      <w:start w:val="1"/>
      <w:numFmt w:val="bullet"/>
      <w:lvlText w:val="•"/>
      <w:lvlJc w:val="left"/>
      <w:pPr>
        <w:tabs>
          <w:tab w:val="num" w:pos="5760"/>
        </w:tabs>
        <w:ind w:left="5760" w:hanging="360"/>
      </w:pPr>
      <w:rPr>
        <w:rFonts w:ascii="Arial" w:hAnsi="Arial" w:hint="default"/>
      </w:rPr>
    </w:lvl>
    <w:lvl w:ilvl="8" w:tplc="541AF508" w:tentative="1">
      <w:start w:val="1"/>
      <w:numFmt w:val="bullet"/>
      <w:lvlText w:val="•"/>
      <w:lvlJc w:val="left"/>
      <w:pPr>
        <w:tabs>
          <w:tab w:val="num" w:pos="6480"/>
        </w:tabs>
        <w:ind w:left="6480" w:hanging="360"/>
      </w:pPr>
      <w:rPr>
        <w:rFonts w:ascii="Arial" w:hAnsi="Arial" w:hint="default"/>
      </w:rPr>
    </w:lvl>
  </w:abstractNum>
  <w:abstractNum w:abstractNumId="2">
    <w:nsid w:val="4CF22DF0"/>
    <w:multiLevelType w:val="hybridMultilevel"/>
    <w:tmpl w:val="307A2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B8"/>
    <w:rsid w:val="000350A2"/>
    <w:rsid w:val="00092804"/>
    <w:rsid w:val="0020344F"/>
    <w:rsid w:val="002A2822"/>
    <w:rsid w:val="00354D78"/>
    <w:rsid w:val="0037653D"/>
    <w:rsid w:val="003A2B98"/>
    <w:rsid w:val="004A79C7"/>
    <w:rsid w:val="005674D4"/>
    <w:rsid w:val="005B642E"/>
    <w:rsid w:val="006F1A8B"/>
    <w:rsid w:val="00737A22"/>
    <w:rsid w:val="00737FDB"/>
    <w:rsid w:val="007B1F9E"/>
    <w:rsid w:val="00851B3C"/>
    <w:rsid w:val="00882EB2"/>
    <w:rsid w:val="009039D5"/>
    <w:rsid w:val="00951AC8"/>
    <w:rsid w:val="00A12B19"/>
    <w:rsid w:val="00A14B96"/>
    <w:rsid w:val="00A57D33"/>
    <w:rsid w:val="00B57C97"/>
    <w:rsid w:val="00B71226"/>
    <w:rsid w:val="00B772B8"/>
    <w:rsid w:val="00BC302F"/>
    <w:rsid w:val="00C83722"/>
    <w:rsid w:val="00CB153E"/>
    <w:rsid w:val="00CC3568"/>
    <w:rsid w:val="00D10D1D"/>
    <w:rsid w:val="00D52873"/>
    <w:rsid w:val="00D80F39"/>
    <w:rsid w:val="00DE111B"/>
    <w:rsid w:val="00DE61D7"/>
    <w:rsid w:val="00E12612"/>
    <w:rsid w:val="00EA1BC9"/>
    <w:rsid w:val="00F04D85"/>
    <w:rsid w:val="00F51EAD"/>
    <w:rsid w:val="00F5661F"/>
    <w:rsid w:val="00F94866"/>
    <w:rsid w:val="00FA1342"/>
    <w:rsid w:val="00FD7B44"/>
    <w:rsid w:val="00FF6C8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A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2B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E111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111B"/>
    <w:rPr>
      <w:rFonts w:ascii="Lucida Grande" w:hAnsi="Lucida Grande"/>
      <w:sz w:val="18"/>
      <w:szCs w:val="18"/>
    </w:rPr>
  </w:style>
  <w:style w:type="character" w:styleId="CommentReference">
    <w:name w:val="annotation reference"/>
    <w:basedOn w:val="DefaultParagraphFont"/>
    <w:uiPriority w:val="99"/>
    <w:semiHidden/>
    <w:unhideWhenUsed/>
    <w:rsid w:val="00DE111B"/>
    <w:rPr>
      <w:sz w:val="18"/>
      <w:szCs w:val="18"/>
    </w:rPr>
  </w:style>
  <w:style w:type="paragraph" w:styleId="CommentText">
    <w:name w:val="annotation text"/>
    <w:basedOn w:val="Normal"/>
    <w:link w:val="CommentTextChar"/>
    <w:uiPriority w:val="99"/>
    <w:semiHidden/>
    <w:unhideWhenUsed/>
    <w:rsid w:val="00DE111B"/>
    <w:pPr>
      <w:spacing w:line="240" w:lineRule="auto"/>
    </w:pPr>
    <w:rPr>
      <w:sz w:val="24"/>
      <w:szCs w:val="24"/>
    </w:rPr>
  </w:style>
  <w:style w:type="character" w:customStyle="1" w:styleId="CommentTextChar">
    <w:name w:val="Comment Text Char"/>
    <w:basedOn w:val="DefaultParagraphFont"/>
    <w:link w:val="CommentText"/>
    <w:uiPriority w:val="99"/>
    <w:semiHidden/>
    <w:rsid w:val="00DE111B"/>
    <w:rPr>
      <w:sz w:val="24"/>
      <w:szCs w:val="24"/>
    </w:rPr>
  </w:style>
  <w:style w:type="paragraph" w:styleId="CommentSubject">
    <w:name w:val="annotation subject"/>
    <w:basedOn w:val="CommentText"/>
    <w:next w:val="CommentText"/>
    <w:link w:val="CommentSubjectChar"/>
    <w:uiPriority w:val="99"/>
    <w:semiHidden/>
    <w:unhideWhenUsed/>
    <w:rsid w:val="00DE111B"/>
    <w:rPr>
      <w:b/>
      <w:bCs/>
      <w:sz w:val="20"/>
      <w:szCs w:val="20"/>
    </w:rPr>
  </w:style>
  <w:style w:type="character" w:customStyle="1" w:styleId="CommentSubjectChar">
    <w:name w:val="Comment Subject Char"/>
    <w:basedOn w:val="CommentTextChar"/>
    <w:link w:val="CommentSubject"/>
    <w:uiPriority w:val="99"/>
    <w:semiHidden/>
    <w:rsid w:val="00DE111B"/>
    <w:rPr>
      <w:b/>
      <w:bCs/>
      <w:sz w:val="20"/>
      <w:szCs w:val="20"/>
    </w:rPr>
  </w:style>
  <w:style w:type="paragraph" w:styleId="FootnoteText">
    <w:name w:val="footnote text"/>
    <w:basedOn w:val="Normal"/>
    <w:link w:val="FootnoteTextChar"/>
    <w:uiPriority w:val="99"/>
    <w:unhideWhenUsed/>
    <w:rsid w:val="00851B3C"/>
    <w:pPr>
      <w:spacing w:after="0" w:line="240" w:lineRule="auto"/>
    </w:pPr>
    <w:rPr>
      <w:sz w:val="24"/>
      <w:szCs w:val="24"/>
    </w:rPr>
  </w:style>
  <w:style w:type="character" w:customStyle="1" w:styleId="FootnoteTextChar">
    <w:name w:val="Footnote Text Char"/>
    <w:basedOn w:val="DefaultParagraphFont"/>
    <w:link w:val="FootnoteText"/>
    <w:uiPriority w:val="99"/>
    <w:rsid w:val="00851B3C"/>
    <w:rPr>
      <w:sz w:val="24"/>
      <w:szCs w:val="24"/>
    </w:rPr>
  </w:style>
  <w:style w:type="character" w:styleId="FootnoteReference">
    <w:name w:val="footnote reference"/>
    <w:basedOn w:val="DefaultParagraphFont"/>
    <w:uiPriority w:val="99"/>
    <w:unhideWhenUsed/>
    <w:rsid w:val="00851B3C"/>
    <w:rPr>
      <w:vertAlign w:val="superscript"/>
    </w:rPr>
  </w:style>
  <w:style w:type="character" w:styleId="Hyperlink">
    <w:name w:val="Hyperlink"/>
    <w:basedOn w:val="DefaultParagraphFont"/>
    <w:uiPriority w:val="99"/>
    <w:unhideWhenUsed/>
    <w:rsid w:val="00851B3C"/>
    <w:rPr>
      <w:color w:val="0000FF" w:themeColor="hyperlink"/>
      <w:u w:val="single"/>
    </w:rPr>
  </w:style>
  <w:style w:type="paragraph" w:styleId="ListParagraph">
    <w:name w:val="List Paragraph"/>
    <w:basedOn w:val="Normal"/>
    <w:uiPriority w:val="34"/>
    <w:qFormat/>
    <w:rsid w:val="00D10D1D"/>
    <w:pPr>
      <w:ind w:left="720"/>
      <w:contextualSpacing/>
    </w:pPr>
    <w:rPr>
      <w:rFonts w:eastAsiaTheme="minorEastAsia"/>
      <w:lang w:eastAsia="pt-PT"/>
    </w:rPr>
  </w:style>
  <w:style w:type="table" w:styleId="TableGrid">
    <w:name w:val="Table Grid"/>
    <w:basedOn w:val="TableNormal"/>
    <w:uiPriority w:val="59"/>
    <w:rsid w:val="00D10D1D"/>
    <w:pPr>
      <w:spacing w:after="0" w:line="240" w:lineRule="auto"/>
    </w:pPr>
    <w:rPr>
      <w:rFonts w:eastAsiaTheme="minorEastAsia"/>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039D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2B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E111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111B"/>
    <w:rPr>
      <w:rFonts w:ascii="Lucida Grande" w:hAnsi="Lucida Grande"/>
      <w:sz w:val="18"/>
      <w:szCs w:val="18"/>
    </w:rPr>
  </w:style>
  <w:style w:type="character" w:styleId="CommentReference">
    <w:name w:val="annotation reference"/>
    <w:basedOn w:val="DefaultParagraphFont"/>
    <w:uiPriority w:val="99"/>
    <w:semiHidden/>
    <w:unhideWhenUsed/>
    <w:rsid w:val="00DE111B"/>
    <w:rPr>
      <w:sz w:val="18"/>
      <w:szCs w:val="18"/>
    </w:rPr>
  </w:style>
  <w:style w:type="paragraph" w:styleId="CommentText">
    <w:name w:val="annotation text"/>
    <w:basedOn w:val="Normal"/>
    <w:link w:val="CommentTextChar"/>
    <w:uiPriority w:val="99"/>
    <w:semiHidden/>
    <w:unhideWhenUsed/>
    <w:rsid w:val="00DE111B"/>
    <w:pPr>
      <w:spacing w:line="240" w:lineRule="auto"/>
    </w:pPr>
    <w:rPr>
      <w:sz w:val="24"/>
      <w:szCs w:val="24"/>
    </w:rPr>
  </w:style>
  <w:style w:type="character" w:customStyle="1" w:styleId="CommentTextChar">
    <w:name w:val="Comment Text Char"/>
    <w:basedOn w:val="DefaultParagraphFont"/>
    <w:link w:val="CommentText"/>
    <w:uiPriority w:val="99"/>
    <w:semiHidden/>
    <w:rsid w:val="00DE111B"/>
    <w:rPr>
      <w:sz w:val="24"/>
      <w:szCs w:val="24"/>
    </w:rPr>
  </w:style>
  <w:style w:type="paragraph" w:styleId="CommentSubject">
    <w:name w:val="annotation subject"/>
    <w:basedOn w:val="CommentText"/>
    <w:next w:val="CommentText"/>
    <w:link w:val="CommentSubjectChar"/>
    <w:uiPriority w:val="99"/>
    <w:semiHidden/>
    <w:unhideWhenUsed/>
    <w:rsid w:val="00DE111B"/>
    <w:rPr>
      <w:b/>
      <w:bCs/>
      <w:sz w:val="20"/>
      <w:szCs w:val="20"/>
    </w:rPr>
  </w:style>
  <w:style w:type="character" w:customStyle="1" w:styleId="CommentSubjectChar">
    <w:name w:val="Comment Subject Char"/>
    <w:basedOn w:val="CommentTextChar"/>
    <w:link w:val="CommentSubject"/>
    <w:uiPriority w:val="99"/>
    <w:semiHidden/>
    <w:rsid w:val="00DE111B"/>
    <w:rPr>
      <w:b/>
      <w:bCs/>
      <w:sz w:val="20"/>
      <w:szCs w:val="20"/>
    </w:rPr>
  </w:style>
  <w:style w:type="paragraph" w:styleId="FootnoteText">
    <w:name w:val="footnote text"/>
    <w:basedOn w:val="Normal"/>
    <w:link w:val="FootnoteTextChar"/>
    <w:uiPriority w:val="99"/>
    <w:unhideWhenUsed/>
    <w:rsid w:val="00851B3C"/>
    <w:pPr>
      <w:spacing w:after="0" w:line="240" w:lineRule="auto"/>
    </w:pPr>
    <w:rPr>
      <w:sz w:val="24"/>
      <w:szCs w:val="24"/>
    </w:rPr>
  </w:style>
  <w:style w:type="character" w:customStyle="1" w:styleId="FootnoteTextChar">
    <w:name w:val="Footnote Text Char"/>
    <w:basedOn w:val="DefaultParagraphFont"/>
    <w:link w:val="FootnoteText"/>
    <w:uiPriority w:val="99"/>
    <w:rsid w:val="00851B3C"/>
    <w:rPr>
      <w:sz w:val="24"/>
      <w:szCs w:val="24"/>
    </w:rPr>
  </w:style>
  <w:style w:type="character" w:styleId="FootnoteReference">
    <w:name w:val="footnote reference"/>
    <w:basedOn w:val="DefaultParagraphFont"/>
    <w:uiPriority w:val="99"/>
    <w:unhideWhenUsed/>
    <w:rsid w:val="00851B3C"/>
    <w:rPr>
      <w:vertAlign w:val="superscript"/>
    </w:rPr>
  </w:style>
  <w:style w:type="character" w:styleId="Hyperlink">
    <w:name w:val="Hyperlink"/>
    <w:basedOn w:val="DefaultParagraphFont"/>
    <w:uiPriority w:val="99"/>
    <w:unhideWhenUsed/>
    <w:rsid w:val="00851B3C"/>
    <w:rPr>
      <w:color w:val="0000FF" w:themeColor="hyperlink"/>
      <w:u w:val="single"/>
    </w:rPr>
  </w:style>
  <w:style w:type="paragraph" w:styleId="ListParagraph">
    <w:name w:val="List Paragraph"/>
    <w:basedOn w:val="Normal"/>
    <w:uiPriority w:val="34"/>
    <w:qFormat/>
    <w:rsid w:val="00D10D1D"/>
    <w:pPr>
      <w:ind w:left="720"/>
      <w:contextualSpacing/>
    </w:pPr>
    <w:rPr>
      <w:rFonts w:eastAsiaTheme="minorEastAsia"/>
      <w:lang w:eastAsia="pt-PT"/>
    </w:rPr>
  </w:style>
  <w:style w:type="table" w:styleId="TableGrid">
    <w:name w:val="Table Grid"/>
    <w:basedOn w:val="TableNormal"/>
    <w:uiPriority w:val="59"/>
    <w:rsid w:val="00D10D1D"/>
    <w:pPr>
      <w:spacing w:after="0" w:line="240" w:lineRule="auto"/>
    </w:pPr>
    <w:rPr>
      <w:rFonts w:eastAsiaTheme="minorEastAsia"/>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03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08326">
      <w:bodyDiv w:val="1"/>
      <w:marLeft w:val="0"/>
      <w:marRight w:val="0"/>
      <w:marTop w:val="0"/>
      <w:marBottom w:val="0"/>
      <w:divBdr>
        <w:top w:val="none" w:sz="0" w:space="0" w:color="auto"/>
        <w:left w:val="none" w:sz="0" w:space="0" w:color="auto"/>
        <w:bottom w:val="none" w:sz="0" w:space="0" w:color="auto"/>
        <w:right w:val="none" w:sz="0" w:space="0" w:color="auto"/>
      </w:divBdr>
      <w:divsChild>
        <w:div w:id="538512457">
          <w:marLeft w:val="547"/>
          <w:marRight w:val="0"/>
          <w:marTop w:val="120"/>
          <w:marBottom w:val="0"/>
          <w:divBdr>
            <w:top w:val="none" w:sz="0" w:space="0" w:color="auto"/>
            <w:left w:val="none" w:sz="0" w:space="0" w:color="auto"/>
            <w:bottom w:val="none" w:sz="0" w:space="0" w:color="auto"/>
            <w:right w:val="none" w:sz="0" w:space="0" w:color="auto"/>
          </w:divBdr>
        </w:div>
        <w:div w:id="821847302">
          <w:marLeft w:val="547"/>
          <w:marRight w:val="0"/>
          <w:marTop w:val="120"/>
          <w:marBottom w:val="0"/>
          <w:divBdr>
            <w:top w:val="none" w:sz="0" w:space="0" w:color="auto"/>
            <w:left w:val="none" w:sz="0" w:space="0" w:color="auto"/>
            <w:bottom w:val="none" w:sz="0" w:space="0" w:color="auto"/>
            <w:right w:val="none" w:sz="0" w:space="0" w:color="auto"/>
          </w:divBdr>
        </w:div>
      </w:divsChild>
    </w:div>
    <w:div w:id="1087071132">
      <w:bodyDiv w:val="1"/>
      <w:marLeft w:val="0"/>
      <w:marRight w:val="0"/>
      <w:marTop w:val="0"/>
      <w:marBottom w:val="0"/>
      <w:divBdr>
        <w:top w:val="none" w:sz="0" w:space="0" w:color="auto"/>
        <w:left w:val="none" w:sz="0" w:space="0" w:color="auto"/>
        <w:bottom w:val="none" w:sz="0" w:space="0" w:color="auto"/>
        <w:right w:val="none" w:sz="0" w:space="0" w:color="auto"/>
      </w:divBdr>
    </w:div>
    <w:div w:id="1133451465">
      <w:bodyDiv w:val="1"/>
      <w:marLeft w:val="0"/>
      <w:marRight w:val="0"/>
      <w:marTop w:val="0"/>
      <w:marBottom w:val="0"/>
      <w:divBdr>
        <w:top w:val="none" w:sz="0" w:space="0" w:color="auto"/>
        <w:left w:val="none" w:sz="0" w:space="0" w:color="auto"/>
        <w:bottom w:val="none" w:sz="0" w:space="0" w:color="auto"/>
        <w:right w:val="none" w:sz="0" w:space="0" w:color="auto"/>
      </w:divBdr>
      <w:divsChild>
        <w:div w:id="629869397">
          <w:marLeft w:val="547"/>
          <w:marRight w:val="0"/>
          <w:marTop w:val="144"/>
          <w:marBottom w:val="0"/>
          <w:divBdr>
            <w:top w:val="none" w:sz="0" w:space="0" w:color="auto"/>
            <w:left w:val="none" w:sz="0" w:space="0" w:color="auto"/>
            <w:bottom w:val="none" w:sz="0" w:space="0" w:color="auto"/>
            <w:right w:val="none" w:sz="0" w:space="0" w:color="auto"/>
          </w:divBdr>
        </w:div>
        <w:div w:id="100343321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baltazar@uevora.pt" TargetMode="External"/><Relationship Id="rId20" Type="http://schemas.openxmlformats.org/officeDocument/2006/relationships/hyperlink" Target="http://web.worldbank.org"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cvieira@uevora.pt" TargetMode="External"/><Relationship Id="rId11" Type="http://schemas.openxmlformats.org/officeDocument/2006/relationships/hyperlink" Target="mailto:impvv@uevora.pt" TargetMode="External"/><Relationship Id="rId12" Type="http://schemas.openxmlformats.org/officeDocument/2006/relationships/hyperlink" Target="mailto:mcpr@uevora.pt" TargetMode="External"/><Relationship Id="rId13" Type="http://schemas.openxmlformats.org/officeDocument/2006/relationships/hyperlink" Target="http://www.oecd.org/els/social/indicators/SAG" TargetMode="External"/><Relationship Id="rId14" Type="http://schemas.openxmlformats.org/officeDocument/2006/relationships/hyperlink" Target="http://epp.eurostat.ec.europa.eu/portal/page/portal/structural_indicators/indicators/social_cohesion" TargetMode="External"/><Relationship Id="rId15" Type="http://schemas.openxmlformats.org/officeDocument/2006/relationships/image" Target="media/image1.emf"/><Relationship Id="rId16" Type="http://schemas.openxmlformats.org/officeDocument/2006/relationships/image" Target="media/image2.emf"/><Relationship Id="rId17" Type="http://schemas.openxmlformats.org/officeDocument/2006/relationships/image" Target="media/image3.emf"/><Relationship Id="rId18" Type="http://schemas.openxmlformats.org/officeDocument/2006/relationships/hyperlink" Target="http://cscanada.net/index.php/hess/issue/view/165" TargetMode="External"/><Relationship Id="rId19" Type="http://schemas.openxmlformats.org/officeDocument/2006/relationships/hyperlink" Target="http://www.apdr.pt/congresso/2011/ACTAS/Sess&#227;o%2024.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5190-0607-7A47-BFC2-B9A14852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3795</Words>
  <Characters>21638</Characters>
  <Application>Microsoft Macintosh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Saudade</dc:creator>
  <cp:lastModifiedBy>Maria Rego</cp:lastModifiedBy>
  <cp:revision>2</cp:revision>
  <dcterms:created xsi:type="dcterms:W3CDTF">2013-10-11T22:47:00Z</dcterms:created>
  <dcterms:modified xsi:type="dcterms:W3CDTF">2013-10-11T22:47:00Z</dcterms:modified>
</cp:coreProperties>
</file>