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BC" w:rsidRDefault="001713BC" w:rsidP="001713BC">
      <w:pPr>
        <w:autoSpaceDE w:val="0"/>
        <w:autoSpaceDN w:val="0"/>
        <w:adjustRightInd w:val="0"/>
        <w:spacing w:after="0" w:line="240" w:lineRule="auto"/>
        <w:rPr>
          <w:rFonts w:ascii="FrutigerNextLT-Bold" w:hAnsi="FrutigerNextLT-Bold" w:cs="FrutigerNextLT-Bold"/>
          <w:b/>
          <w:bCs/>
          <w:sz w:val="26"/>
          <w:szCs w:val="26"/>
        </w:rPr>
      </w:pPr>
      <w:r>
        <w:rPr>
          <w:rFonts w:ascii="FrutigerNextLT-Bold" w:hAnsi="FrutigerNextLT-Bold" w:cs="FrutigerNextLT-Bold"/>
          <w:b/>
          <w:bCs/>
          <w:sz w:val="26"/>
          <w:szCs w:val="26"/>
        </w:rPr>
        <w:t>NAVAS SÁNCHEZ-ÉLEZ, MARÍA VICTORIA (2011),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rPr>
          <w:rFonts w:ascii="FrutigerNextLT-BoldItalic" w:hAnsi="FrutigerNextLT-BoldItalic" w:cs="FrutigerNextLT-BoldItalic"/>
          <w:b/>
          <w:bCs/>
          <w:i/>
          <w:iCs/>
          <w:sz w:val="26"/>
          <w:szCs w:val="26"/>
        </w:rPr>
      </w:pPr>
      <w:r>
        <w:rPr>
          <w:rFonts w:ascii="FrutigerNextLT-BoldItalic" w:hAnsi="FrutigerNextLT-BoldItalic" w:cs="FrutigerNextLT-BoldItalic"/>
          <w:b/>
          <w:bCs/>
          <w:i/>
          <w:iCs/>
          <w:sz w:val="26"/>
          <w:szCs w:val="26"/>
        </w:rPr>
        <w:t>EL BARRANQUEÑO – UN MODELO DE LENGUAS EN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rPr>
          <w:rFonts w:ascii="FrutigerNextLT-BoldItalic" w:hAnsi="FrutigerNextLT-BoldItalic" w:cs="FrutigerNextLT-BoldItalic"/>
          <w:b/>
          <w:bCs/>
          <w:i/>
          <w:iCs/>
          <w:sz w:val="26"/>
          <w:szCs w:val="26"/>
        </w:rPr>
      </w:pPr>
      <w:r>
        <w:rPr>
          <w:rFonts w:ascii="FrutigerNextLT-BoldItalic" w:hAnsi="FrutigerNextLT-BoldItalic" w:cs="FrutigerNextLT-BoldItalic"/>
          <w:b/>
          <w:bCs/>
          <w:i/>
          <w:iCs/>
          <w:sz w:val="26"/>
          <w:szCs w:val="26"/>
        </w:rPr>
        <w:t>CONTACTO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rPr>
          <w:rFonts w:ascii="FrutigerNextLT-Regular" w:hAnsi="FrutigerNextLT-Regular" w:cs="FrutigerNextLT-Regular"/>
          <w:sz w:val="20"/>
          <w:szCs w:val="20"/>
        </w:rPr>
      </w:pPr>
      <w:r>
        <w:rPr>
          <w:rFonts w:ascii="FrutigerNextLT-Regular" w:hAnsi="FrutigerNextLT-Regular" w:cs="FrutigerNextLT-Regular"/>
          <w:sz w:val="20"/>
          <w:szCs w:val="20"/>
        </w:rPr>
        <w:t>Madrid: UCM-Editorial Complutense / Centro de Linguística da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rPr>
          <w:rFonts w:ascii="FrutigerNextLT-Regular" w:hAnsi="FrutigerNextLT-Regular" w:cs="FrutigerNextLT-Regular"/>
          <w:sz w:val="20"/>
          <w:szCs w:val="20"/>
        </w:rPr>
      </w:pPr>
      <w:r>
        <w:rPr>
          <w:rFonts w:ascii="FrutigerNextLT-Regular" w:hAnsi="FrutigerNextLT-Regular" w:cs="FrutigerNextLT-Regular"/>
          <w:sz w:val="20"/>
          <w:szCs w:val="20"/>
        </w:rPr>
        <w:t>Universidade de Lisboa.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rPr>
          <w:rFonts w:ascii="MinionPro-Regular" w:eastAsia="MinionPro-Regular" w:hAnsi="FrutigerNextLT-Bold" w:cs="MinionPro-Regular"/>
          <w:sz w:val="21"/>
          <w:szCs w:val="21"/>
        </w:rPr>
      </w:pP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 xml:space="preserve">Mais de cinquenta e cinco anos depois de </w:t>
      </w:r>
      <w:r>
        <w:rPr>
          <w:rFonts w:ascii="MinionPro-It" w:eastAsia="MinionPro-It" w:hAnsi="FrutigerNextLT-Bold" w:cs="MinionPro-It"/>
          <w:i/>
          <w:iCs/>
          <w:sz w:val="21"/>
          <w:szCs w:val="21"/>
        </w:rPr>
        <w:t xml:space="preserve">Filologia Barranquenha </w:t>
      </w:r>
      <w:r>
        <w:rPr>
          <w:rFonts w:ascii="MinionPro-Regular" w:eastAsia="MinionPro-Regular" w:hAnsi="FrutigerNextLT-Bold" w:cs="MinionPro-Regular"/>
          <w:sz w:val="21"/>
          <w:szCs w:val="21"/>
        </w:rPr>
        <w:t>(1955),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de Jose Leite de Vasconcelos, a monografi a de Maria Victoria Navas, saida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a lume em 2011, constitui, sem duvida, um acontecimento assinalavel, porquanto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 xml:space="preserve">desde entao que o </w:t>
      </w:r>
      <w:r>
        <w:rPr>
          <w:rFonts w:ascii="MinionPro-Regular" w:eastAsia="MinionPro-Regular" w:hAnsi="FrutigerNextLT-Bold" w:cs="MinionPro-Regular" w:hint="eastAsia"/>
          <w:sz w:val="21"/>
          <w:szCs w:val="21"/>
        </w:rPr>
        <w:t>“</w:t>
      </w:r>
      <w:r>
        <w:rPr>
          <w:rFonts w:ascii="MinionPro-Regular" w:eastAsia="MinionPro-Regular" w:hAnsi="FrutigerNextLT-Bold" w:cs="MinionPro-Regular"/>
          <w:sz w:val="21"/>
          <w:szCs w:val="21"/>
        </w:rPr>
        <w:t>estado da arte</w:t>
      </w:r>
      <w:r>
        <w:rPr>
          <w:rFonts w:ascii="MinionPro-Regular" w:eastAsia="MinionPro-Regular" w:hAnsi="FrutigerNextLT-Bold" w:cs="MinionPro-Regular" w:hint="eastAsia"/>
          <w:sz w:val="21"/>
          <w:szCs w:val="21"/>
        </w:rPr>
        <w:t>”</w:t>
      </w:r>
      <w:r>
        <w:rPr>
          <w:rFonts w:ascii="MinionPro-Regular" w:eastAsia="MinionPro-Regular" w:hAnsi="FrutigerNextLT-Bold" w:cs="MinionPro-Regular"/>
          <w:sz w:val="21"/>
          <w:szCs w:val="21"/>
        </w:rPr>
        <w:t xml:space="preserve"> sobre o falar de Barrancos nao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conhecia obra de tao grande folego, que, em simultaneo, viesse atualizar e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aumentar o conhecimento que sobre esta variedade existia e que, em grande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parte, nos vinha, ate agora, sobretudo da obra daquele grande fi lologo.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Nao constitui exagero, antes e merito da autora, dizer-se que, depois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dos estudos pioneiros de Leite de Vasconcelos, e Maria Victoria Navas a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investigadora que mais tem contribuido para o estudo e divulgacao desta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variedade linguistica, cujas carateristicas sao unicas em territorio nacional.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Efetivamente, a obra agora saida a lume representa o culminar da longa e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intensa investigacao que, desde os anos oitenta do seculo passado, a autora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vem dedicando a este tema e que se tem traduzido em varias dezenas de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comunicacoes e artigos cientifi cos, publicados de forma dispersa, maioritariamente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em revistas e atas de encontros cientifi cos, e cujos resultados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convergem nesta obra, onde se encontram ainda tres textos novos.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A investigacao de Maria Victoria Navas, que vem sendo realizada no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 xml:space="preserve">ambito do projeto </w:t>
      </w:r>
      <w:r>
        <w:rPr>
          <w:rFonts w:ascii="MinionPro-Regular" w:eastAsia="MinionPro-Regular" w:hAnsi="FrutigerNextLT-Bold" w:cs="MinionPro-Regular" w:hint="eastAsia"/>
          <w:sz w:val="21"/>
          <w:szCs w:val="21"/>
        </w:rPr>
        <w:t>“</w:t>
      </w:r>
      <w:r>
        <w:rPr>
          <w:rFonts w:ascii="MinionPro-Regular" w:eastAsia="MinionPro-Regular" w:hAnsi="FrutigerNextLT-Bold" w:cs="MinionPro-Regular"/>
          <w:sz w:val="21"/>
          <w:szCs w:val="21"/>
        </w:rPr>
        <w:t>Diacronia e Sincronia: Linguagens Fronteiricas</w:t>
      </w:r>
      <w:r>
        <w:rPr>
          <w:rFonts w:ascii="MinionPro-Regular" w:eastAsia="MinionPro-Regular" w:hAnsi="FrutigerNextLT-Bold" w:cs="MinionPro-Regular" w:hint="eastAsia"/>
          <w:sz w:val="21"/>
          <w:szCs w:val="21"/>
        </w:rPr>
        <w:t>”</w:t>
      </w:r>
      <w:r>
        <w:rPr>
          <w:rFonts w:ascii="MinionPro-Regular" w:eastAsia="MinionPro-Regular" w:hAnsi="FrutigerNextLT-Bold" w:cs="MinionPro-Regular"/>
          <w:sz w:val="21"/>
          <w:szCs w:val="21"/>
        </w:rPr>
        <w:t>, do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Centro de Linguistica da Universidade de Lisboa (CLUL), vem, pois, inequivocamente,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It" w:eastAsia="MinionPro-It" w:hAnsi="FrutigerNextLT-Bold" w:cs="MinionPro-It"/>
          <w:i/>
          <w:iCs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 xml:space="preserve">atualizar e alargar o </w:t>
      </w:r>
      <w:r>
        <w:rPr>
          <w:rFonts w:ascii="MinionPro-Regular" w:eastAsia="MinionPro-Regular" w:hAnsi="FrutigerNextLT-Bold" w:cs="MinionPro-Regular" w:hint="eastAsia"/>
          <w:sz w:val="21"/>
          <w:szCs w:val="21"/>
        </w:rPr>
        <w:t>“</w:t>
      </w:r>
      <w:r>
        <w:rPr>
          <w:rFonts w:ascii="MinionPro-Regular" w:eastAsia="MinionPro-Regular" w:hAnsi="FrutigerNextLT-Bold" w:cs="MinionPro-Regular"/>
          <w:sz w:val="21"/>
          <w:szCs w:val="21"/>
        </w:rPr>
        <w:t>estado da arte</w:t>
      </w:r>
      <w:r>
        <w:rPr>
          <w:rFonts w:ascii="MinionPro-Regular" w:eastAsia="MinionPro-Regular" w:hAnsi="FrutigerNextLT-Bold" w:cs="MinionPro-Regular" w:hint="eastAsia"/>
          <w:sz w:val="21"/>
          <w:szCs w:val="21"/>
        </w:rPr>
        <w:t>”</w:t>
      </w:r>
      <w:r>
        <w:rPr>
          <w:rFonts w:ascii="MinionPro-Regular" w:eastAsia="MinionPro-Regular" w:hAnsi="FrutigerNextLT-Bold" w:cs="MinionPro-Regular"/>
          <w:sz w:val="21"/>
          <w:szCs w:val="21"/>
        </w:rPr>
        <w:t xml:space="preserve"> sobre o </w:t>
      </w:r>
      <w:r>
        <w:rPr>
          <w:rFonts w:ascii="MinionPro-It" w:eastAsia="MinionPro-It" w:hAnsi="FrutigerNextLT-Bold" w:cs="MinionPro-It"/>
          <w:i/>
          <w:iCs/>
          <w:sz w:val="21"/>
          <w:szCs w:val="21"/>
        </w:rPr>
        <w:t>Barranquenho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com uma refl exao de largo folego, amadurecida ao longo de cerca de trinta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anos, envolvendo um extenso processo de recolha e interpretacao de dados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que, agora, revistos, atualizados e completados, chegam ao leitor de forma</w:t>
      </w:r>
    </w:p>
    <w:p w:rsidR="001713BC" w:rsidRDefault="001713BC" w:rsidP="001713BC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eastAsia="MinionPro-Regular" w:hAnsi="FrutigerNextLT-Bold" w:cs="MinionPro-Regular"/>
          <w:sz w:val="21"/>
          <w:szCs w:val="21"/>
        </w:rPr>
      </w:pPr>
      <w:r>
        <w:rPr>
          <w:rFonts w:ascii="MinionPro-Regular" w:eastAsia="MinionPro-Regular" w:hAnsi="FrutigerNextLT-Bold" w:cs="MinionPro-Regular"/>
          <w:sz w:val="21"/>
          <w:szCs w:val="21"/>
        </w:rPr>
        <w:t>acessivel, num so volume.</w:t>
      </w:r>
    </w:p>
    <w:p w:rsidR="001713BC" w:rsidRDefault="001713BC" w:rsidP="001713BC">
      <w:pPr>
        <w:rPr>
          <w:rFonts w:ascii="TimesNewRomanPSMT" w:hAnsi="TimesNewRomanPSMT" w:cs="TimesNewRomanPSMT"/>
          <w:sz w:val="12"/>
          <w:szCs w:val="12"/>
        </w:rPr>
      </w:pPr>
    </w:p>
    <w:p w:rsidR="001713BC" w:rsidRDefault="001713BC" w:rsidP="001713BC">
      <w:pPr>
        <w:rPr>
          <w:rFonts w:ascii="TimesNewRomanPSMT" w:hAnsi="TimesNewRomanPSMT" w:cs="TimesNewRomanPSMT"/>
          <w:sz w:val="12"/>
          <w:szCs w:val="12"/>
        </w:rPr>
      </w:pPr>
    </w:p>
    <w:p w:rsidR="007E33C9" w:rsidRDefault="001713BC" w:rsidP="001713BC">
      <w:r>
        <w:rPr>
          <w:rFonts w:ascii="TimesNewRomanPSMT" w:hAnsi="TimesNewRomanPSMT" w:cs="TimesNewRomanPSMT"/>
          <w:sz w:val="12"/>
          <w:szCs w:val="12"/>
        </w:rPr>
        <w:t>Diacritica 26-1_Linguagem.indb 331                                                                                                                                                                                     09-01-2013 16:29:57</w:t>
      </w:r>
    </w:p>
    <w:sectPr w:rsidR="007E33C9" w:rsidSect="007E3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Next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NextLT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NextL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nionPro-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/>
  <w:rsids>
    <w:rsidRoot w:val="001713BC"/>
    <w:rsid w:val="001713BC"/>
    <w:rsid w:val="002D3726"/>
    <w:rsid w:val="007E33C9"/>
    <w:rsid w:val="00E4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2013-01-15T16:12:00Z</dcterms:created>
  <dcterms:modified xsi:type="dcterms:W3CDTF">2013-01-15T16:15:00Z</dcterms:modified>
</cp:coreProperties>
</file>