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E3AEA">
        <w:rPr>
          <w:rFonts w:ascii="Times New Roman" w:hAnsi="Times New Roman" w:cs="Times New Roman"/>
          <w:b/>
          <w:bCs/>
          <w:sz w:val="28"/>
          <w:szCs w:val="28"/>
          <w:lang w:val="en-US"/>
        </w:rPr>
        <w:t>Besnoitia besnoiti impact on fertility of cattle exploited in Mediterranean</w:t>
      </w:r>
    </w:p>
    <w:p w:rsid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pastures (Alentejo)</w:t>
      </w:r>
    </w:p>
    <w:p w:rsid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H. Cortes</w:t>
      </w:r>
      <w:r>
        <w:rPr>
          <w:rFonts w:ascii="Times New Roman" w:hAnsi="Times New Roman" w:cs="Times New Roman"/>
          <w:i/>
          <w:iCs/>
          <w:sz w:val="14"/>
          <w:szCs w:val="14"/>
        </w:rPr>
        <w:t>1</w:t>
      </w:r>
      <w:r>
        <w:rPr>
          <w:rFonts w:ascii="Times New Roman" w:hAnsi="Times New Roman" w:cs="Times New Roman"/>
          <w:i/>
          <w:iCs/>
          <w:sz w:val="24"/>
          <w:szCs w:val="24"/>
        </w:rPr>
        <w:t>, J. Chagas e Silva</w:t>
      </w:r>
      <w:r>
        <w:rPr>
          <w:rFonts w:ascii="Times New Roman" w:hAnsi="Times New Roman" w:cs="Times New Roman"/>
          <w:i/>
          <w:iCs/>
          <w:sz w:val="14"/>
          <w:szCs w:val="14"/>
        </w:rPr>
        <w:t>2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M.C. Baptista </w:t>
      </w:r>
      <w:r>
        <w:rPr>
          <w:rFonts w:ascii="Times New Roman" w:hAnsi="Times New Roman" w:cs="Times New Roman"/>
          <w:i/>
          <w:iCs/>
          <w:sz w:val="14"/>
          <w:szCs w:val="14"/>
        </w:rPr>
        <w:t>3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R.M. Pereira </w:t>
      </w:r>
      <w:r>
        <w:rPr>
          <w:rFonts w:ascii="Times New Roman" w:hAnsi="Times New Roman" w:cs="Times New Roman"/>
          <w:i/>
          <w:iCs/>
          <w:sz w:val="14"/>
          <w:szCs w:val="14"/>
        </w:rPr>
        <w:t>3</w:t>
      </w:r>
      <w:r>
        <w:rPr>
          <w:rFonts w:ascii="Times New Roman" w:hAnsi="Times New Roman" w:cs="Times New Roman"/>
          <w:i/>
          <w:iCs/>
          <w:sz w:val="24"/>
          <w:szCs w:val="24"/>
        </w:rPr>
        <w:t>, A. Leitão</w:t>
      </w:r>
      <w:r>
        <w:rPr>
          <w:rFonts w:ascii="Times New Roman" w:hAnsi="Times New Roman" w:cs="Times New Roman"/>
          <w:i/>
          <w:iCs/>
          <w:sz w:val="14"/>
          <w:szCs w:val="14"/>
        </w:rPr>
        <w:t>4</w:t>
      </w:r>
      <w:r>
        <w:rPr>
          <w:rFonts w:ascii="Times New Roman" w:hAnsi="Times New Roman" w:cs="Times New Roman"/>
          <w:i/>
          <w:iCs/>
          <w:sz w:val="24"/>
          <w:szCs w:val="24"/>
        </w:rPr>
        <w:t>, A.E.M. Horta</w:t>
      </w:r>
      <w:r>
        <w:rPr>
          <w:rFonts w:ascii="Times New Roman" w:hAnsi="Times New Roman" w:cs="Times New Roman"/>
          <w:i/>
          <w:iCs/>
          <w:sz w:val="14"/>
          <w:szCs w:val="14"/>
        </w:rPr>
        <w:t>3</w:t>
      </w:r>
      <w:r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:rsid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14"/>
          <w:szCs w:val="1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M.I. Vasques </w:t>
      </w:r>
      <w:r>
        <w:rPr>
          <w:rFonts w:ascii="Times New Roman" w:hAnsi="Times New Roman" w:cs="Times New Roman"/>
          <w:i/>
          <w:iCs/>
          <w:sz w:val="14"/>
          <w:szCs w:val="14"/>
        </w:rPr>
        <w:t>3</w:t>
      </w:r>
      <w:r>
        <w:rPr>
          <w:rFonts w:ascii="Times New Roman" w:hAnsi="Times New Roman" w:cs="Times New Roman"/>
          <w:i/>
          <w:iCs/>
          <w:sz w:val="24"/>
          <w:szCs w:val="24"/>
        </w:rPr>
        <w:t>, J.P. Barbas</w:t>
      </w:r>
      <w:r>
        <w:rPr>
          <w:rFonts w:ascii="Times New Roman" w:hAnsi="Times New Roman" w:cs="Times New Roman"/>
          <w:i/>
          <w:iCs/>
          <w:sz w:val="14"/>
          <w:szCs w:val="14"/>
        </w:rPr>
        <w:t xml:space="preserve">3 </w:t>
      </w:r>
      <w:r>
        <w:rPr>
          <w:rFonts w:ascii="Times New Roman" w:hAnsi="Times New Roman" w:cs="Times New Roman"/>
          <w:i/>
          <w:iCs/>
          <w:sz w:val="24"/>
          <w:szCs w:val="24"/>
        </w:rPr>
        <w:t>&amp; C.C. Marques</w:t>
      </w:r>
      <w:r>
        <w:rPr>
          <w:rFonts w:ascii="Times New Roman" w:hAnsi="Times New Roman" w:cs="Times New Roman"/>
          <w:i/>
          <w:iCs/>
          <w:sz w:val="14"/>
          <w:szCs w:val="14"/>
        </w:rPr>
        <w:t>3</w:t>
      </w:r>
    </w:p>
    <w:p w:rsid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14"/>
          <w:szCs w:val="14"/>
        </w:rPr>
        <w:t>1</w:t>
      </w:r>
      <w:r>
        <w:rPr>
          <w:rFonts w:ascii="Times New Roman" w:hAnsi="Times New Roman" w:cs="Times New Roman"/>
          <w:i/>
          <w:iCs/>
          <w:sz w:val="24"/>
          <w:szCs w:val="24"/>
        </w:rPr>
        <w:t>Laboratório de Parasitologia. N. Mitra. Universidade de Évora, Ap. 947002-554, Portugal</w:t>
      </w:r>
    </w:p>
    <w:p w:rsid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14"/>
          <w:szCs w:val="14"/>
        </w:rPr>
        <w:t>2</w:t>
      </w:r>
      <w:r>
        <w:rPr>
          <w:rFonts w:ascii="Times New Roman" w:hAnsi="Times New Roman" w:cs="Times New Roman"/>
          <w:i/>
          <w:iCs/>
          <w:sz w:val="24"/>
          <w:szCs w:val="24"/>
        </w:rPr>
        <w:t>Divisão de Selecção e Reprodução Animal-DGV, Venda Nova,</w:t>
      </w:r>
    </w:p>
    <w:p w:rsid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2704-507 Amadora, Portugal</w:t>
      </w:r>
    </w:p>
    <w:p w:rsid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14"/>
          <w:szCs w:val="14"/>
        </w:rPr>
        <w:t>3</w:t>
      </w:r>
      <w:r>
        <w:rPr>
          <w:rFonts w:ascii="Times New Roman" w:hAnsi="Times New Roman" w:cs="Times New Roman"/>
          <w:i/>
          <w:iCs/>
          <w:sz w:val="24"/>
          <w:szCs w:val="24"/>
        </w:rPr>
        <w:t>Dpt. Reprodução Animal, Estação Zootécnica Nacional,</w:t>
      </w:r>
    </w:p>
    <w:p w:rsid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2005-048 Vale Santarém, Portugal</w:t>
      </w:r>
    </w:p>
    <w:p w:rsid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14"/>
          <w:szCs w:val="14"/>
        </w:rPr>
        <w:t>4</w:t>
      </w:r>
      <w:r>
        <w:rPr>
          <w:rFonts w:ascii="Times New Roman" w:hAnsi="Times New Roman" w:cs="Times New Roman"/>
          <w:i/>
          <w:iCs/>
          <w:sz w:val="24"/>
          <w:szCs w:val="24"/>
        </w:rPr>
        <w:t>Inst. Invest. Cient. Tropical (IICT; CIISA), Fac. Med. Vet., 1300-447 Lisboa, Portugal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E3AEA">
        <w:rPr>
          <w:rFonts w:ascii="Times New Roman" w:hAnsi="Times New Roman" w:cs="Times New Roman"/>
          <w:b/>
          <w:bCs/>
          <w:sz w:val="28"/>
          <w:szCs w:val="28"/>
          <w:lang w:val="en-US"/>
        </w:rPr>
        <w:t>Summary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Besnoitia besnoiti </w:t>
      </w:r>
      <w:r w:rsidRPr="008E3AEA">
        <w:rPr>
          <w:rFonts w:ascii="Times New Roman" w:hAnsi="Times New Roman" w:cs="Times New Roman"/>
          <w:sz w:val="24"/>
          <w:szCs w:val="24"/>
          <w:lang w:val="en-US"/>
        </w:rPr>
        <w:t>is a bovine parasite endemic in many tropical and subtropical areas whose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sz w:val="24"/>
          <w:szCs w:val="24"/>
          <w:lang w:val="en-US"/>
        </w:rPr>
        <w:t>prevalence in the Mediterranean countries such as Portugal seems to be increasing. Most infections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sz w:val="24"/>
          <w:szCs w:val="24"/>
          <w:lang w:val="en-US"/>
        </w:rPr>
        <w:t>are mild or subclinical, characterized by the formation of numerous cutaneous and sub-cutaneous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sz w:val="24"/>
          <w:szCs w:val="24"/>
          <w:lang w:val="en-US"/>
        </w:rPr>
        <w:t>microcysts, lowering the quality of skins for the leather industry. Male sterility or impaired fertility is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sz w:val="24"/>
          <w:szCs w:val="24"/>
          <w:lang w:val="en-US"/>
        </w:rPr>
        <w:t>a common sequela in breeding bulls, and is one of the most negative aspects of the disease in animals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sz w:val="24"/>
          <w:szCs w:val="24"/>
          <w:lang w:val="en-US"/>
        </w:rPr>
        <w:t>that survive infection. Our objective was to investigate if asymptomatic Besnoitiosis leads to bovine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sz w:val="24"/>
          <w:szCs w:val="24"/>
          <w:lang w:val="en-US"/>
        </w:rPr>
        <w:t>infertility, by comparing seminal parameters pre and post-thawing, in vitro fertilization (IVF) and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sz w:val="24"/>
          <w:szCs w:val="24"/>
          <w:lang w:val="en-US"/>
        </w:rPr>
        <w:t>embryo rates between asymptomatic infected (n=3) and uninfected (n=5) bulls, exploited in an extensive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sz w:val="24"/>
          <w:szCs w:val="24"/>
          <w:lang w:val="en-US"/>
        </w:rPr>
        <w:t>production system in Alentejo-Portugal. Skin biopsies were submitted to histopathological analyses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sz w:val="24"/>
          <w:szCs w:val="24"/>
          <w:lang w:val="en-US"/>
        </w:rPr>
        <w:t xml:space="preserve">to identify </w:t>
      </w:r>
      <w:r w:rsidRPr="008E3AE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B. besnoiti </w:t>
      </w:r>
      <w:r w:rsidRPr="008E3AEA">
        <w:rPr>
          <w:rFonts w:ascii="Times New Roman" w:hAnsi="Times New Roman" w:cs="Times New Roman"/>
          <w:sz w:val="24"/>
          <w:szCs w:val="24"/>
          <w:lang w:val="en-US"/>
        </w:rPr>
        <w:t>cysts in sires. Semen was collected by electroejaculation and sperm quality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sz w:val="24"/>
          <w:szCs w:val="24"/>
          <w:lang w:val="en-US"/>
        </w:rPr>
        <w:t>parameters before cryopreservation and after thawing were analyzed using ANOVA. The quality of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sz w:val="24"/>
          <w:szCs w:val="24"/>
          <w:lang w:val="en-US"/>
        </w:rPr>
        <w:t>semen collected from asymptomatic infected and uninfected bulls presented no differences before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sz w:val="24"/>
          <w:szCs w:val="24"/>
          <w:lang w:val="en-US"/>
        </w:rPr>
        <w:t>cryopreservation. From all the post-thawed sperm quality parameters (motility and hypoosmotic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sz w:val="24"/>
          <w:szCs w:val="24"/>
          <w:lang w:val="en-US"/>
        </w:rPr>
        <w:t>swelling test; post-swim-up motility, activity, concentration and agglutination; fertilization and embryo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8E3AEA">
        <w:rPr>
          <w:rFonts w:ascii="Times New Roman" w:hAnsi="Times New Roman" w:cs="Times New Roman"/>
          <w:sz w:val="24"/>
          <w:szCs w:val="24"/>
          <w:lang w:val="en-US"/>
        </w:rPr>
        <w:t>rates</w:t>
      </w:r>
      <w:proofErr w:type="gramEnd"/>
      <w:r w:rsidRPr="008E3AEA">
        <w:rPr>
          <w:rFonts w:ascii="Times New Roman" w:hAnsi="Times New Roman" w:cs="Times New Roman"/>
          <w:sz w:val="24"/>
          <w:szCs w:val="24"/>
          <w:lang w:val="en-US"/>
        </w:rPr>
        <w:t xml:space="preserve">) evaluated, only post-thawed (51.0±36.3 vs. 42.3±10.6%, </w:t>
      </w:r>
      <w:r w:rsidRPr="008E3AEA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>
        <w:rPr>
          <w:rFonts w:ascii="Symbol" w:hAnsi="Symbol" w:cs="Symbol"/>
          <w:sz w:val="24"/>
          <w:szCs w:val="24"/>
        </w:rPr>
        <w:t></w:t>
      </w:r>
      <w:r w:rsidRPr="008E3AEA">
        <w:rPr>
          <w:rFonts w:ascii="Times New Roman" w:hAnsi="Times New Roman" w:cs="Times New Roman"/>
          <w:sz w:val="24"/>
          <w:szCs w:val="24"/>
          <w:lang w:val="en-US"/>
        </w:rPr>
        <w:t>0.05) and post-swim-up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sz w:val="24"/>
          <w:szCs w:val="24"/>
          <w:lang w:val="en-US"/>
        </w:rPr>
        <w:t xml:space="preserve">(36.3±18.8 vs 25.1±12.0 %, </w:t>
      </w:r>
      <w:r w:rsidRPr="008E3AEA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>
        <w:rPr>
          <w:rFonts w:ascii="Symbol" w:hAnsi="Symbol" w:cs="Symbol"/>
          <w:sz w:val="24"/>
          <w:szCs w:val="24"/>
        </w:rPr>
        <w:t></w:t>
      </w:r>
      <w:r w:rsidRPr="008E3AEA">
        <w:rPr>
          <w:rFonts w:ascii="Times New Roman" w:hAnsi="Times New Roman" w:cs="Times New Roman"/>
          <w:sz w:val="24"/>
          <w:szCs w:val="24"/>
          <w:lang w:val="en-US"/>
        </w:rPr>
        <w:t>0.009) motility were significantly different between asymptomatic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sz w:val="24"/>
          <w:szCs w:val="24"/>
          <w:lang w:val="en-US"/>
        </w:rPr>
        <w:t>infected and uninfected bulls, respectively.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sz w:val="24"/>
          <w:szCs w:val="24"/>
          <w:lang w:val="en-US"/>
        </w:rPr>
        <w:t xml:space="preserve">Semen from asymptomatic </w:t>
      </w:r>
      <w:r w:rsidRPr="008E3AE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Besnoitia besnoiti </w:t>
      </w:r>
      <w:r w:rsidRPr="008E3AEA">
        <w:rPr>
          <w:rFonts w:ascii="Times New Roman" w:hAnsi="Times New Roman" w:cs="Times New Roman"/>
          <w:sz w:val="24"/>
          <w:szCs w:val="24"/>
          <w:lang w:val="en-US"/>
        </w:rPr>
        <w:t>infected bulls may maintain fertilization ability.</w:t>
      </w:r>
    </w:p>
    <w:p w:rsidR="008E3AEA" w:rsidRP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E3AEA">
        <w:rPr>
          <w:rFonts w:ascii="Times New Roman" w:hAnsi="Times New Roman" w:cs="Times New Roman"/>
          <w:sz w:val="24"/>
          <w:szCs w:val="24"/>
          <w:lang w:val="en-US"/>
        </w:rPr>
        <w:lastRenderedPageBreak/>
        <w:t>However the presence of these animals in herds represents a risk of spreading the disease leading to</w:t>
      </w:r>
    </w:p>
    <w:p w:rsidR="008E3AEA" w:rsidRDefault="008E3AEA" w:rsidP="008E3A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further economic losses.</w:t>
      </w:r>
    </w:p>
    <w:p w:rsidR="00AF65DE" w:rsidRPr="008E3AEA" w:rsidRDefault="008E3AEA" w:rsidP="008E3AEA">
      <w:pPr>
        <w:rPr>
          <w:lang w:val="en-US"/>
        </w:rPr>
      </w:pPr>
      <w:r w:rsidRPr="008E3AE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Key words: </w:t>
      </w:r>
      <w:proofErr w:type="spellStart"/>
      <w:r w:rsidRPr="008E3AEA">
        <w:rPr>
          <w:rFonts w:ascii="Times New Roman" w:hAnsi="Times New Roman" w:cs="Times New Roman"/>
          <w:i/>
          <w:iCs/>
          <w:sz w:val="24"/>
          <w:szCs w:val="24"/>
          <w:lang w:val="en-US"/>
        </w:rPr>
        <w:t>Besnoitia</w:t>
      </w:r>
      <w:proofErr w:type="spellEnd"/>
      <w:r w:rsidRPr="008E3AE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8E3AEA">
        <w:rPr>
          <w:rFonts w:ascii="Times New Roman" w:hAnsi="Times New Roman" w:cs="Times New Roman"/>
          <w:i/>
          <w:iCs/>
          <w:sz w:val="24"/>
          <w:szCs w:val="24"/>
          <w:lang w:val="en-US"/>
        </w:rPr>
        <w:t>besnoiti</w:t>
      </w:r>
      <w:proofErr w:type="spellEnd"/>
      <w:r w:rsidRPr="008E3AE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, bovine </w:t>
      </w:r>
      <w:proofErr w:type="spellStart"/>
      <w:r w:rsidRPr="008E3AEA">
        <w:rPr>
          <w:rFonts w:ascii="Times New Roman" w:hAnsi="Times New Roman" w:cs="Times New Roman"/>
          <w:i/>
          <w:iCs/>
          <w:sz w:val="24"/>
          <w:szCs w:val="24"/>
          <w:lang w:val="en-US"/>
        </w:rPr>
        <w:t>besnoitiosis</w:t>
      </w:r>
      <w:proofErr w:type="spellEnd"/>
      <w:r w:rsidRPr="008E3AEA">
        <w:rPr>
          <w:rFonts w:ascii="Times New Roman" w:hAnsi="Times New Roman" w:cs="Times New Roman"/>
          <w:i/>
          <w:iCs/>
          <w:sz w:val="24"/>
          <w:szCs w:val="24"/>
          <w:lang w:val="en-US"/>
        </w:rPr>
        <w:t>, infertility, Portugal.</w:t>
      </w:r>
    </w:p>
    <w:sectPr w:rsidR="00AF65DE" w:rsidRPr="008E3AEA" w:rsidSect="00AF65D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8E3AEA"/>
    <w:rsid w:val="00775985"/>
    <w:rsid w:val="00890E6F"/>
    <w:rsid w:val="008E3AEA"/>
    <w:rsid w:val="00AB3A90"/>
    <w:rsid w:val="00AF65DE"/>
    <w:rsid w:val="00D57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65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391</Words>
  <Characters>2114</Characters>
  <Application>Microsoft Office Word</Application>
  <DocSecurity>0</DocSecurity>
  <Lines>17</Lines>
  <Paragraphs>4</Paragraphs>
  <ScaleCrop>false</ScaleCrop>
  <Company/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Helder Cortes</dc:creator>
  <cp:lastModifiedBy>Helder Cortes</cp:lastModifiedBy>
  <cp:revision>1</cp:revision>
  <dcterms:created xsi:type="dcterms:W3CDTF">2010-03-01T21:42:00Z</dcterms:created>
  <dcterms:modified xsi:type="dcterms:W3CDTF">2010-03-01T21:42:00Z</dcterms:modified>
</cp:coreProperties>
</file>