
<file path=[Content_Types].xml><?xml version="1.0" encoding="utf-8"?>
<Types xmlns="http://schemas.openxmlformats.org/package/2006/content-types">
  <Override PartName="/word/document.xml" ContentType="application/vnd.openxmlformats-officedocument.wordprocessingml.document.main+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footnotes.xml" ContentType="application/vnd.openxmlformats-officedocument.wordprocessingml.footnot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C418A6" w:rsidRPr="00BB25AC" w:rsidRDefault="007E0DF3" w:rsidP="00495DB3">
      <w:pPr>
        <w:shd w:val="clear" w:color="auto" w:fill="FFFFFF"/>
        <w:spacing w:before="0" w:after="200" w:line="360" w:lineRule="auto"/>
        <w:jc w:val="left"/>
        <w:outlineLvl w:val="0"/>
        <w:rPr>
          <w:rFonts w:ascii="Times New Roman" w:hAnsi="Times New Roman"/>
          <w:color w:val="222222"/>
          <w:sz w:val="28"/>
          <w:szCs w:val="13"/>
        </w:rPr>
      </w:pPr>
      <w:r>
        <w:rPr>
          <w:rFonts w:ascii="Times New Roman" w:hAnsi="Times New Roman"/>
          <w:sz w:val="20"/>
          <w:szCs w:val="22"/>
        </w:rPr>
        <w:t xml:space="preserve">    </w:t>
      </w:r>
      <w:r w:rsidR="00CF2A03" w:rsidRPr="00BB25AC">
        <w:rPr>
          <w:rFonts w:ascii="Times New Roman" w:hAnsi="Times New Roman"/>
          <w:color w:val="222222"/>
          <w:sz w:val="28"/>
          <w:szCs w:val="13"/>
        </w:rPr>
        <w:t>Fraud: the double face of injustice </w:t>
      </w:r>
    </w:p>
    <w:p w:rsidR="00CF2A03" w:rsidRPr="00FA24BE" w:rsidRDefault="00C418A6" w:rsidP="00B20457">
      <w:pPr>
        <w:shd w:val="clear" w:color="auto" w:fill="FFFFFF"/>
        <w:spacing w:before="0" w:after="200" w:line="360" w:lineRule="auto"/>
        <w:ind w:left="0"/>
        <w:jc w:val="left"/>
        <w:outlineLvl w:val="0"/>
        <w:rPr>
          <w:rFonts w:ascii="Times New Roman" w:hAnsi="Times New Roman"/>
          <w:color w:val="222222"/>
          <w:sz w:val="20"/>
          <w:szCs w:val="13"/>
        </w:rPr>
      </w:pPr>
      <w:r w:rsidRPr="00FA24BE">
        <w:rPr>
          <w:rFonts w:ascii="Times New Roman" w:hAnsi="Times New Roman"/>
          <w:color w:val="222222"/>
          <w:sz w:val="20"/>
          <w:szCs w:val="13"/>
        </w:rPr>
        <w:t xml:space="preserve">Abstract </w:t>
      </w:r>
    </w:p>
    <w:p w:rsidR="00AA7E38" w:rsidRPr="00FA24BE" w:rsidRDefault="00CF2A03" w:rsidP="00481DA8">
      <w:pPr>
        <w:spacing w:before="0" w:after="200" w:line="360" w:lineRule="auto"/>
        <w:ind w:left="0"/>
        <w:rPr>
          <w:rFonts w:ascii="Times New Roman" w:hAnsi="Times New Roman"/>
          <w:color w:val="222222"/>
          <w:sz w:val="20"/>
          <w:szCs w:val="13"/>
        </w:rPr>
      </w:pPr>
      <w:r w:rsidRPr="00FA24BE">
        <w:rPr>
          <w:rFonts w:ascii="Times New Roman" w:hAnsi="Times New Roman"/>
          <w:color w:val="222222"/>
          <w:sz w:val="20"/>
          <w:szCs w:val="13"/>
          <w:shd w:val="clear" w:color="auto" w:fill="FFFFFF"/>
        </w:rPr>
        <w:t>This article analises the double faced figure of the  fresco of  "The Good and Bad Judge", in the context of legal theory and depictions of law in renaissance art . The fresco decorates the audience chamber of the old town hall of the municipality of Mo</w:t>
      </w:r>
      <w:r w:rsidR="00C418A6" w:rsidRPr="00FA24BE">
        <w:rPr>
          <w:rFonts w:ascii="Times New Roman" w:hAnsi="Times New Roman"/>
          <w:color w:val="222222"/>
          <w:sz w:val="20"/>
          <w:szCs w:val="13"/>
          <w:shd w:val="clear" w:color="auto" w:fill="FFFFFF"/>
        </w:rPr>
        <w:t>nsaraz</w:t>
      </w:r>
      <w:r w:rsidRPr="00FA24BE">
        <w:rPr>
          <w:rFonts w:ascii="Times New Roman" w:hAnsi="Times New Roman"/>
          <w:color w:val="222222"/>
          <w:sz w:val="20"/>
          <w:szCs w:val="13"/>
          <w:shd w:val="clear" w:color="auto" w:fill="FFFFFF"/>
        </w:rPr>
        <w:t>, a medieval town situated in the south of Portugal, near the border with Spain. The distinctiveness of its iconography makes it unique and rare artwork in the context of european painting. </w:t>
      </w:r>
      <w:r w:rsidRPr="00FA24BE">
        <w:rPr>
          <w:rFonts w:ascii="Times New Roman" w:hAnsi="Times New Roman"/>
          <w:color w:val="222222"/>
          <w:sz w:val="20"/>
          <w:szCs w:val="13"/>
        </w:rPr>
        <w:t>The enigmatic personage  with the double sided face is the main focus of the study because it is the figure with  the greatest complexity and symbolic meaning. The moral symbolism of the Bad Judge - depicted through various atributes and types- is built up through the almost impercebtible influences of three strong models: Giotto, Dante-Ripa and Holbein. Beginning with the idea/image of Injustice in Giotto, the author of the fresco adopts the model of the representation of the Corrupt Judge in Holbein. This is then reinforced with the various vices, which are atributes of Fraud, in Dante-Ripa. The unjust judge is thus subsumed into the personification of Fraud, which incorporates the great wheel of vices. </w:t>
      </w:r>
      <w:r w:rsidR="00B87C9B" w:rsidRPr="00FA24BE">
        <w:rPr>
          <w:rFonts w:ascii="Times New Roman" w:hAnsi="Times New Roman"/>
          <w:sz w:val="20"/>
          <w:szCs w:val="20"/>
        </w:rPr>
        <w:t xml:space="preserve"> </w:t>
      </w:r>
      <w:r w:rsidRPr="00FA24BE">
        <w:rPr>
          <w:rFonts w:ascii="Times New Roman" w:hAnsi="Times New Roman"/>
          <w:color w:val="222222"/>
          <w:sz w:val="20"/>
          <w:szCs w:val="13"/>
        </w:rPr>
        <w:t>Lastly the moral significance of the concepts of law and justice are analised, as represented in the fresco through the figure of the Bad Judge.</w:t>
      </w:r>
    </w:p>
    <w:p w:rsidR="00505561" w:rsidRPr="00FA24BE" w:rsidRDefault="00A06FC8" w:rsidP="00481DA8">
      <w:pPr>
        <w:spacing w:before="0" w:after="200" w:line="360" w:lineRule="auto"/>
        <w:ind w:left="0"/>
        <w:jc w:val="left"/>
        <w:rPr>
          <w:rFonts w:ascii="Times New Roman" w:hAnsi="Times New Roman"/>
          <w:color w:val="222222"/>
          <w:sz w:val="20"/>
          <w:szCs w:val="13"/>
          <w:shd w:val="clear" w:color="auto" w:fill="FFFFFF"/>
        </w:rPr>
      </w:pPr>
      <w:r w:rsidRPr="00FA24BE">
        <w:rPr>
          <w:rFonts w:ascii="Times New Roman" w:hAnsi="Times New Roman"/>
          <w:color w:val="222222"/>
          <w:sz w:val="20"/>
          <w:szCs w:val="13"/>
          <w:shd w:val="clear" w:color="auto" w:fill="FFFFFF"/>
        </w:rPr>
        <w:t>Key words: Renaissance, Legal iconography, Christian virtues</w:t>
      </w:r>
      <w:r w:rsidR="00CE6367" w:rsidRPr="00FA24BE">
        <w:rPr>
          <w:rFonts w:ascii="Times New Roman" w:hAnsi="Times New Roman"/>
          <w:color w:val="222222"/>
          <w:sz w:val="20"/>
          <w:szCs w:val="13"/>
          <w:shd w:val="clear" w:color="auto" w:fill="FFFFFF"/>
        </w:rPr>
        <w:t>.</w:t>
      </w:r>
    </w:p>
    <w:p w:rsidR="00B20457" w:rsidRPr="00B20457" w:rsidRDefault="00B20457" w:rsidP="00B20457">
      <w:pPr>
        <w:spacing w:line="360" w:lineRule="auto"/>
        <w:ind w:left="0"/>
        <w:outlineLvl w:val="0"/>
        <w:rPr>
          <w:rFonts w:ascii="Times New Roman" w:hAnsi="Times New Roman"/>
          <w:sz w:val="20"/>
          <w:lang w:val="es-ES"/>
        </w:rPr>
      </w:pPr>
      <w:r w:rsidRPr="00B20457">
        <w:rPr>
          <w:rFonts w:ascii="Times New Roman" w:hAnsi="Times New Roman"/>
          <w:sz w:val="20"/>
          <w:lang w:val="es-ES"/>
        </w:rPr>
        <w:t>Fraude: El doble rostro de la Justicia en el Renacimiento</w:t>
      </w:r>
    </w:p>
    <w:p w:rsidR="00B20457" w:rsidRPr="00B20457" w:rsidRDefault="00B20457" w:rsidP="00B20457">
      <w:pPr>
        <w:spacing w:line="360" w:lineRule="auto"/>
        <w:ind w:left="0"/>
        <w:rPr>
          <w:rFonts w:ascii="Times New Roman" w:hAnsi="Times New Roman"/>
          <w:sz w:val="20"/>
          <w:lang w:val="es-ES"/>
        </w:rPr>
      </w:pPr>
      <w:r w:rsidRPr="00B20457">
        <w:rPr>
          <w:rFonts w:ascii="Times New Roman" w:hAnsi="Times New Roman"/>
          <w:sz w:val="20"/>
          <w:lang w:val="es-ES"/>
        </w:rPr>
        <w:t>Resumen</w:t>
      </w:r>
    </w:p>
    <w:p w:rsidR="00B20457" w:rsidRPr="00B20457" w:rsidRDefault="00B20457" w:rsidP="00B20457">
      <w:pPr>
        <w:pStyle w:val="HTMLPreformatted"/>
        <w:shd w:val="clear" w:color="auto" w:fill="FFFFFF"/>
        <w:spacing w:line="360" w:lineRule="auto"/>
        <w:jc w:val="both"/>
        <w:rPr>
          <w:rFonts w:ascii="Times New Roman" w:hAnsi="Times New Roman"/>
          <w:lang w:val="es-ES"/>
        </w:rPr>
      </w:pPr>
      <w:r w:rsidRPr="00B20457">
        <w:rPr>
          <w:rFonts w:ascii="Times New Roman" w:hAnsi="Times New Roman"/>
          <w:lang w:val="es-ES"/>
        </w:rPr>
        <w:t>El artículo analiza el personaje de doble rostro del fresco “ Alegoria do Bom Juiz e do Mau Juiz”, contextualizándola en la Ciencia J</w:t>
      </w:r>
      <w:bookmarkStart w:id="0" w:name="_GoBack"/>
      <w:bookmarkEnd w:id="0"/>
      <w:r w:rsidRPr="00B20457">
        <w:rPr>
          <w:rFonts w:ascii="Times New Roman" w:hAnsi="Times New Roman"/>
          <w:lang w:val="es-ES"/>
        </w:rPr>
        <w:t xml:space="preserve">urídica y en el Arte Judicial renacentista. El fresco adorna la Sala de la Audiencia </w:t>
      </w:r>
      <w:r w:rsidRPr="00B20457">
        <w:rPr>
          <w:rFonts w:ascii="Times New Roman" w:hAnsi="Times New Roman"/>
          <w:color w:val="212121"/>
          <w:lang w:val="es-ES"/>
        </w:rPr>
        <w:t xml:space="preserve">del Antiguo Palacio del Ayuntamiento de Monsaraz (pueblo medieval en el sur de Portugal, cerca de </w:t>
      </w:r>
      <w:r w:rsidRPr="00B20457">
        <w:rPr>
          <w:rFonts w:ascii="Times New Roman" w:hAnsi="Times New Roman"/>
          <w:lang w:val="es-ES"/>
        </w:rPr>
        <w:t>la frontera). La singularidad de su iconografía lo hace único en Portugal y raro en el contexto de la pintura renacentista europea. Elegimos el enigmático personaje de doble rostro porque es el elemento figurativo de mayor densidad y complejidad simbólica. La simbología moral del “ Mau Juiz” está construida por la incorporación casi imperceptible de tres fortísimos modelos. Partiendo de la idea/imagen de la Injusticia de Giotto, el autor del fresco modela la figuración narrativa del Juez corrupto de Holbein, que,</w:t>
      </w:r>
      <w:r w:rsidRPr="00B20457">
        <w:rPr>
          <w:rFonts w:ascii="Times New Roman" w:hAnsi="Times New Roman"/>
          <w:color w:val="212121"/>
          <w:lang w:val="es-ES"/>
        </w:rPr>
        <w:t xml:space="preserve"> a continuación,</w:t>
      </w:r>
      <w:r w:rsidRPr="00B20457">
        <w:rPr>
          <w:rFonts w:ascii="Times New Roman" w:hAnsi="Times New Roman"/>
          <w:color w:val="212121"/>
        </w:rPr>
        <w:t xml:space="preserve"> </w:t>
      </w:r>
      <w:r w:rsidRPr="00B20457">
        <w:rPr>
          <w:rFonts w:ascii="Times New Roman" w:hAnsi="Times New Roman"/>
          <w:color w:val="212121"/>
          <w:lang w:val="es-ES"/>
        </w:rPr>
        <w:t xml:space="preserve">se refuerza </w:t>
      </w:r>
      <w:r w:rsidRPr="00B20457">
        <w:rPr>
          <w:rFonts w:ascii="Times New Roman" w:hAnsi="Times New Roman"/>
          <w:lang w:val="es-ES"/>
        </w:rPr>
        <w:t>con los múltiples vicios del Fraude de Dante-Ripa. El Juez injusto es integrado así en la personificación del Fraude, que incorpora la gran rueda de los vicios. Finalmente analizamos los significados morales, de derecho y de justicia, que son reforzados en el fresco a través de esta representación del Mal Juez.</w:t>
      </w:r>
    </w:p>
    <w:p w:rsidR="00B20457" w:rsidRPr="00B20457" w:rsidRDefault="00B20457" w:rsidP="00B20457">
      <w:pPr>
        <w:spacing w:line="360" w:lineRule="auto"/>
        <w:ind w:left="0"/>
        <w:rPr>
          <w:rFonts w:ascii="Times New Roman" w:hAnsi="Times New Roman"/>
          <w:sz w:val="20"/>
          <w:lang w:val="es-ES"/>
        </w:rPr>
      </w:pPr>
      <w:r w:rsidRPr="00B20457">
        <w:rPr>
          <w:rFonts w:ascii="Times New Roman" w:hAnsi="Times New Roman"/>
          <w:sz w:val="20"/>
          <w:lang w:val="es-ES"/>
        </w:rPr>
        <w:t xml:space="preserve">Palabras Clave: </w:t>
      </w:r>
      <w:r w:rsidRPr="00B20457">
        <w:rPr>
          <w:rFonts w:ascii="Times New Roman" w:hAnsi="Times New Roman" w:cs="Courier"/>
          <w:color w:val="212121"/>
          <w:sz w:val="20"/>
          <w:szCs w:val="2"/>
          <w:lang w:val="es-ES"/>
        </w:rPr>
        <w:t>Renascimento , Iconografia judicial, Virtudes Cristianas .</w:t>
      </w:r>
    </w:p>
    <w:p w:rsidR="00B20457" w:rsidRPr="00452AB7" w:rsidRDefault="00B20457" w:rsidP="00B20457">
      <w:pPr>
        <w:rPr>
          <w:sz w:val="24"/>
        </w:rPr>
      </w:pPr>
    </w:p>
    <w:p w:rsidR="00B20457" w:rsidRDefault="00B20457" w:rsidP="00B20457">
      <w:pPr>
        <w:spacing w:line="360" w:lineRule="auto"/>
        <w:ind w:left="0"/>
        <w:outlineLvl w:val="0"/>
        <w:rPr>
          <w:rFonts w:ascii="Times New Roman" w:hAnsi="Times New Roman"/>
          <w:sz w:val="20"/>
          <w:lang w:val="es-ES"/>
        </w:rPr>
      </w:pPr>
    </w:p>
    <w:p w:rsidR="00132006" w:rsidRPr="00481DA8" w:rsidRDefault="00075890" w:rsidP="00B20457">
      <w:pPr>
        <w:spacing w:line="360" w:lineRule="auto"/>
        <w:ind w:left="0"/>
        <w:outlineLvl w:val="0"/>
        <w:rPr>
          <w:rFonts w:ascii="Times New Roman" w:hAnsi="Times New Roman"/>
          <w:sz w:val="20"/>
          <w:lang w:val="es-ES"/>
        </w:rPr>
      </w:pPr>
      <w:r w:rsidRPr="00A06FC8">
        <w:rPr>
          <w:rFonts w:ascii="Times New Roman" w:hAnsi="Times New Roman"/>
          <w:b/>
          <w:sz w:val="20"/>
        </w:rPr>
        <w:t>1. O Fresco de Monsaraz.: enqua</w:t>
      </w:r>
      <w:r w:rsidR="00A06FC8">
        <w:rPr>
          <w:rFonts w:ascii="Times New Roman" w:hAnsi="Times New Roman"/>
          <w:b/>
          <w:sz w:val="20"/>
        </w:rPr>
        <w:t>dramento e objetivos.</w:t>
      </w:r>
    </w:p>
    <w:p w:rsidR="00E01749" w:rsidRPr="00075890" w:rsidRDefault="00E01749" w:rsidP="00132006">
      <w:pPr>
        <w:spacing w:line="360" w:lineRule="auto"/>
        <w:ind w:left="0" w:firstLine="720"/>
        <w:rPr>
          <w:rFonts w:ascii="Times New Roman" w:hAnsi="Times New Roman"/>
          <w:sz w:val="20"/>
        </w:rPr>
      </w:pPr>
      <w:r w:rsidRPr="00813453">
        <w:rPr>
          <w:rFonts w:ascii="Times New Roman" w:hAnsi="Times New Roman"/>
          <w:sz w:val="24"/>
        </w:rPr>
        <w:t>As ciências jurídicas e judiciais, sobretudo ao longo dos últimos seis séculos, têm vindo a apropriar-se de textos literários clássicos, de mitos e de cenas bíblicas, recriando e modernizando essas histórias em narrativas pictóricas, e em variadas outras formas de artes plásticas.</w:t>
      </w:r>
    </w:p>
    <w:p w:rsidR="00E01749" w:rsidRPr="00813453" w:rsidRDefault="00E01749" w:rsidP="00813453">
      <w:pPr>
        <w:spacing w:line="360" w:lineRule="auto"/>
        <w:ind w:left="0" w:firstLine="720"/>
        <w:rPr>
          <w:rFonts w:ascii="Times New Roman" w:hAnsi="Times New Roman"/>
          <w:sz w:val="24"/>
        </w:rPr>
      </w:pPr>
      <w:r w:rsidRPr="00813453">
        <w:rPr>
          <w:rFonts w:ascii="Times New Roman" w:hAnsi="Times New Roman"/>
          <w:sz w:val="24"/>
        </w:rPr>
        <w:t>As iluminuras e as gravuras dos livros jurídicos e dos códigos judiciais, as tapeçarias, os frescos, as pinturas e os vitrais que decoram, desde o Renascimento aos nossos dias, os Palácios Judiciais e outros espaços públicos de poder constituem um vasto e riquíssimo espólio de arte judicial. Estas obras de ornamentação e prestígio, com característica</w:t>
      </w:r>
      <w:r w:rsidR="00A3430E">
        <w:rPr>
          <w:rFonts w:ascii="Times New Roman" w:hAnsi="Times New Roman"/>
          <w:sz w:val="24"/>
        </w:rPr>
        <w:t xml:space="preserve">s </w:t>
      </w:r>
      <w:r w:rsidRPr="00813453">
        <w:rPr>
          <w:rFonts w:ascii="Times New Roman" w:hAnsi="Times New Roman"/>
          <w:sz w:val="24"/>
        </w:rPr>
        <w:t>próprias de legitimação e de moralização, têm, pelas funcionalidades específicas e pela singularidade temática, para além do significado artístico e doutrinal, uma relevância patrimonial e histórico-cultural única, a que muitas vezes não se tem dado a devida atenção.</w:t>
      </w:r>
    </w:p>
    <w:p w:rsidR="00CB407B" w:rsidRPr="00813453" w:rsidRDefault="004B7657" w:rsidP="00075890">
      <w:pPr>
        <w:pStyle w:val="BodyText"/>
        <w:spacing w:before="0" w:line="360" w:lineRule="auto"/>
        <w:ind w:left="0" w:firstLine="720"/>
        <w:rPr>
          <w:rFonts w:ascii="Times New Roman" w:hAnsi="Times New Roman"/>
          <w:sz w:val="24"/>
        </w:rPr>
      </w:pPr>
      <w:r w:rsidRPr="00813453">
        <w:rPr>
          <w:rFonts w:ascii="Times New Roman" w:hAnsi="Times New Roman"/>
          <w:sz w:val="24"/>
        </w:rPr>
        <w:t xml:space="preserve">O Fresco de Monsaraz, denominado </w:t>
      </w:r>
      <w:r w:rsidRPr="00A3430E">
        <w:rPr>
          <w:rFonts w:ascii="Times New Roman" w:hAnsi="Times New Roman"/>
          <w:i/>
          <w:sz w:val="24"/>
        </w:rPr>
        <w:t>Alegoria do Bom e do Mau juiz</w:t>
      </w:r>
      <w:r w:rsidRPr="00813453">
        <w:rPr>
          <w:rStyle w:val="FootnoteReference"/>
          <w:rFonts w:ascii="Times New Roman" w:hAnsi="Times New Roman"/>
          <w:sz w:val="24"/>
        </w:rPr>
        <w:footnoteReference w:id="0"/>
      </w:r>
      <w:r w:rsidRPr="00813453">
        <w:rPr>
          <w:rFonts w:ascii="Times New Roman" w:hAnsi="Times New Roman"/>
          <w:sz w:val="24"/>
        </w:rPr>
        <w:t xml:space="preserve"> que ornamenta a Sala do Antigo Paço de Audiência da vila de Monsaraz</w:t>
      </w:r>
      <w:r w:rsidR="0089060E">
        <w:rPr>
          <w:rFonts w:ascii="Times New Roman" w:hAnsi="Times New Roman"/>
          <w:sz w:val="24"/>
        </w:rPr>
        <w:t xml:space="preserve"> </w:t>
      </w:r>
      <w:r w:rsidR="00E01749" w:rsidRPr="00813453">
        <w:rPr>
          <w:rFonts w:ascii="Times New Roman" w:hAnsi="Times New Roman"/>
          <w:sz w:val="24"/>
        </w:rPr>
        <w:t>é disso um bom exemplo</w:t>
      </w:r>
      <w:r w:rsidR="004C7EC0" w:rsidRPr="00813453">
        <w:rPr>
          <w:rStyle w:val="FootnoteReference"/>
          <w:rFonts w:ascii="Times New Roman" w:hAnsi="Times New Roman"/>
          <w:sz w:val="24"/>
        </w:rPr>
        <w:footnoteReference w:id="1"/>
      </w:r>
      <w:r w:rsidR="00E01749" w:rsidRPr="00813453">
        <w:rPr>
          <w:rFonts w:ascii="Times New Roman" w:hAnsi="Times New Roman"/>
          <w:sz w:val="24"/>
        </w:rPr>
        <w:t>.</w:t>
      </w:r>
    </w:p>
    <w:p w:rsidR="00D26227" w:rsidRPr="00813453" w:rsidRDefault="00E01749" w:rsidP="00813453">
      <w:pPr>
        <w:pStyle w:val="BodyText"/>
        <w:spacing w:before="0" w:line="360" w:lineRule="auto"/>
        <w:ind w:left="0"/>
        <w:rPr>
          <w:rFonts w:ascii="Times New Roman" w:hAnsi="Times New Roman"/>
          <w:sz w:val="24"/>
        </w:rPr>
      </w:pPr>
      <w:r w:rsidRPr="00813453">
        <w:rPr>
          <w:rFonts w:ascii="Times New Roman" w:hAnsi="Times New Roman"/>
          <w:sz w:val="24"/>
        </w:rPr>
        <w:t>As características político-jurídicas da sua temática tornam-no não só singular no contexto da pintura mural portuguesa, como  profundamente original no panorama da iconografia jurídica europeia.</w:t>
      </w:r>
      <w:r w:rsidR="00D26227" w:rsidRPr="00813453">
        <w:rPr>
          <w:rFonts w:ascii="Times New Roman" w:hAnsi="Times New Roman"/>
          <w:sz w:val="24"/>
        </w:rPr>
        <w:t xml:space="preserve"> No entanto, o seu significado </w:t>
      </w:r>
      <w:r w:rsidR="00CC07D5">
        <w:rPr>
          <w:rFonts w:ascii="Times New Roman" w:hAnsi="Times New Roman"/>
          <w:sz w:val="24"/>
        </w:rPr>
        <w:t xml:space="preserve"> </w:t>
      </w:r>
      <w:r w:rsidR="00D26227" w:rsidRPr="00813453">
        <w:rPr>
          <w:rFonts w:ascii="Times New Roman" w:hAnsi="Times New Roman"/>
          <w:sz w:val="24"/>
        </w:rPr>
        <w:t>iconológico  continua por explicar</w:t>
      </w:r>
      <w:r w:rsidR="00C56BD9" w:rsidRPr="00813453">
        <w:rPr>
          <w:rFonts w:ascii="Times New Roman" w:hAnsi="Times New Roman"/>
          <w:sz w:val="24"/>
        </w:rPr>
        <w:t>.</w:t>
      </w:r>
    </w:p>
    <w:p w:rsidR="00EB416A" w:rsidRDefault="00E01749" w:rsidP="00AA7E38">
      <w:pPr>
        <w:pStyle w:val="BodyText"/>
        <w:spacing w:before="0" w:line="360" w:lineRule="auto"/>
        <w:ind w:left="0" w:firstLine="720"/>
        <w:rPr>
          <w:rFonts w:ascii="Times New Roman" w:hAnsi="Times New Roman"/>
          <w:sz w:val="24"/>
        </w:rPr>
      </w:pPr>
      <w:r w:rsidRPr="00813453">
        <w:rPr>
          <w:rFonts w:ascii="Times New Roman" w:hAnsi="Times New Roman"/>
          <w:sz w:val="24"/>
        </w:rPr>
        <w:t xml:space="preserve">O arcaísmo da representação pictórica, bem como o caráter simultaneamente primitivo e arquétipo do seu imaginário, contrasta com a complexidade dos elementos iconográficos e dos atributos simbólico-jurídicos, de denso sentido doutrinário e moral. </w:t>
      </w:r>
      <w:r w:rsidR="00327DBE" w:rsidRPr="00813453">
        <w:rPr>
          <w:rFonts w:ascii="Times New Roman" w:hAnsi="Times New Roman"/>
          <w:sz w:val="24"/>
        </w:rPr>
        <w:t xml:space="preserve"> </w:t>
      </w:r>
      <w:r w:rsidR="00EB416A" w:rsidRPr="00EB416A">
        <w:rPr>
          <w:rFonts w:ascii="Times New Roman" w:hAnsi="Times New Roman"/>
          <w:noProof/>
          <w:sz w:val="24"/>
          <w:lang w:val="en-US"/>
        </w:rPr>
        <w:drawing>
          <wp:inline distT="0" distB="0" distL="0" distR="0">
            <wp:extent cx="5132246" cy="5683250"/>
            <wp:effectExtent l="0" t="0" r="0" b="0"/>
            <wp:docPr id="8" name="Picture 6" descr="_MG_2647_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_MG_2647_300dpi.jpg"/>
                    <pic:cNvPicPr/>
                  </pic:nvPicPr>
                  <pic:blipFill>
                    <a:blip r:embed="rId6" cstate="print">
                      <a:lum bright="10000" contrast="10000"/>
                    </a:blip>
                    <a:stretch>
                      <a:fillRect/>
                    </a:stretch>
                  </pic:blipFill>
                  <pic:spPr>
                    <a:xfrm>
                      <a:off x="0" y="0"/>
                      <a:ext cx="5132860" cy="5683930"/>
                    </a:xfrm>
                    <a:prstGeom prst="rect">
                      <a:avLst/>
                    </a:prstGeom>
                    <a:ln>
                      <a:noFill/>
                    </a:ln>
                    <a:effectLst>
                      <a:softEdge rad="112500"/>
                    </a:effectLst>
                  </pic:spPr>
                </pic:pic>
              </a:graphicData>
            </a:graphic>
          </wp:inline>
        </w:drawing>
      </w:r>
    </w:p>
    <w:p w:rsidR="00CF5A39" w:rsidRPr="00AA7E38" w:rsidRDefault="00A512BA" w:rsidP="00CF5A39">
      <w:pPr>
        <w:ind w:left="0"/>
        <w:outlineLvl w:val="0"/>
        <w:rPr>
          <w:rFonts w:ascii="Times New Roman" w:hAnsi="Times New Roman"/>
          <w:szCs w:val="22"/>
        </w:rPr>
      </w:pPr>
      <w:r>
        <w:rPr>
          <w:rFonts w:ascii="Times New Roman" w:hAnsi="Times New Roman"/>
          <w:sz w:val="20"/>
        </w:rPr>
        <w:t>Fig</w:t>
      </w:r>
      <w:r w:rsidR="00CF5A39" w:rsidRPr="00AA7E38">
        <w:rPr>
          <w:rFonts w:ascii="Times New Roman" w:hAnsi="Times New Roman"/>
          <w:sz w:val="20"/>
        </w:rPr>
        <w:t>1.</w:t>
      </w:r>
      <w:r>
        <w:rPr>
          <w:rFonts w:ascii="Times New Roman" w:hAnsi="Times New Roman"/>
          <w:sz w:val="20"/>
        </w:rPr>
        <w:t>:</w:t>
      </w:r>
      <w:r w:rsidR="00CF5A39" w:rsidRPr="00AA7E38">
        <w:rPr>
          <w:rFonts w:ascii="Times New Roman" w:hAnsi="Times New Roman"/>
          <w:sz w:val="20"/>
        </w:rPr>
        <w:t xml:space="preserve"> O Bom e o Mau juiz, Fresco de Monsaraz. Fotos M. Gil ©Hercules 2012</w:t>
      </w:r>
      <w:r w:rsidR="00CF5A39" w:rsidRPr="00AA7E38">
        <w:rPr>
          <w:rFonts w:ascii="Times New Roman" w:hAnsi="Times New Roman"/>
          <w:szCs w:val="22"/>
        </w:rPr>
        <w:t xml:space="preserve">. </w:t>
      </w:r>
    </w:p>
    <w:p w:rsidR="00CF5A39" w:rsidRPr="00AA7E38" w:rsidRDefault="00CF5A39" w:rsidP="00813453">
      <w:pPr>
        <w:spacing w:before="0" w:line="360" w:lineRule="auto"/>
        <w:ind w:left="0"/>
        <w:rPr>
          <w:rFonts w:ascii="Times New Roman" w:hAnsi="Times New Roman"/>
          <w:color w:val="C0504D" w:themeColor="accent2"/>
          <w:sz w:val="24"/>
        </w:rPr>
      </w:pPr>
    </w:p>
    <w:p w:rsidR="00AF67A3" w:rsidRPr="00AA7E38" w:rsidRDefault="0077254E" w:rsidP="00CE6367">
      <w:pPr>
        <w:spacing w:before="0" w:line="360" w:lineRule="auto"/>
        <w:ind w:left="0" w:firstLine="720"/>
        <w:rPr>
          <w:rFonts w:ascii="Times New Roman" w:hAnsi="Times New Roman"/>
          <w:sz w:val="24"/>
        </w:rPr>
      </w:pPr>
      <w:r w:rsidRPr="00813453">
        <w:rPr>
          <w:rFonts w:ascii="Times New Roman" w:hAnsi="Times New Roman"/>
          <w:sz w:val="24"/>
        </w:rPr>
        <w:t xml:space="preserve">Apesar do interesse que a pintura mural tem suscitado, não foi encontrada ainda documentação escrita com ela relacionável. Por isso, pouco se continua a saber acerca da sua autoria, oficina, encomendador, </w:t>
      </w:r>
      <w:r w:rsidR="00AA7E38">
        <w:rPr>
          <w:rFonts w:ascii="Times New Roman" w:hAnsi="Times New Roman"/>
          <w:sz w:val="24"/>
        </w:rPr>
        <w:t>modelos e desenho base</w:t>
      </w:r>
      <w:r w:rsidRPr="00813453">
        <w:rPr>
          <w:rFonts w:ascii="Times New Roman" w:hAnsi="Times New Roman"/>
          <w:sz w:val="24"/>
        </w:rPr>
        <w:t xml:space="preserve"> </w:t>
      </w:r>
      <w:r w:rsidR="00546CA2" w:rsidRPr="00813453">
        <w:rPr>
          <w:rStyle w:val="FootnoteReference"/>
          <w:rFonts w:ascii="Times New Roman" w:hAnsi="Times New Roman"/>
          <w:sz w:val="24"/>
        </w:rPr>
        <w:footnoteReference w:id="2"/>
      </w:r>
      <w:r w:rsidRPr="00813453">
        <w:rPr>
          <w:rFonts w:ascii="Times New Roman" w:hAnsi="Times New Roman"/>
          <w:sz w:val="24"/>
        </w:rPr>
        <w:t xml:space="preserve">, </w:t>
      </w:r>
      <w:r w:rsidR="00AA7E38">
        <w:rPr>
          <w:rFonts w:ascii="Times New Roman" w:hAnsi="Times New Roman"/>
          <w:sz w:val="24"/>
        </w:rPr>
        <w:t xml:space="preserve">e </w:t>
      </w:r>
      <w:r w:rsidRPr="00813453">
        <w:rPr>
          <w:rFonts w:ascii="Times New Roman" w:hAnsi="Times New Roman"/>
          <w:sz w:val="24"/>
        </w:rPr>
        <w:t>datas prováveis de realização das campanhas da obra</w:t>
      </w:r>
      <w:r w:rsidR="003C05ED" w:rsidRPr="00813453">
        <w:rPr>
          <w:rStyle w:val="FootnoteReference"/>
          <w:rFonts w:ascii="Times New Roman" w:hAnsi="Times New Roman"/>
          <w:sz w:val="24"/>
        </w:rPr>
        <w:footnoteReference w:id="3"/>
      </w:r>
      <w:r w:rsidRPr="00813453">
        <w:rPr>
          <w:rFonts w:ascii="Times New Roman" w:hAnsi="Times New Roman"/>
          <w:sz w:val="24"/>
        </w:rPr>
        <w:t>.</w:t>
      </w:r>
      <w:r w:rsidR="00D26227" w:rsidRPr="00813453">
        <w:rPr>
          <w:rFonts w:ascii="Times New Roman" w:hAnsi="Times New Roman"/>
          <w:sz w:val="24"/>
        </w:rPr>
        <w:t xml:space="preserve"> </w:t>
      </w:r>
      <w:r w:rsidR="00EA3D1C" w:rsidRPr="00AA7E38">
        <w:rPr>
          <w:rFonts w:ascii="Times New Roman" w:hAnsi="Times New Roman"/>
          <w:sz w:val="24"/>
        </w:rPr>
        <w:t xml:space="preserve">A datação do fresco permanece em aberto, com um intervalo que vai desde o século XIV ao século </w:t>
      </w:r>
      <w:r w:rsidR="00667371" w:rsidRPr="00AA7E38">
        <w:rPr>
          <w:rFonts w:ascii="Times New Roman" w:hAnsi="Times New Roman"/>
          <w:sz w:val="24"/>
        </w:rPr>
        <w:t xml:space="preserve">XVI; talvez porque uns valorizem a componente formal e pictórica </w:t>
      </w:r>
      <w:r w:rsidR="00AA7E38" w:rsidRPr="00AA7E38">
        <w:rPr>
          <w:rFonts w:ascii="Times New Roman" w:hAnsi="Times New Roman"/>
          <w:sz w:val="24"/>
        </w:rPr>
        <w:t xml:space="preserve">do mural </w:t>
      </w:r>
      <w:r w:rsidR="00667371" w:rsidRPr="00AA7E38">
        <w:rPr>
          <w:rFonts w:ascii="Times New Roman" w:hAnsi="Times New Roman"/>
          <w:sz w:val="24"/>
        </w:rPr>
        <w:t>e outros, o nível simbólico e iconográfico. Esta não concordância</w:t>
      </w:r>
      <w:r w:rsidR="00B87C9B" w:rsidRPr="00AA7E38">
        <w:rPr>
          <w:rFonts w:ascii="Times New Roman" w:hAnsi="Times New Roman"/>
          <w:sz w:val="24"/>
        </w:rPr>
        <w:t xml:space="preserve"> - associada à contradição entre a riqueza da  conceção iconográfica do Fresco e a forma rudimentar da </w:t>
      </w:r>
      <w:r w:rsidR="00C84BCD" w:rsidRPr="00AA7E38">
        <w:rPr>
          <w:rFonts w:ascii="Times New Roman" w:hAnsi="Times New Roman"/>
          <w:sz w:val="24"/>
        </w:rPr>
        <w:t xml:space="preserve">sua </w:t>
      </w:r>
      <w:r w:rsidR="00B87C9B" w:rsidRPr="00AA7E38">
        <w:rPr>
          <w:rFonts w:ascii="Times New Roman" w:hAnsi="Times New Roman"/>
          <w:sz w:val="24"/>
        </w:rPr>
        <w:t xml:space="preserve">execução </w:t>
      </w:r>
      <w:r w:rsidR="00C84BCD" w:rsidRPr="00AA7E38">
        <w:rPr>
          <w:rFonts w:ascii="Times New Roman" w:hAnsi="Times New Roman"/>
          <w:sz w:val="24"/>
        </w:rPr>
        <w:t>–</w:t>
      </w:r>
      <w:r w:rsidR="00B87C9B" w:rsidRPr="00AA7E38">
        <w:rPr>
          <w:rFonts w:ascii="Times New Roman" w:hAnsi="Times New Roman"/>
          <w:sz w:val="24"/>
        </w:rPr>
        <w:t xml:space="preserve"> </w:t>
      </w:r>
      <w:r w:rsidR="00667371" w:rsidRPr="00AA7E38">
        <w:rPr>
          <w:rFonts w:ascii="Times New Roman" w:hAnsi="Times New Roman"/>
          <w:sz w:val="24"/>
        </w:rPr>
        <w:t>parece</w:t>
      </w:r>
      <w:r w:rsidR="00841A60" w:rsidRPr="00AA7E38">
        <w:rPr>
          <w:rFonts w:ascii="Times New Roman" w:hAnsi="Times New Roman"/>
          <w:sz w:val="24"/>
        </w:rPr>
        <w:t xml:space="preserve"> um indício de que o F</w:t>
      </w:r>
      <w:r w:rsidR="00667371" w:rsidRPr="00AA7E38">
        <w:rPr>
          <w:rFonts w:ascii="Times New Roman" w:hAnsi="Times New Roman"/>
          <w:sz w:val="24"/>
        </w:rPr>
        <w:t>resco encobre um enigma ou manifesta uma incoerência.</w:t>
      </w:r>
    </w:p>
    <w:p w:rsidR="00EB416A" w:rsidRPr="00AA7E38" w:rsidRDefault="00AA7E38" w:rsidP="00EB416A">
      <w:pPr>
        <w:spacing w:line="360" w:lineRule="auto"/>
        <w:ind w:left="0" w:firstLine="720"/>
        <w:rPr>
          <w:rFonts w:ascii="Times New Roman" w:hAnsi="Times New Roman"/>
          <w:sz w:val="24"/>
        </w:rPr>
      </w:pPr>
      <w:r w:rsidRPr="00AA7E38">
        <w:rPr>
          <w:rFonts w:ascii="Times New Roman" w:hAnsi="Times New Roman"/>
          <w:sz w:val="24"/>
        </w:rPr>
        <w:t>Este</w:t>
      </w:r>
      <w:r w:rsidR="00E01749" w:rsidRPr="00AA7E38">
        <w:rPr>
          <w:rFonts w:ascii="Times New Roman" w:hAnsi="Times New Roman"/>
          <w:sz w:val="24"/>
        </w:rPr>
        <w:t xml:space="preserve"> artigo</w:t>
      </w:r>
      <w:r w:rsidR="004C7EC0" w:rsidRPr="00AA7E38">
        <w:rPr>
          <w:rFonts w:ascii="Times New Roman" w:hAnsi="Times New Roman"/>
          <w:sz w:val="24"/>
        </w:rPr>
        <w:t xml:space="preserve">, </w:t>
      </w:r>
      <w:r w:rsidR="00C0175F" w:rsidRPr="00AA7E38">
        <w:rPr>
          <w:rFonts w:ascii="Times New Roman" w:hAnsi="Times New Roman"/>
          <w:sz w:val="24"/>
        </w:rPr>
        <w:t xml:space="preserve">a partir de uma minuciosa análise iconográfica possível </w:t>
      </w:r>
      <w:r w:rsidR="00001883" w:rsidRPr="00AA7E38">
        <w:rPr>
          <w:rFonts w:ascii="Times New Roman" w:hAnsi="Times New Roman"/>
          <w:sz w:val="24"/>
        </w:rPr>
        <w:t xml:space="preserve">graças às  </w:t>
      </w:r>
      <w:r w:rsidR="00841A60" w:rsidRPr="00AA7E38">
        <w:rPr>
          <w:rFonts w:ascii="Times New Roman" w:hAnsi="Times New Roman"/>
          <w:sz w:val="24"/>
        </w:rPr>
        <w:t>estudos técnicos</w:t>
      </w:r>
      <w:r w:rsidR="00001883" w:rsidRPr="00AA7E38">
        <w:rPr>
          <w:rFonts w:ascii="Times New Roman" w:hAnsi="Times New Roman"/>
          <w:sz w:val="24"/>
        </w:rPr>
        <w:t xml:space="preserve"> </w:t>
      </w:r>
      <w:r w:rsidR="00841A60" w:rsidRPr="00AA7E38">
        <w:rPr>
          <w:rFonts w:ascii="Times New Roman" w:hAnsi="Times New Roman"/>
          <w:sz w:val="24"/>
        </w:rPr>
        <w:t>efetuado</w:t>
      </w:r>
      <w:r w:rsidR="00001883" w:rsidRPr="00AA7E38">
        <w:rPr>
          <w:rFonts w:ascii="Times New Roman" w:hAnsi="Times New Roman"/>
          <w:sz w:val="24"/>
        </w:rPr>
        <w:t>s pelo laboratório Hércules</w:t>
      </w:r>
      <w:r w:rsidR="001616CF" w:rsidRPr="00AA7E38">
        <w:rPr>
          <w:rStyle w:val="FootnoteReference"/>
          <w:rFonts w:ascii="Times New Roman" w:hAnsi="Times New Roman"/>
          <w:sz w:val="24"/>
        </w:rPr>
        <w:footnoteReference w:id="4"/>
      </w:r>
      <w:r w:rsidR="00001883" w:rsidRPr="00AA7E38">
        <w:rPr>
          <w:rFonts w:ascii="Times New Roman" w:hAnsi="Times New Roman"/>
          <w:sz w:val="24"/>
        </w:rPr>
        <w:t xml:space="preserve">, </w:t>
      </w:r>
      <w:r w:rsidR="00B563CF" w:rsidRPr="00AA7E38">
        <w:rPr>
          <w:rFonts w:ascii="Times New Roman" w:hAnsi="Times New Roman"/>
          <w:sz w:val="24"/>
        </w:rPr>
        <w:t xml:space="preserve"> interpreta</w:t>
      </w:r>
      <w:r w:rsidR="00E01749" w:rsidRPr="00AA7E38">
        <w:rPr>
          <w:rFonts w:ascii="Times New Roman" w:hAnsi="Times New Roman"/>
          <w:sz w:val="24"/>
        </w:rPr>
        <w:t xml:space="preserve"> a figura do Mau Juiz do Fresco de Monsaraz, contextualizando-a na ciência jurídica e na arte judicial renascentista</w:t>
      </w:r>
      <w:r w:rsidR="00FA0A79" w:rsidRPr="00AA7E38">
        <w:rPr>
          <w:rStyle w:val="FootnoteReference"/>
          <w:rFonts w:ascii="Times New Roman" w:hAnsi="Times New Roman"/>
          <w:sz w:val="24"/>
        </w:rPr>
        <w:footnoteReference w:id="5"/>
      </w:r>
      <w:r w:rsidR="00E01749" w:rsidRPr="00AA7E38">
        <w:rPr>
          <w:rFonts w:ascii="Times New Roman" w:hAnsi="Times New Roman"/>
          <w:sz w:val="24"/>
        </w:rPr>
        <w:t>.</w:t>
      </w:r>
    </w:p>
    <w:p w:rsidR="00E01749" w:rsidRPr="00EB416A" w:rsidRDefault="00CF5A39" w:rsidP="00516DA0">
      <w:pPr>
        <w:spacing w:line="360" w:lineRule="auto"/>
        <w:ind w:left="0" w:firstLine="720"/>
        <w:rPr>
          <w:rFonts w:ascii="Times New Roman" w:hAnsi="Times New Roman"/>
          <w:sz w:val="24"/>
        </w:rPr>
      </w:pPr>
      <w:r>
        <w:rPr>
          <w:rFonts w:ascii="Times New Roman" w:hAnsi="Times New Roman"/>
          <w:sz w:val="24"/>
        </w:rPr>
        <w:t xml:space="preserve"> Porque será </w:t>
      </w:r>
      <w:r w:rsidRPr="00CE6367">
        <w:rPr>
          <w:rFonts w:ascii="Times New Roman" w:hAnsi="Times New Roman"/>
          <w:sz w:val="24"/>
        </w:rPr>
        <w:t>o</w:t>
      </w:r>
      <w:r w:rsidR="00E01749" w:rsidRPr="00516DA0">
        <w:rPr>
          <w:rFonts w:ascii="Times New Roman" w:hAnsi="Times New Roman"/>
          <w:i/>
          <w:sz w:val="24"/>
        </w:rPr>
        <w:t xml:space="preserve"> juiz</w:t>
      </w:r>
      <w:r w:rsidRPr="00516DA0">
        <w:rPr>
          <w:rFonts w:ascii="Times New Roman" w:hAnsi="Times New Roman"/>
          <w:i/>
          <w:sz w:val="24"/>
        </w:rPr>
        <w:t xml:space="preserve"> de duplo rosto</w:t>
      </w:r>
      <w:r w:rsidR="00E01749" w:rsidRPr="00813453">
        <w:rPr>
          <w:rFonts w:ascii="Times New Roman" w:hAnsi="Times New Roman"/>
          <w:sz w:val="24"/>
        </w:rPr>
        <w:t xml:space="preserve"> o elemento figurativo de maior complexidade e densidade simbólica do fresco? Porque integra vários atributos e personificações? E qual  o sentido da</w:t>
      </w:r>
      <w:r w:rsidR="00E01749" w:rsidRPr="00813453">
        <w:rPr>
          <w:rFonts w:ascii="Times New Roman" w:hAnsi="Times New Roman" w:cs="Arial"/>
          <w:sz w:val="24"/>
        </w:rPr>
        <w:t xml:space="preserve"> simbiose de tais atributos?</w:t>
      </w:r>
      <w:r w:rsidR="00E01749" w:rsidRPr="00813453">
        <w:rPr>
          <w:rFonts w:ascii="Times New Roman" w:hAnsi="Times New Roman"/>
          <w:sz w:val="24"/>
        </w:rPr>
        <w:t xml:space="preserve"> </w:t>
      </w:r>
      <w:r w:rsidR="00E01749" w:rsidRPr="00813453">
        <w:rPr>
          <w:rFonts w:ascii="Times New Roman" w:hAnsi="Times New Roman" w:cs="Arial"/>
          <w:sz w:val="24"/>
        </w:rPr>
        <w:t>Que</w:t>
      </w:r>
      <w:r w:rsidR="00E01749" w:rsidRPr="00813453">
        <w:rPr>
          <w:rFonts w:ascii="Times New Roman" w:hAnsi="Times New Roman"/>
          <w:sz w:val="24"/>
        </w:rPr>
        <w:t xml:space="preserve"> significados morais, de direito e de justiça são reforçados </w:t>
      </w:r>
      <w:r w:rsidR="00C03EA7" w:rsidRPr="00813453">
        <w:rPr>
          <w:rFonts w:ascii="Times New Roman" w:hAnsi="Times New Roman"/>
          <w:sz w:val="24"/>
        </w:rPr>
        <w:t>na</w:t>
      </w:r>
      <w:r w:rsidR="004C7EC0" w:rsidRPr="00813453">
        <w:rPr>
          <w:rFonts w:ascii="Times New Roman" w:hAnsi="Times New Roman"/>
          <w:sz w:val="24"/>
        </w:rPr>
        <w:t xml:space="preserve"> personagem do M</w:t>
      </w:r>
      <w:r w:rsidR="00E01749" w:rsidRPr="00813453">
        <w:rPr>
          <w:rFonts w:ascii="Times New Roman" w:hAnsi="Times New Roman"/>
          <w:sz w:val="24"/>
        </w:rPr>
        <w:t xml:space="preserve">au juiz? E consequentemente, no significado global do Fresco de Monsaraz? </w:t>
      </w:r>
    </w:p>
    <w:p w:rsidR="00E01749" w:rsidRPr="00CF5A39" w:rsidRDefault="00186134" w:rsidP="00B20457">
      <w:pPr>
        <w:spacing w:line="360" w:lineRule="auto"/>
        <w:ind w:left="0"/>
        <w:outlineLvl w:val="0"/>
        <w:rPr>
          <w:rFonts w:ascii="Times New Roman" w:hAnsi="Times New Roman"/>
          <w:b/>
          <w:sz w:val="24"/>
        </w:rPr>
      </w:pPr>
      <w:r w:rsidRPr="00CF5A39">
        <w:rPr>
          <w:rFonts w:ascii="Times New Roman" w:hAnsi="Times New Roman"/>
          <w:b/>
          <w:sz w:val="24"/>
        </w:rPr>
        <w:t xml:space="preserve"> 2</w:t>
      </w:r>
      <w:r w:rsidR="00E01749" w:rsidRPr="00CF5A39">
        <w:rPr>
          <w:rFonts w:ascii="Times New Roman" w:hAnsi="Times New Roman"/>
          <w:b/>
          <w:sz w:val="24"/>
        </w:rPr>
        <w:t>. Narrativas de justiça exemplar</w:t>
      </w:r>
    </w:p>
    <w:p w:rsidR="00E01749" w:rsidRPr="00813453" w:rsidRDefault="00C56BD9" w:rsidP="00CE6367">
      <w:pPr>
        <w:pStyle w:val="BodyText"/>
        <w:spacing w:before="0" w:line="360" w:lineRule="auto"/>
        <w:ind w:left="0" w:firstLine="720"/>
        <w:rPr>
          <w:rFonts w:ascii="Times New Roman" w:hAnsi="Times New Roman"/>
          <w:sz w:val="24"/>
        </w:rPr>
      </w:pPr>
      <w:r w:rsidRPr="00813453">
        <w:rPr>
          <w:rFonts w:ascii="Times New Roman" w:hAnsi="Times New Roman"/>
          <w:sz w:val="24"/>
        </w:rPr>
        <w:t xml:space="preserve">À maneira de um </w:t>
      </w:r>
      <w:r w:rsidR="00C03EA7" w:rsidRPr="00813453">
        <w:rPr>
          <w:rFonts w:ascii="Times New Roman" w:hAnsi="Times New Roman"/>
          <w:sz w:val="24"/>
        </w:rPr>
        <w:t>tríptico,</w:t>
      </w:r>
      <w:r w:rsidR="00D61D0F" w:rsidRPr="00813453">
        <w:rPr>
          <w:rFonts w:ascii="Times New Roman" w:hAnsi="Times New Roman"/>
          <w:sz w:val="24"/>
        </w:rPr>
        <w:t xml:space="preserve"> </w:t>
      </w:r>
      <w:r w:rsidR="00516DA0">
        <w:rPr>
          <w:rFonts w:ascii="Times New Roman" w:hAnsi="Times New Roman"/>
          <w:sz w:val="24"/>
        </w:rPr>
        <w:t>o f</w:t>
      </w:r>
      <w:r w:rsidRPr="00813453">
        <w:rPr>
          <w:rFonts w:ascii="Times New Roman" w:hAnsi="Times New Roman"/>
          <w:sz w:val="24"/>
        </w:rPr>
        <w:t xml:space="preserve">resco </w:t>
      </w:r>
      <w:r w:rsidR="00D61D0F" w:rsidRPr="00813453">
        <w:rPr>
          <w:rFonts w:ascii="Times New Roman" w:hAnsi="Times New Roman"/>
          <w:sz w:val="24"/>
        </w:rPr>
        <w:t>é composto pela articulação</w:t>
      </w:r>
      <w:r w:rsidR="00E01749" w:rsidRPr="00813453">
        <w:rPr>
          <w:rFonts w:ascii="Times New Roman" w:hAnsi="Times New Roman"/>
          <w:sz w:val="24"/>
        </w:rPr>
        <w:t xml:space="preserve"> de três n</w:t>
      </w:r>
      <w:r w:rsidR="007D2E00" w:rsidRPr="00813453">
        <w:rPr>
          <w:rFonts w:ascii="Times New Roman" w:hAnsi="Times New Roman"/>
          <w:sz w:val="24"/>
        </w:rPr>
        <w:t xml:space="preserve">úcleos narrativos, </w:t>
      </w:r>
      <w:r w:rsidR="00E01749" w:rsidRPr="00813453">
        <w:rPr>
          <w:rFonts w:ascii="Times New Roman" w:hAnsi="Times New Roman"/>
          <w:sz w:val="24"/>
        </w:rPr>
        <w:t>dinamiza</w:t>
      </w:r>
      <w:r w:rsidR="001E59AD" w:rsidRPr="00813453">
        <w:rPr>
          <w:rFonts w:ascii="Times New Roman" w:hAnsi="Times New Roman"/>
          <w:sz w:val="24"/>
        </w:rPr>
        <w:t>dos p</w:t>
      </w:r>
      <w:r w:rsidR="008A3528" w:rsidRPr="00813453">
        <w:rPr>
          <w:rFonts w:ascii="Times New Roman" w:hAnsi="Times New Roman"/>
          <w:sz w:val="24"/>
        </w:rPr>
        <w:t>or uma leitura</w:t>
      </w:r>
      <w:r w:rsidR="007D2E00" w:rsidRPr="00813453">
        <w:rPr>
          <w:rFonts w:ascii="Times New Roman" w:hAnsi="Times New Roman"/>
          <w:sz w:val="24"/>
        </w:rPr>
        <w:t xml:space="preserve"> vertical e horizontal</w:t>
      </w:r>
      <w:r w:rsidR="00E01749" w:rsidRPr="00813453">
        <w:rPr>
          <w:rFonts w:ascii="Times New Roman" w:hAnsi="Times New Roman"/>
          <w:sz w:val="24"/>
        </w:rPr>
        <w:t>: o bom juiz em confronto com o mau juiz, na parte inferior do painel, e o Julgamento final, na parte superior.</w:t>
      </w:r>
    </w:p>
    <w:p w:rsidR="00E01749" w:rsidRPr="00A06FC8" w:rsidRDefault="0089060E" w:rsidP="00813453">
      <w:pPr>
        <w:spacing w:before="0" w:line="360" w:lineRule="auto"/>
        <w:ind w:left="0"/>
        <w:rPr>
          <w:rFonts w:ascii="Times New Roman" w:hAnsi="Times New Roman"/>
          <w:sz w:val="24"/>
        </w:rPr>
      </w:pPr>
      <w:r>
        <w:rPr>
          <w:rFonts w:ascii="Times New Roman" w:hAnsi="Times New Roman"/>
          <w:sz w:val="24"/>
        </w:rPr>
        <w:t xml:space="preserve"> A personificação do</w:t>
      </w:r>
      <w:r w:rsidR="00E01749" w:rsidRPr="00813453">
        <w:rPr>
          <w:rFonts w:ascii="Times New Roman" w:hAnsi="Times New Roman"/>
          <w:sz w:val="24"/>
        </w:rPr>
        <w:t xml:space="preserve"> </w:t>
      </w:r>
      <w:r w:rsidR="00516DA0">
        <w:rPr>
          <w:rFonts w:ascii="Times New Roman" w:hAnsi="Times New Roman"/>
          <w:sz w:val="24"/>
        </w:rPr>
        <w:t>j</w:t>
      </w:r>
      <w:r w:rsidR="00E01749" w:rsidRPr="00516DA0">
        <w:rPr>
          <w:rFonts w:ascii="Times New Roman" w:hAnsi="Times New Roman"/>
          <w:sz w:val="24"/>
        </w:rPr>
        <w:t>uiz</w:t>
      </w:r>
      <w:r w:rsidRPr="00516DA0">
        <w:rPr>
          <w:rFonts w:ascii="Times New Roman" w:hAnsi="Times New Roman"/>
          <w:sz w:val="24"/>
        </w:rPr>
        <w:t xml:space="preserve"> de duplo rosto</w:t>
      </w:r>
      <w:r w:rsidR="00E01749" w:rsidRPr="00813453">
        <w:rPr>
          <w:rFonts w:ascii="Times New Roman" w:hAnsi="Times New Roman"/>
          <w:sz w:val="24"/>
        </w:rPr>
        <w:t xml:space="preserve"> ganha significado visual e iconográfico </w:t>
      </w:r>
      <w:r w:rsidR="00516DA0">
        <w:rPr>
          <w:rFonts w:ascii="Times New Roman" w:hAnsi="Times New Roman"/>
          <w:sz w:val="24"/>
        </w:rPr>
        <w:t>se confrontada com o modelo de b</w:t>
      </w:r>
      <w:r w:rsidR="00E01749" w:rsidRPr="00813453">
        <w:rPr>
          <w:rFonts w:ascii="Times New Roman" w:hAnsi="Times New Roman"/>
          <w:sz w:val="24"/>
        </w:rPr>
        <w:t>om juiz, e integrada no contexto das principais narrativas literárias e pictóricas renascentistas. Por isso referem-se brevemente algumas das histórias mais comuns de juízes corruptos e de juízes ouvintes e imparciais. Pinturas do imperador Trajano</w:t>
      </w:r>
      <w:r w:rsidR="00DB3526" w:rsidRPr="00813453">
        <w:rPr>
          <w:rStyle w:val="FootnoteReference"/>
          <w:rFonts w:ascii="Times New Roman" w:hAnsi="Times New Roman"/>
          <w:sz w:val="24"/>
        </w:rPr>
        <w:footnoteReference w:id="6"/>
      </w:r>
      <w:r w:rsidR="00E01749" w:rsidRPr="00813453">
        <w:rPr>
          <w:rFonts w:ascii="Times New Roman" w:hAnsi="Times New Roman"/>
          <w:sz w:val="24"/>
        </w:rPr>
        <w:t>, popularizado com Dante</w:t>
      </w:r>
      <w:r w:rsidR="00DB3526" w:rsidRPr="00813453">
        <w:rPr>
          <w:rStyle w:val="FootnoteReference"/>
          <w:rFonts w:ascii="Times New Roman" w:hAnsi="Times New Roman"/>
          <w:sz w:val="24"/>
        </w:rPr>
        <w:footnoteReference w:id="7"/>
      </w:r>
      <w:r w:rsidR="00E01749" w:rsidRPr="00813453">
        <w:rPr>
          <w:rFonts w:ascii="Times New Roman" w:hAnsi="Times New Roman"/>
          <w:sz w:val="24"/>
        </w:rPr>
        <w:t>, a Justiça de Otão</w:t>
      </w:r>
      <w:r w:rsidR="00C471C3" w:rsidRPr="00813453">
        <w:rPr>
          <w:rStyle w:val="FootnoteReference"/>
          <w:rFonts w:ascii="Times New Roman" w:hAnsi="Times New Roman"/>
          <w:sz w:val="24"/>
        </w:rPr>
        <w:footnoteReference w:id="8"/>
      </w:r>
      <w:r w:rsidR="00E01749" w:rsidRPr="00813453">
        <w:rPr>
          <w:rFonts w:ascii="Times New Roman" w:hAnsi="Times New Roman"/>
          <w:sz w:val="24"/>
        </w:rPr>
        <w:t>, conhecida a partir do século XII pela Crónica de Godefroy, do rei persa Cambyses</w:t>
      </w:r>
      <w:r w:rsidR="00C471C3" w:rsidRPr="00813453">
        <w:rPr>
          <w:rStyle w:val="FootnoteReference"/>
          <w:rFonts w:ascii="Times New Roman" w:hAnsi="Times New Roman"/>
          <w:sz w:val="24"/>
        </w:rPr>
        <w:footnoteReference w:id="9"/>
      </w:r>
      <w:r w:rsidR="00E01749" w:rsidRPr="00813453">
        <w:rPr>
          <w:rFonts w:ascii="Times New Roman" w:hAnsi="Times New Roman"/>
          <w:sz w:val="24"/>
        </w:rPr>
        <w:t>,</w:t>
      </w:r>
      <w:r w:rsidR="00C84BCD" w:rsidRPr="00813453">
        <w:rPr>
          <w:rFonts w:ascii="Times New Roman" w:hAnsi="Times New Roman"/>
          <w:sz w:val="24"/>
        </w:rPr>
        <w:t xml:space="preserve"> </w:t>
      </w:r>
      <w:r w:rsidR="00E01749" w:rsidRPr="00813453">
        <w:rPr>
          <w:rFonts w:ascii="Times New Roman" w:hAnsi="Times New Roman"/>
          <w:sz w:val="24"/>
        </w:rPr>
        <w:t>inspirada em Heródoto, ornamentaram no Renascimento os tribunais e as salas publicas de Palácios Municipais do Norte da Europa (em contraponto com as figuras de Herodes, Pilatos e Sismenes). No entanto, a r</w:t>
      </w:r>
      <w:r w:rsidR="00D61D0F" w:rsidRPr="00813453">
        <w:rPr>
          <w:rFonts w:ascii="Times New Roman" w:hAnsi="Times New Roman"/>
          <w:sz w:val="24"/>
        </w:rPr>
        <w:t xml:space="preserve">epresentação de Salomão - </w:t>
      </w:r>
      <w:r w:rsidR="00E01749" w:rsidRPr="00813453">
        <w:rPr>
          <w:rFonts w:ascii="Times New Roman" w:hAnsi="Times New Roman"/>
          <w:sz w:val="24"/>
        </w:rPr>
        <w:t>que enquant</w:t>
      </w:r>
      <w:r w:rsidR="00C03EA7" w:rsidRPr="00813453">
        <w:rPr>
          <w:rFonts w:ascii="Times New Roman" w:hAnsi="Times New Roman"/>
          <w:sz w:val="24"/>
        </w:rPr>
        <w:t>o arquétipo está</w:t>
      </w:r>
      <w:r w:rsidR="00E01749" w:rsidRPr="00813453">
        <w:rPr>
          <w:rFonts w:ascii="Times New Roman" w:hAnsi="Times New Roman"/>
          <w:sz w:val="24"/>
        </w:rPr>
        <w:t xml:space="preserve"> presente na figuração do bom juiz -  é a mais antiga, a mais frequente, e a mais diversificada em tipos de materialidades e de objetos. Ela surge não apenas em centenas de iluminuras, desenhos, pint</w:t>
      </w:r>
      <w:r w:rsidR="00D61D0F" w:rsidRPr="00813453">
        <w:rPr>
          <w:rFonts w:ascii="Times New Roman" w:hAnsi="Times New Roman"/>
          <w:sz w:val="24"/>
        </w:rPr>
        <w:t>uras e gravuras, mas também em L</w:t>
      </w:r>
      <w:r w:rsidR="00E01749" w:rsidRPr="00813453">
        <w:rPr>
          <w:rFonts w:ascii="Times New Roman" w:hAnsi="Times New Roman"/>
          <w:sz w:val="24"/>
        </w:rPr>
        <w:t>ivros de horas, bíblias historiadas e bíblias impressas, vitrais, esculturas e baixos-relevos, tapeçarias, medalhas e plaquetas, mostrando como a figura bíblica foi integrada na história política dos diversos países europeus</w:t>
      </w:r>
      <w:r w:rsidR="00E01749" w:rsidRPr="00813453">
        <w:rPr>
          <w:rStyle w:val="FootnoteReference"/>
          <w:rFonts w:ascii="Times New Roman" w:hAnsi="Times New Roman"/>
          <w:color w:val="FF6600"/>
          <w:sz w:val="24"/>
        </w:rPr>
        <w:t>.</w:t>
      </w:r>
      <w:r w:rsidR="007E7665" w:rsidRPr="00813453">
        <w:rPr>
          <w:rFonts w:ascii="Times New Roman" w:hAnsi="Times New Roman"/>
          <w:color w:val="FF6600"/>
          <w:sz w:val="24"/>
        </w:rPr>
        <w:t>.</w:t>
      </w:r>
      <w:r w:rsidR="00E01749" w:rsidRPr="00813453">
        <w:rPr>
          <w:rFonts w:ascii="Times New Roman" w:hAnsi="Times New Roman"/>
          <w:color w:val="FF6600"/>
          <w:sz w:val="24"/>
        </w:rPr>
        <w:t xml:space="preserve"> </w:t>
      </w:r>
      <w:r w:rsidR="00E01749" w:rsidRPr="00A06FC8">
        <w:rPr>
          <w:rFonts w:ascii="Times New Roman" w:hAnsi="Times New Roman"/>
          <w:sz w:val="24"/>
        </w:rPr>
        <w:t>Aliás, ainda em Portugal ao</w:t>
      </w:r>
      <w:r w:rsidR="000765E6" w:rsidRPr="00A06FC8">
        <w:rPr>
          <w:rFonts w:ascii="Times New Roman" w:hAnsi="Times New Roman"/>
          <w:sz w:val="24"/>
        </w:rPr>
        <w:t xml:space="preserve"> longo do século XX, e depois da revolução de</w:t>
      </w:r>
      <w:r w:rsidR="00E01749" w:rsidRPr="00A06FC8">
        <w:rPr>
          <w:rFonts w:ascii="Times New Roman" w:hAnsi="Times New Roman"/>
          <w:sz w:val="24"/>
        </w:rPr>
        <w:t xml:space="preserve"> 1974, a sentença de Salomão decorou</w:t>
      </w:r>
      <w:r w:rsidR="00D61D0F" w:rsidRPr="00A06FC8">
        <w:rPr>
          <w:rFonts w:ascii="Times New Roman" w:hAnsi="Times New Roman"/>
          <w:sz w:val="24"/>
        </w:rPr>
        <w:t xml:space="preserve"> vários</w:t>
      </w:r>
      <w:r w:rsidR="00E01749" w:rsidRPr="00A06FC8">
        <w:rPr>
          <w:rFonts w:ascii="Times New Roman" w:hAnsi="Times New Roman"/>
          <w:sz w:val="24"/>
        </w:rPr>
        <w:t xml:space="preserve"> espaços judiciais</w:t>
      </w:r>
      <w:r w:rsidR="00516DA0" w:rsidRPr="00A06FC8">
        <w:rPr>
          <w:rFonts w:ascii="Times New Roman" w:hAnsi="Times New Roman"/>
          <w:sz w:val="24"/>
        </w:rPr>
        <w:t xml:space="preserve"> </w:t>
      </w:r>
      <w:r w:rsidR="00C84BCD" w:rsidRPr="00A06FC8">
        <w:rPr>
          <w:rFonts w:ascii="Times New Roman" w:hAnsi="Times New Roman"/>
          <w:sz w:val="24"/>
        </w:rPr>
        <w:t xml:space="preserve"> </w:t>
      </w:r>
      <w:r w:rsidR="00841A60" w:rsidRPr="00A06FC8">
        <w:rPr>
          <w:rFonts w:ascii="Times New Roman" w:hAnsi="Times New Roman"/>
          <w:sz w:val="24"/>
        </w:rPr>
        <w:t>(</w:t>
      </w:r>
      <w:r w:rsidR="00516DA0" w:rsidRPr="00A06FC8">
        <w:rPr>
          <w:rFonts w:ascii="Times New Roman" w:hAnsi="Times New Roman"/>
          <w:sz w:val="24"/>
        </w:rPr>
        <w:t xml:space="preserve">NUNES, </w:t>
      </w:r>
      <w:r w:rsidR="00A06FC8" w:rsidRPr="00A06FC8">
        <w:rPr>
          <w:rFonts w:ascii="Times New Roman" w:hAnsi="Times New Roman"/>
          <w:sz w:val="24"/>
        </w:rPr>
        <w:t>2013).</w:t>
      </w:r>
    </w:p>
    <w:p w:rsidR="00FC0A9F" w:rsidRDefault="008F7E18" w:rsidP="00B20457">
      <w:pPr>
        <w:spacing w:before="0" w:line="360" w:lineRule="auto"/>
        <w:ind w:left="0"/>
        <w:outlineLvl w:val="0"/>
        <w:rPr>
          <w:rFonts w:ascii="Times New Roman" w:hAnsi="Times New Roman"/>
          <w:b/>
          <w:color w:val="FF6600"/>
          <w:sz w:val="24"/>
        </w:rPr>
      </w:pPr>
      <w:r w:rsidRPr="00CF5A39">
        <w:rPr>
          <w:rFonts w:ascii="Times New Roman" w:hAnsi="Times New Roman"/>
          <w:b/>
          <w:sz w:val="24"/>
        </w:rPr>
        <w:t>3</w:t>
      </w:r>
      <w:r w:rsidR="0089060E" w:rsidRPr="00CF5A39">
        <w:rPr>
          <w:rFonts w:ascii="Times New Roman" w:hAnsi="Times New Roman"/>
          <w:b/>
          <w:sz w:val="24"/>
        </w:rPr>
        <w:t>. Personificações da</w:t>
      </w:r>
      <w:r w:rsidR="00E01749" w:rsidRPr="00CF5A39">
        <w:rPr>
          <w:rFonts w:ascii="Times New Roman" w:hAnsi="Times New Roman"/>
          <w:b/>
          <w:sz w:val="24"/>
        </w:rPr>
        <w:t xml:space="preserve"> Injustiça</w:t>
      </w:r>
    </w:p>
    <w:p w:rsidR="00E01749" w:rsidRPr="00FC0A9F" w:rsidRDefault="00E01749" w:rsidP="00FC0A9F">
      <w:pPr>
        <w:spacing w:before="0" w:line="360" w:lineRule="auto"/>
        <w:ind w:left="0"/>
        <w:rPr>
          <w:rFonts w:ascii="Times New Roman" w:hAnsi="Times New Roman"/>
          <w:b/>
          <w:color w:val="FF6600"/>
          <w:sz w:val="24"/>
        </w:rPr>
      </w:pPr>
      <w:r w:rsidRPr="00813453">
        <w:rPr>
          <w:rFonts w:ascii="Times New Roman" w:hAnsi="Times New Roman"/>
          <w:sz w:val="24"/>
        </w:rPr>
        <w:t>Para além destas narrativas de justiça exemplar, existem personagens e histórias mais fragmentadas, de perceção menos comum e de entendimento mais subtil, que foram incorporadas na literatura satírica e emblemática, tornando-se relevantes símbolos morais associados à justiça e à injustiça.</w:t>
      </w:r>
    </w:p>
    <w:p w:rsidR="00E01749" w:rsidRPr="00516DA0" w:rsidRDefault="00E01749" w:rsidP="00813453">
      <w:pPr>
        <w:spacing w:line="360" w:lineRule="auto"/>
        <w:ind w:left="0"/>
        <w:rPr>
          <w:rFonts w:ascii="Times New Roman" w:hAnsi="Times New Roman"/>
          <w:sz w:val="24"/>
        </w:rPr>
      </w:pPr>
      <w:r w:rsidRPr="00813453">
        <w:rPr>
          <w:rFonts w:ascii="Times New Roman" w:hAnsi="Times New Roman"/>
          <w:sz w:val="24"/>
        </w:rPr>
        <w:t>É o caso da representação da Justiça-Injustiça de</w:t>
      </w:r>
      <w:r w:rsidR="00D61D0F" w:rsidRPr="00813453">
        <w:rPr>
          <w:rFonts w:ascii="Times New Roman" w:hAnsi="Times New Roman"/>
          <w:sz w:val="24"/>
        </w:rPr>
        <w:t xml:space="preserve"> Giotto, do J</w:t>
      </w:r>
      <w:r w:rsidRPr="00813453">
        <w:rPr>
          <w:rFonts w:ascii="Times New Roman" w:hAnsi="Times New Roman"/>
          <w:sz w:val="24"/>
        </w:rPr>
        <w:t>uiz corrupto, n</w:t>
      </w:r>
      <w:r w:rsidR="00D61D0F" w:rsidRPr="00813453">
        <w:rPr>
          <w:rFonts w:ascii="Times New Roman" w:hAnsi="Times New Roman"/>
          <w:sz w:val="24"/>
        </w:rPr>
        <w:t xml:space="preserve">as Danças Macabras de Holbein, </w:t>
      </w:r>
      <w:r w:rsidRPr="00813453">
        <w:rPr>
          <w:rFonts w:ascii="Times New Roman" w:hAnsi="Times New Roman"/>
          <w:sz w:val="24"/>
        </w:rPr>
        <w:t>da Fraude, por oposição à Justiça misericordiosa</w:t>
      </w:r>
      <w:r w:rsidR="00745570" w:rsidRPr="00813453">
        <w:rPr>
          <w:rFonts w:ascii="Times New Roman" w:hAnsi="Times New Roman"/>
          <w:sz w:val="24"/>
        </w:rPr>
        <w:t xml:space="preserve">, de Dante e de Ripa, </w:t>
      </w:r>
      <w:r w:rsidR="00D61D0F" w:rsidRPr="00813453">
        <w:rPr>
          <w:rFonts w:ascii="Times New Roman" w:hAnsi="Times New Roman"/>
          <w:sz w:val="24"/>
        </w:rPr>
        <w:t>da J</w:t>
      </w:r>
      <w:r w:rsidRPr="00813453">
        <w:rPr>
          <w:rFonts w:ascii="Times New Roman" w:hAnsi="Times New Roman"/>
          <w:sz w:val="24"/>
        </w:rPr>
        <w:t xml:space="preserve">ustiça cega, de </w:t>
      </w:r>
      <w:r w:rsidR="00D61D0F" w:rsidRPr="00813453">
        <w:rPr>
          <w:rFonts w:ascii="Times New Roman" w:hAnsi="Times New Roman"/>
          <w:sz w:val="24"/>
        </w:rPr>
        <w:t>S. Brant, dos J</w:t>
      </w:r>
      <w:r w:rsidRPr="00813453">
        <w:rPr>
          <w:rFonts w:ascii="Times New Roman" w:hAnsi="Times New Roman"/>
          <w:sz w:val="24"/>
        </w:rPr>
        <w:t xml:space="preserve">uizes de dois rostos, etc.. </w:t>
      </w:r>
      <w:r w:rsidRPr="00813453">
        <w:rPr>
          <w:rFonts w:ascii="Times New Roman" w:hAnsi="Times New Roman" w:cs="Arial"/>
          <w:sz w:val="24"/>
        </w:rPr>
        <w:t>A razão profunda da mensagem destas imagens é moral: são “espelhos de conduta”</w:t>
      </w:r>
      <w:r w:rsidR="00745570" w:rsidRPr="00813453">
        <w:rPr>
          <w:rFonts w:ascii="Times New Roman" w:hAnsi="Times New Roman" w:cs="Arial"/>
          <w:sz w:val="24"/>
        </w:rPr>
        <w:t>.</w:t>
      </w:r>
      <w:r w:rsidRPr="00813453">
        <w:rPr>
          <w:rFonts w:ascii="Times New Roman" w:hAnsi="Times New Roman" w:cs="Arial"/>
          <w:sz w:val="24"/>
        </w:rPr>
        <w:t xml:space="preserve"> </w:t>
      </w:r>
      <w:r w:rsidRPr="00813453">
        <w:rPr>
          <w:rFonts w:ascii="Times New Roman" w:hAnsi="Times New Roman"/>
          <w:sz w:val="24"/>
        </w:rPr>
        <w:t>E é nesta linha que se compreende, e descodifica em termos jurídico-morais, a figura do mau juiz e toda a representação do Fresco de Monsaraz.</w:t>
      </w:r>
    </w:p>
    <w:p w:rsidR="00D224F2" w:rsidRPr="00A06FC8" w:rsidRDefault="008F7E18" w:rsidP="008F7E18">
      <w:pPr>
        <w:spacing w:before="0" w:line="360" w:lineRule="auto"/>
        <w:ind w:left="0"/>
        <w:rPr>
          <w:rFonts w:ascii="Times New Roman" w:hAnsi="Times New Roman" w:cs="Arial"/>
          <w:b/>
          <w:sz w:val="24"/>
        </w:rPr>
      </w:pPr>
      <w:r w:rsidRPr="00A06FC8">
        <w:rPr>
          <w:rFonts w:ascii="Times New Roman" w:hAnsi="Times New Roman" w:cs="Arial"/>
          <w:b/>
          <w:sz w:val="24"/>
        </w:rPr>
        <w:t xml:space="preserve">3.1. </w:t>
      </w:r>
      <w:r w:rsidR="00E01749" w:rsidRPr="00A06FC8">
        <w:rPr>
          <w:rFonts w:ascii="Times New Roman" w:hAnsi="Times New Roman" w:cs="Arial"/>
          <w:b/>
          <w:sz w:val="24"/>
        </w:rPr>
        <w:t>Sátira e Moral.</w:t>
      </w:r>
    </w:p>
    <w:p w:rsidR="00FC0A9F" w:rsidRPr="00FC0A9F" w:rsidRDefault="00E01749" w:rsidP="00CE6367">
      <w:pPr>
        <w:pStyle w:val="BodyText"/>
        <w:spacing w:before="0" w:line="360" w:lineRule="auto"/>
        <w:ind w:left="0" w:firstLine="720"/>
        <w:rPr>
          <w:rFonts w:ascii="Times New Roman" w:hAnsi="Times New Roman"/>
          <w:sz w:val="24"/>
        </w:rPr>
      </w:pPr>
      <w:r w:rsidRPr="00813453">
        <w:rPr>
          <w:rFonts w:ascii="Times New Roman" w:hAnsi="Times New Roman"/>
          <w:sz w:val="24"/>
        </w:rPr>
        <w:t>E</w:t>
      </w:r>
      <w:r w:rsidR="00516DA0">
        <w:rPr>
          <w:rFonts w:ascii="Times New Roman" w:hAnsi="Times New Roman"/>
          <w:sz w:val="24"/>
        </w:rPr>
        <w:t xml:space="preserve">ntrando na sala de Audiência e </w:t>
      </w:r>
      <w:r w:rsidRPr="00813453">
        <w:rPr>
          <w:rFonts w:ascii="Times New Roman" w:hAnsi="Times New Roman"/>
          <w:sz w:val="24"/>
        </w:rPr>
        <w:t xml:space="preserve">observando o fresco, o que imediatamente nos surpreende é a representação do Bom e do mau juiz, por as duas principais personagens figurarem numa dualidade quase simétrica. Mas, em que uma delas, a que está à nossa frente (a do lado direito) é desenhada com duas caras, recordando, de algum modo, o perspicaz e prudente Jano. </w:t>
      </w:r>
    </w:p>
    <w:p w:rsidR="00E01749" w:rsidRPr="00813453" w:rsidRDefault="00FC0A9F" w:rsidP="00813453">
      <w:pPr>
        <w:pStyle w:val="BodyText"/>
        <w:spacing w:before="0" w:line="360" w:lineRule="auto"/>
        <w:ind w:left="0"/>
        <w:rPr>
          <w:rFonts w:ascii="Times New Roman" w:hAnsi="Times New Roman"/>
          <w:sz w:val="24"/>
        </w:rPr>
      </w:pPr>
      <w:r w:rsidRPr="00FC0A9F">
        <w:rPr>
          <w:rFonts w:ascii="Times New Roman" w:hAnsi="Times New Roman"/>
          <w:noProof/>
          <w:sz w:val="24"/>
          <w:lang w:val="en-US"/>
        </w:rPr>
        <w:drawing>
          <wp:inline distT="0" distB="0" distL="0" distR="0">
            <wp:extent cx="5211399" cy="3473450"/>
            <wp:effectExtent l="0" t="0" r="0" b="0"/>
            <wp:docPr id="29" name="Picture 11" descr="_MG_2649_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_MG_2649_300dpi.jpg"/>
                    <pic:cNvPicPr/>
                  </pic:nvPicPr>
                  <pic:blipFill>
                    <a:blip r:embed="rId7" cstate="print">
                      <a:lum contrast="10000"/>
                    </a:blip>
                    <a:stretch>
                      <a:fillRect/>
                    </a:stretch>
                  </pic:blipFill>
                  <pic:spPr>
                    <a:xfrm>
                      <a:off x="0" y="0"/>
                      <a:ext cx="5217682" cy="3477638"/>
                    </a:xfrm>
                    <a:prstGeom prst="rect">
                      <a:avLst/>
                    </a:prstGeom>
                    <a:ln>
                      <a:noFill/>
                    </a:ln>
                    <a:effectLst>
                      <a:softEdge rad="112500"/>
                    </a:effectLst>
                  </pic:spPr>
                </pic:pic>
              </a:graphicData>
            </a:graphic>
          </wp:inline>
        </w:drawing>
      </w:r>
    </w:p>
    <w:p w:rsidR="00FC0A9F" w:rsidRDefault="00A512BA" w:rsidP="00813453">
      <w:pPr>
        <w:spacing w:before="0" w:line="360" w:lineRule="auto"/>
        <w:ind w:left="0"/>
        <w:rPr>
          <w:rFonts w:ascii="Times New Roman" w:hAnsi="Times New Roman"/>
          <w:sz w:val="20"/>
        </w:rPr>
      </w:pPr>
      <w:r>
        <w:rPr>
          <w:rFonts w:ascii="Times New Roman" w:hAnsi="Times New Roman"/>
          <w:sz w:val="20"/>
        </w:rPr>
        <w:t>Fig</w:t>
      </w:r>
      <w:r w:rsidR="00FC0A9F" w:rsidRPr="00FC0A9F">
        <w:rPr>
          <w:rFonts w:ascii="Times New Roman" w:hAnsi="Times New Roman"/>
          <w:sz w:val="20"/>
        </w:rPr>
        <w:t>.2</w:t>
      </w:r>
      <w:r>
        <w:rPr>
          <w:rFonts w:ascii="Times New Roman" w:hAnsi="Times New Roman"/>
          <w:sz w:val="20"/>
        </w:rPr>
        <w:t>:</w:t>
      </w:r>
      <w:r w:rsidR="00FC0A9F" w:rsidRPr="00FC0A9F">
        <w:rPr>
          <w:rFonts w:ascii="Times New Roman" w:hAnsi="Times New Roman"/>
          <w:sz w:val="20"/>
        </w:rPr>
        <w:t xml:space="preserve"> O bom e o mau juiz (painel inferior). Fotos M.Gil ©Hercules 2012.</w:t>
      </w:r>
    </w:p>
    <w:p w:rsidR="00516DA0" w:rsidRDefault="00FC0A9F" w:rsidP="00813453">
      <w:pPr>
        <w:spacing w:before="0" w:line="360" w:lineRule="auto"/>
        <w:ind w:left="0"/>
        <w:rPr>
          <w:rFonts w:ascii="Times New Roman" w:hAnsi="Times New Roman" w:cs="Arial"/>
          <w:sz w:val="24"/>
        </w:rPr>
      </w:pPr>
      <w:r w:rsidRPr="00FC0A9F">
        <w:rPr>
          <w:rFonts w:ascii="Times New Roman" w:hAnsi="Times New Roman"/>
          <w:sz w:val="20"/>
        </w:rPr>
        <w:t xml:space="preserve"> </w:t>
      </w:r>
      <w:r w:rsidR="00CE6367">
        <w:rPr>
          <w:rFonts w:ascii="Times New Roman" w:hAnsi="Times New Roman"/>
          <w:sz w:val="20"/>
        </w:rPr>
        <w:tab/>
      </w:r>
      <w:r w:rsidR="00E01749" w:rsidRPr="00813453">
        <w:rPr>
          <w:rFonts w:ascii="Times New Roman" w:hAnsi="Times New Roman"/>
          <w:sz w:val="24"/>
        </w:rPr>
        <w:t>No entanto, aquele insólito e intrigante</w:t>
      </w:r>
      <w:r w:rsidR="00D61D0F" w:rsidRPr="00813453">
        <w:rPr>
          <w:rFonts w:ascii="Times New Roman" w:hAnsi="Times New Roman"/>
          <w:sz w:val="24"/>
        </w:rPr>
        <w:t xml:space="preserve"> duplo rosto não nos desperta</w:t>
      </w:r>
      <w:r w:rsidR="00E01749" w:rsidRPr="00813453">
        <w:rPr>
          <w:rFonts w:ascii="Times New Roman" w:hAnsi="Times New Roman"/>
          <w:sz w:val="24"/>
        </w:rPr>
        <w:t xml:space="preserve"> um sentimento de virtude ou de paz, antes, de divisão, artifício e alguma malícia. E, comparado com a figura da bom juiz, à esquerda - que denota serenidade, transparência e dignidade, pela expressão e postura, pela sobriedade da cor do manto, e pelas insígnias que incorpora (coroa e vara da justiça/do poder) - a oposição é reforçada. </w:t>
      </w:r>
      <w:r w:rsidR="00E01749" w:rsidRPr="00813453">
        <w:rPr>
          <w:rFonts w:ascii="Times New Roman" w:hAnsi="Times New Roman" w:cs="Arial"/>
          <w:sz w:val="24"/>
        </w:rPr>
        <w:t xml:space="preserve">A unidade que a personagem do bom juiz nos transmite, provoca perante o mau juiz uma perceção de maior divisão, por desdobramento. </w:t>
      </w:r>
    </w:p>
    <w:p w:rsidR="00E01749" w:rsidRPr="00813453" w:rsidRDefault="00E01749" w:rsidP="00516DA0">
      <w:pPr>
        <w:spacing w:before="0" w:line="360" w:lineRule="auto"/>
        <w:ind w:left="0" w:firstLine="720"/>
        <w:rPr>
          <w:rFonts w:ascii="Times New Roman" w:hAnsi="Times New Roman"/>
          <w:sz w:val="24"/>
        </w:rPr>
      </w:pPr>
      <w:r w:rsidRPr="00813453">
        <w:rPr>
          <w:rFonts w:ascii="Times New Roman" w:hAnsi="Times New Roman" w:cs="Arial"/>
          <w:sz w:val="24"/>
        </w:rPr>
        <w:t xml:space="preserve">Estamos </w:t>
      </w:r>
      <w:r w:rsidRPr="00813453">
        <w:rPr>
          <w:rFonts w:ascii="Times New Roman" w:hAnsi="Times New Roman"/>
          <w:sz w:val="24"/>
        </w:rPr>
        <w:t xml:space="preserve"> num espaço público de justiça e de governação, em que o bem é confrontado com o mal, a justiça com a injustiça, o leal serviço com a corrupção. E em que o </w:t>
      </w:r>
      <w:r w:rsidRPr="00813453">
        <w:rPr>
          <w:rFonts w:ascii="Times New Roman" w:hAnsi="Times New Roman" w:cs="Arial"/>
          <w:sz w:val="24"/>
        </w:rPr>
        <w:t>fresco pretende simular, de facto, a representação de um tribunal: dois tronos, dois juízes, duas faces numa cabeça; e todos, integrados em Cristo.</w:t>
      </w:r>
    </w:p>
    <w:p w:rsidR="00FC7089" w:rsidRPr="00813453" w:rsidRDefault="00E01749" w:rsidP="00CE6367">
      <w:pPr>
        <w:spacing w:before="0" w:line="360" w:lineRule="auto"/>
        <w:ind w:left="0" w:firstLine="720"/>
        <w:rPr>
          <w:rFonts w:ascii="Times New Roman" w:hAnsi="Times New Roman" w:cs="Arial"/>
          <w:sz w:val="24"/>
        </w:rPr>
      </w:pPr>
      <w:r w:rsidRPr="00813453">
        <w:rPr>
          <w:rFonts w:ascii="Times New Roman" w:hAnsi="Times New Roman" w:cs="Arial"/>
          <w:sz w:val="24"/>
        </w:rPr>
        <w:t xml:space="preserve">O carácter simultaneamente solene do juízo final, no painel superior e a intrigante figura do mau juiz, com uma aparência satírica e jocosa, quase irreverente, pouco apropriada a uma sala de Tribunal do século XVI, exigiu, não só uma mais cuidadosa comparação com outras pinturas de idêntica finalidade, mas também a sua conexão com a literatura renascentista. Se, em relação às pinturas, ainda não encontrámos representações semelhantes, verificou-se existirem paralelismos em iluminuras, emblemas e gravuras, panfletos satírico-morais, e sobretudo, em obras literárias e dramáticas. </w:t>
      </w:r>
      <w:r w:rsidR="00FC7089" w:rsidRPr="00813453">
        <w:rPr>
          <w:rFonts w:ascii="Times New Roman" w:hAnsi="Times New Roman" w:cs="Arial"/>
          <w:sz w:val="24"/>
        </w:rPr>
        <w:t>Há, no entanto, exceções, como a sala de Conselho do Palácio Municipal de Genebra</w:t>
      </w:r>
      <w:r w:rsidR="00FC7089" w:rsidRPr="00813453">
        <w:rPr>
          <w:rStyle w:val="FootnoteReference"/>
          <w:rFonts w:ascii="Times New Roman" w:hAnsi="Times New Roman" w:cs="Arial"/>
          <w:sz w:val="24"/>
        </w:rPr>
        <w:footnoteReference w:id="10"/>
      </w:r>
      <w:r w:rsidR="00FC7089" w:rsidRPr="00813453">
        <w:rPr>
          <w:rFonts w:ascii="Times New Roman" w:hAnsi="Times New Roman" w:cs="Arial"/>
          <w:sz w:val="24"/>
        </w:rPr>
        <w:t xml:space="preserve">. Cesare Giglio, em 1601, retrata os </w:t>
      </w:r>
      <w:r w:rsidR="00516DA0" w:rsidRPr="00813453">
        <w:rPr>
          <w:rFonts w:ascii="Times New Roman" w:hAnsi="Times New Roman" w:cs="Arial"/>
          <w:sz w:val="24"/>
        </w:rPr>
        <w:t>juízes</w:t>
      </w:r>
      <w:r w:rsidR="00FC7089" w:rsidRPr="00813453">
        <w:rPr>
          <w:rFonts w:ascii="Times New Roman" w:hAnsi="Times New Roman" w:cs="Arial"/>
          <w:sz w:val="24"/>
        </w:rPr>
        <w:t xml:space="preserve"> sem mãos, ladeados por Salomão e David –possivelmente a partir de um fresco anterior, inspirado no emblema 145 de Alciato</w:t>
      </w:r>
      <w:r w:rsidR="00FC7089" w:rsidRPr="00813453">
        <w:rPr>
          <w:rStyle w:val="FootnoteReference"/>
          <w:rFonts w:ascii="Times New Roman" w:hAnsi="Times New Roman" w:cs="Arial"/>
          <w:sz w:val="24"/>
        </w:rPr>
        <w:footnoteReference w:id="11"/>
      </w:r>
      <w:r w:rsidR="00FC7089" w:rsidRPr="00813453">
        <w:rPr>
          <w:rFonts w:ascii="Times New Roman" w:hAnsi="Times New Roman" w:cs="Arial"/>
          <w:sz w:val="24"/>
        </w:rPr>
        <w:t>(ROBERT, 2006,</w:t>
      </w:r>
      <w:r w:rsidR="00516DA0">
        <w:rPr>
          <w:rFonts w:ascii="Times New Roman" w:hAnsi="Times New Roman" w:cs="Arial"/>
          <w:sz w:val="24"/>
        </w:rPr>
        <w:t xml:space="preserve"> </w:t>
      </w:r>
      <w:r w:rsidR="00FC7089" w:rsidRPr="00813453">
        <w:rPr>
          <w:rFonts w:ascii="Times New Roman" w:hAnsi="Times New Roman" w:cs="Arial"/>
          <w:sz w:val="24"/>
        </w:rPr>
        <w:t xml:space="preserve">p.90). A mutilação, a animalidade, ou a deformação eram para o direito tomista indício de crime grave, considerando-se que a dignidade humana tinha sido deliberadamente corrompida. </w:t>
      </w:r>
    </w:p>
    <w:p w:rsidR="00E01749" w:rsidRPr="00813453" w:rsidRDefault="00E01749" w:rsidP="00CE6367">
      <w:pPr>
        <w:spacing w:before="0" w:line="360" w:lineRule="auto"/>
        <w:ind w:left="0" w:firstLine="720"/>
        <w:rPr>
          <w:rFonts w:ascii="Times New Roman" w:hAnsi="Times New Roman" w:cs="Arial"/>
          <w:sz w:val="24"/>
        </w:rPr>
      </w:pPr>
      <w:r w:rsidRPr="00813453">
        <w:rPr>
          <w:rFonts w:ascii="Times New Roman" w:hAnsi="Times New Roman" w:cs="Arial"/>
          <w:sz w:val="24"/>
        </w:rPr>
        <w:t>A irreverência torna-se uma maneira fácil de, sem questionar os princípios cristãos nem os valores morais, ir observando a realidade, introduzindo distanciamento e alguma crítica. Daí a popularidade de géneros, c</w:t>
      </w:r>
      <w:r w:rsidR="009960B6">
        <w:rPr>
          <w:rFonts w:ascii="Times New Roman" w:hAnsi="Times New Roman" w:cs="Arial"/>
          <w:sz w:val="24"/>
        </w:rPr>
        <w:t xml:space="preserve">omo a farsa e a sátira, tanto e em </w:t>
      </w:r>
      <w:r w:rsidRPr="00813453">
        <w:rPr>
          <w:rFonts w:ascii="Times New Roman" w:hAnsi="Times New Roman" w:cs="Arial"/>
          <w:sz w:val="24"/>
        </w:rPr>
        <w:t xml:space="preserve">termos escritos como visuais. Em Portugal, sobretudo com </w:t>
      </w:r>
      <w:r w:rsidR="00516DA0">
        <w:rPr>
          <w:rFonts w:ascii="Times New Roman" w:hAnsi="Times New Roman" w:cs="Arial"/>
          <w:sz w:val="24"/>
        </w:rPr>
        <w:t>os autos renascentistas dos dramaturgos</w:t>
      </w:r>
      <w:r w:rsidRPr="00813453">
        <w:rPr>
          <w:rFonts w:ascii="Times New Roman" w:hAnsi="Times New Roman" w:cs="Arial"/>
          <w:sz w:val="24"/>
        </w:rPr>
        <w:t xml:space="preserve"> Gil Vicente</w:t>
      </w:r>
      <w:r w:rsidR="00EE3ED4">
        <w:rPr>
          <w:rStyle w:val="FootnoteReference"/>
          <w:rFonts w:ascii="Times New Roman" w:hAnsi="Times New Roman" w:cs="Arial"/>
          <w:sz w:val="24"/>
        </w:rPr>
        <w:footnoteReference w:id="12"/>
      </w:r>
      <w:r w:rsidR="00516DA0">
        <w:rPr>
          <w:rFonts w:ascii="Times New Roman" w:hAnsi="Times New Roman" w:cs="Arial"/>
          <w:sz w:val="24"/>
        </w:rPr>
        <w:t xml:space="preserve"> e </w:t>
      </w:r>
      <w:r w:rsidRPr="00813453">
        <w:rPr>
          <w:rFonts w:ascii="Times New Roman" w:hAnsi="Times New Roman" w:cs="Arial"/>
          <w:sz w:val="24"/>
        </w:rPr>
        <w:t xml:space="preserve"> António Prestes</w:t>
      </w:r>
      <w:r w:rsidR="00EE3ED4">
        <w:rPr>
          <w:rStyle w:val="FootnoteReference"/>
          <w:rFonts w:ascii="Times New Roman" w:hAnsi="Times New Roman" w:cs="Arial"/>
          <w:sz w:val="24"/>
        </w:rPr>
        <w:footnoteReference w:id="13"/>
      </w:r>
      <w:r w:rsidRPr="00813453">
        <w:rPr>
          <w:rFonts w:ascii="Times New Roman" w:hAnsi="Times New Roman" w:cs="Arial"/>
          <w:sz w:val="24"/>
        </w:rPr>
        <w:t>.</w:t>
      </w:r>
    </w:p>
    <w:p w:rsidR="00A06FC8" w:rsidRDefault="008F7E18" w:rsidP="00A06FC8">
      <w:pPr>
        <w:spacing w:before="0" w:line="360" w:lineRule="auto"/>
        <w:ind w:left="0"/>
        <w:rPr>
          <w:rFonts w:ascii="Times New Roman" w:hAnsi="Times New Roman" w:cs="Arial"/>
          <w:b/>
          <w:sz w:val="24"/>
        </w:rPr>
      </w:pPr>
      <w:r w:rsidRPr="00A06FC8">
        <w:rPr>
          <w:rFonts w:ascii="Times New Roman" w:hAnsi="Times New Roman" w:cs="Arial"/>
          <w:b/>
          <w:sz w:val="24"/>
        </w:rPr>
        <w:t>3.2</w:t>
      </w:r>
      <w:r w:rsidR="00E01749" w:rsidRPr="00A06FC8">
        <w:rPr>
          <w:rFonts w:ascii="Times New Roman" w:hAnsi="Times New Roman" w:cs="Arial"/>
          <w:b/>
          <w:sz w:val="24"/>
        </w:rPr>
        <w:t>.</w:t>
      </w:r>
      <w:r w:rsidR="00767652" w:rsidRPr="00A06FC8">
        <w:rPr>
          <w:rFonts w:ascii="Times New Roman" w:hAnsi="Times New Roman" w:cs="Arial"/>
          <w:b/>
          <w:sz w:val="24"/>
        </w:rPr>
        <w:t xml:space="preserve"> -</w:t>
      </w:r>
      <w:r w:rsidR="00E01749" w:rsidRPr="00A06FC8">
        <w:rPr>
          <w:rFonts w:ascii="Times New Roman" w:hAnsi="Times New Roman" w:cs="Arial"/>
          <w:b/>
          <w:sz w:val="24"/>
        </w:rPr>
        <w:t xml:space="preserve"> Os dois</w:t>
      </w:r>
      <w:r w:rsidR="00A06FC8">
        <w:rPr>
          <w:rFonts w:ascii="Times New Roman" w:hAnsi="Times New Roman" w:cs="Arial"/>
          <w:b/>
          <w:sz w:val="24"/>
        </w:rPr>
        <w:t xml:space="preserve"> Tronos</w:t>
      </w:r>
    </w:p>
    <w:p w:rsidR="00984702" w:rsidRPr="00A06FC8" w:rsidRDefault="00984702" w:rsidP="00CE6367">
      <w:pPr>
        <w:spacing w:before="0" w:line="360" w:lineRule="auto"/>
        <w:ind w:left="0" w:firstLine="720"/>
        <w:rPr>
          <w:rFonts w:ascii="Times New Roman" w:hAnsi="Times New Roman" w:cs="Arial"/>
          <w:b/>
          <w:sz w:val="24"/>
        </w:rPr>
      </w:pPr>
      <w:r w:rsidRPr="00813453">
        <w:rPr>
          <w:rFonts w:ascii="Times New Roman" w:hAnsi="Times New Roman" w:cs="Arial"/>
          <w:sz w:val="24"/>
        </w:rPr>
        <w:t xml:space="preserve">O primeiro elemento insólito no fresco de Monsaraz é o da duplicidade de tronos. Se já é raro encontrarmos a representação de dois juízes sentados numa mesma cátedra, a duplicação do símbolo da autoridade judicial é raríssima, pelo seu desconcerto. </w:t>
      </w:r>
    </w:p>
    <w:p w:rsidR="006B72A2" w:rsidRDefault="00984702" w:rsidP="00CE6367">
      <w:pPr>
        <w:pStyle w:val="BodyText"/>
        <w:spacing w:before="0" w:line="360" w:lineRule="auto"/>
        <w:ind w:left="0" w:firstLine="720"/>
        <w:rPr>
          <w:rFonts w:ascii="Times New Roman" w:hAnsi="Times New Roman" w:cs="Arial"/>
          <w:sz w:val="24"/>
        </w:rPr>
      </w:pPr>
      <w:r w:rsidRPr="00813453">
        <w:rPr>
          <w:rFonts w:ascii="Times New Roman" w:hAnsi="Times New Roman" w:cs="Arial"/>
          <w:sz w:val="24"/>
        </w:rPr>
        <w:t>Em relação ao simultâneo exercício do poder por duas autoridades judiciais, encontramos alguns exemplos em pinturas e iluminuras tardias, dos séculos XV e XVI, sobretudo quando simulam ilustrar realidades passadas na época romana.</w:t>
      </w:r>
      <w:r w:rsidR="00CE6367">
        <w:rPr>
          <w:rFonts w:ascii="Times New Roman" w:hAnsi="Times New Roman" w:cs="Arial"/>
          <w:sz w:val="24"/>
        </w:rPr>
        <w:t xml:space="preserve"> </w:t>
      </w:r>
      <w:r w:rsidRPr="00813453">
        <w:rPr>
          <w:rFonts w:ascii="Times New Roman" w:hAnsi="Times New Roman" w:cs="Arial"/>
          <w:sz w:val="24"/>
        </w:rPr>
        <w:t>É o caso da pintura de Neccolo Semitecolo, no século XIV, em que dois juízes romanos, investidos de coroa, condenam à morte dois cristãos (o mártir S. Sebastião e outro)</w:t>
      </w:r>
      <w:r w:rsidR="00243C91" w:rsidRPr="00813453">
        <w:rPr>
          <w:rStyle w:val="FootnoteReference"/>
          <w:rFonts w:ascii="Times New Roman" w:hAnsi="Times New Roman" w:cs="Arial"/>
          <w:sz w:val="24"/>
        </w:rPr>
        <w:footnoteReference w:id="14"/>
      </w:r>
      <w:r w:rsidRPr="00813453">
        <w:rPr>
          <w:rFonts w:ascii="Times New Roman" w:hAnsi="Times New Roman" w:cs="Arial"/>
          <w:sz w:val="24"/>
        </w:rPr>
        <w:t xml:space="preserve">; e </w:t>
      </w:r>
      <w:r w:rsidR="0052365C">
        <w:rPr>
          <w:rFonts w:ascii="Times New Roman" w:hAnsi="Times New Roman" w:cs="Arial"/>
          <w:sz w:val="24"/>
        </w:rPr>
        <w:t>de uma</w:t>
      </w:r>
      <w:r w:rsidRPr="00813453">
        <w:rPr>
          <w:rFonts w:ascii="Times New Roman" w:hAnsi="Times New Roman" w:cs="Arial"/>
          <w:sz w:val="24"/>
        </w:rPr>
        <w:t xml:space="preserve"> iluminura francesa, em que dois juízes romanos presidem a atos públicos e libertam cartagineses</w:t>
      </w:r>
      <w:r w:rsidR="00243C91" w:rsidRPr="00813453">
        <w:rPr>
          <w:rStyle w:val="FootnoteReference"/>
          <w:rFonts w:ascii="Times New Roman" w:hAnsi="Times New Roman" w:cs="Arial"/>
          <w:sz w:val="24"/>
        </w:rPr>
        <w:footnoteReference w:id="15"/>
      </w:r>
      <w:r w:rsidR="006B72A2">
        <w:rPr>
          <w:rFonts w:ascii="Times New Roman" w:hAnsi="Times New Roman" w:cs="Arial"/>
          <w:sz w:val="24"/>
        </w:rPr>
        <w:t>.</w:t>
      </w:r>
    </w:p>
    <w:p w:rsidR="00984702" w:rsidRPr="00E533FF" w:rsidRDefault="006B72A2" w:rsidP="00E533FF">
      <w:pPr>
        <w:spacing w:line="360" w:lineRule="auto"/>
        <w:ind w:left="0" w:firstLine="720"/>
        <w:rPr>
          <w:rFonts w:ascii="Times New Roman" w:hAnsi="Times New Roman"/>
          <w:sz w:val="24"/>
        </w:rPr>
      </w:pPr>
      <w:r w:rsidRPr="00516DA0">
        <w:rPr>
          <w:rFonts w:ascii="Times New Roman" w:hAnsi="Times New Roman" w:cs="Arial"/>
          <w:sz w:val="24"/>
        </w:rPr>
        <w:t>Integrado no âmbito cronológico do fresco,</w:t>
      </w:r>
      <w:r w:rsidRPr="00813453">
        <w:rPr>
          <w:rFonts w:ascii="Times New Roman" w:hAnsi="Times New Roman" w:cs="Arial"/>
          <w:sz w:val="24"/>
        </w:rPr>
        <w:t xml:space="preserve"> os únicos exemplos de dois tronos e de dois juízes, até agora encontrados, foram duas iluminuras, em manuscritos do século XV. Uma delas ilustra um texto de Bocaccio sobre a equidade do julgamento</w:t>
      </w:r>
      <w:r>
        <w:rPr>
          <w:rFonts w:ascii="Times New Roman" w:hAnsi="Times New Roman" w:cs="Arial"/>
          <w:sz w:val="24"/>
        </w:rPr>
        <w:t xml:space="preserve"> </w:t>
      </w:r>
      <w:r w:rsidRPr="00813453">
        <w:rPr>
          <w:rFonts w:ascii="Times New Roman" w:hAnsi="Times New Roman" w:cs="Arial"/>
          <w:sz w:val="24"/>
        </w:rPr>
        <w:t>de</w:t>
      </w:r>
      <w:r>
        <w:rPr>
          <w:rFonts w:ascii="Times New Roman" w:hAnsi="Times New Roman" w:cs="Arial"/>
          <w:sz w:val="24"/>
        </w:rPr>
        <w:t xml:space="preserve"> </w:t>
      </w:r>
      <w:r w:rsidRPr="00813453">
        <w:rPr>
          <w:rFonts w:ascii="Times New Roman" w:hAnsi="Times New Roman" w:cs="Arial"/>
          <w:sz w:val="24"/>
        </w:rPr>
        <w:t>Sempronia</w:t>
      </w:r>
      <w:r w:rsidRPr="00813453">
        <w:rPr>
          <w:rStyle w:val="FootnoteReference"/>
          <w:rFonts w:ascii="Times New Roman" w:hAnsi="Times New Roman" w:cs="Arial"/>
          <w:sz w:val="24"/>
        </w:rPr>
        <w:footnoteReference w:id="16"/>
      </w:r>
      <w:r w:rsidRPr="00813453">
        <w:rPr>
          <w:rFonts w:ascii="Times New Roman" w:hAnsi="Times New Roman" w:cs="Arial"/>
          <w:sz w:val="24"/>
        </w:rPr>
        <w:t xml:space="preserve">, uma importante família romana. </w:t>
      </w:r>
      <w:r w:rsidRPr="00813453">
        <w:rPr>
          <w:rFonts w:ascii="Times New Roman" w:hAnsi="Times New Roman"/>
          <w:sz w:val="24"/>
        </w:rPr>
        <w:t>A outra, corresponde à primeira folha do Códice de Valério Máximo</w:t>
      </w:r>
      <w:r w:rsidRPr="00813453">
        <w:rPr>
          <w:rStyle w:val="FootnoteReference"/>
          <w:rFonts w:ascii="Times New Roman" w:hAnsi="Times New Roman"/>
          <w:sz w:val="24"/>
        </w:rPr>
        <w:footnoteReference w:id="17"/>
      </w:r>
      <w:r>
        <w:rPr>
          <w:rFonts w:ascii="Times New Roman" w:hAnsi="Times New Roman"/>
          <w:sz w:val="24"/>
        </w:rPr>
        <w:t>.</w:t>
      </w:r>
      <w:r w:rsidR="00CE6367">
        <w:rPr>
          <w:rFonts w:ascii="Times New Roman" w:hAnsi="Times New Roman"/>
          <w:sz w:val="24"/>
        </w:rPr>
        <w:t xml:space="preserve"> </w:t>
      </w:r>
      <w:r w:rsidRPr="00813453">
        <w:rPr>
          <w:rFonts w:ascii="Times New Roman" w:hAnsi="Times New Roman" w:cs="Arial"/>
          <w:sz w:val="24"/>
        </w:rPr>
        <w:t>Observando-se esta ultima imagem, com uma composição de oposta simetria, é percetível tratar-se de uma irónica advertência ao comportamento corrupto dos juízes por várias subtilezas:</w:t>
      </w:r>
      <w:r w:rsidR="00E533FF">
        <w:rPr>
          <w:rFonts w:ascii="Times New Roman" w:hAnsi="Times New Roman" w:cs="Arial"/>
          <w:sz w:val="24"/>
        </w:rPr>
        <w:t xml:space="preserve"> p</w:t>
      </w:r>
      <w:r w:rsidRPr="00813453">
        <w:rPr>
          <w:rFonts w:ascii="Times New Roman" w:hAnsi="Times New Roman" w:cs="Arial"/>
          <w:sz w:val="24"/>
        </w:rPr>
        <w:t>ela comparação dos rostos, vemos que o juiz da direita tem barba e a sua expressão é mais séria do que a do companheiro, de rosto rubicundo. O juiz da direita segura com a mão direita (símbolo da justiça de Deus e da misericórdia) a espada da justiça. Não se tendo deixado subornar, delibera com a outra, a condenação do réu. O juiz da esquerda, sem nenhum atributo de justiça, e sem braço tem uma bolsa acastanhada no lugar onde deveria estar a mão esquerda, símbolo da justiça humana - a bolsa, desde tempos imemoráveis, é o atributo verbal e visual de avareza e portanto do juiz avaro e corrupto.</w:t>
      </w:r>
    </w:p>
    <w:p w:rsidR="00FC0A9F" w:rsidRDefault="00FC0A9F" w:rsidP="00813453">
      <w:pPr>
        <w:spacing w:line="360" w:lineRule="auto"/>
        <w:ind w:left="0"/>
        <w:outlineLvl w:val="0"/>
        <w:rPr>
          <w:rFonts w:ascii="Times New Roman" w:hAnsi="Times New Roman" w:cs="Arial"/>
          <w:sz w:val="24"/>
        </w:rPr>
      </w:pPr>
      <w:r w:rsidRPr="00FC0A9F">
        <w:rPr>
          <w:rFonts w:ascii="Times New Roman" w:hAnsi="Times New Roman" w:cs="Arial"/>
          <w:noProof/>
          <w:sz w:val="24"/>
          <w:lang w:val="en-US"/>
        </w:rPr>
        <w:drawing>
          <wp:inline distT="0" distB="0" distL="0" distR="0">
            <wp:extent cx="2368586" cy="2772593"/>
            <wp:effectExtent l="2540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lum bright="10000" contrast="10000"/>
                    </a:blip>
                    <a:srcRect/>
                    <a:stretch>
                      <a:fillRect/>
                    </a:stretch>
                  </pic:blipFill>
                  <pic:spPr bwMode="auto">
                    <a:xfrm>
                      <a:off x="0" y="0"/>
                      <a:ext cx="2375354" cy="2780515"/>
                    </a:xfrm>
                    <a:prstGeom prst="rect">
                      <a:avLst/>
                    </a:prstGeom>
                    <a:noFill/>
                    <a:ln w="9525">
                      <a:noFill/>
                      <a:miter lim="800000"/>
                      <a:headEnd/>
                      <a:tailEnd/>
                    </a:ln>
                  </pic:spPr>
                </pic:pic>
              </a:graphicData>
            </a:graphic>
          </wp:inline>
        </w:drawing>
      </w:r>
      <w:r w:rsidRPr="00FC0A9F">
        <w:rPr>
          <w:rFonts w:ascii="Times New Roman" w:hAnsi="Times New Roman" w:cs="Arial"/>
          <w:noProof/>
          <w:sz w:val="24"/>
          <w:lang w:val="en-US"/>
        </w:rPr>
        <w:drawing>
          <wp:inline distT="0" distB="0" distL="0" distR="0">
            <wp:extent cx="2641600" cy="2632132"/>
            <wp:effectExtent l="25400" t="0" r="0" b="0"/>
            <wp:docPr id="12" name="Picture 10" descr="333333333Captura de ecrã - 2013-10-02, 16.2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3333333Captura de ecrã - 2013-10-02, 16.26.16.png"/>
                    <pic:cNvPicPr/>
                  </pic:nvPicPr>
                  <pic:blipFill>
                    <a:blip r:embed="rId9" cstate="print"/>
                    <a:stretch>
                      <a:fillRect/>
                    </a:stretch>
                  </pic:blipFill>
                  <pic:spPr>
                    <a:xfrm>
                      <a:off x="0" y="0"/>
                      <a:ext cx="2640917" cy="2631451"/>
                    </a:xfrm>
                    <a:prstGeom prst="rect">
                      <a:avLst/>
                    </a:prstGeom>
                  </pic:spPr>
                </pic:pic>
              </a:graphicData>
            </a:graphic>
          </wp:inline>
        </w:drawing>
      </w:r>
    </w:p>
    <w:p w:rsidR="00984702" w:rsidRPr="00FC0A9F" w:rsidRDefault="00614FB1" w:rsidP="00132006">
      <w:pPr>
        <w:ind w:left="0"/>
        <w:outlineLvl w:val="0"/>
        <w:rPr>
          <w:rFonts w:ascii="Times New Roman" w:hAnsi="Times New Roman" w:cs="Arial"/>
          <w:sz w:val="20"/>
        </w:rPr>
      </w:pPr>
      <w:r>
        <w:rPr>
          <w:rFonts w:ascii="Times New Roman" w:hAnsi="Times New Roman" w:cs="Arial"/>
          <w:sz w:val="20"/>
        </w:rPr>
        <w:t xml:space="preserve">  Fig.3</w:t>
      </w:r>
      <w:r w:rsidR="00984702" w:rsidRPr="00FC0A9F">
        <w:rPr>
          <w:rFonts w:ascii="Times New Roman" w:hAnsi="Times New Roman" w:cs="Arial"/>
          <w:sz w:val="20"/>
        </w:rPr>
        <w:t>: Julgamento de Sempronia, in</w:t>
      </w:r>
      <w:r w:rsidR="00984702" w:rsidRPr="00FC0A9F">
        <w:rPr>
          <w:rFonts w:ascii="Times New Roman" w:hAnsi="Times New Roman"/>
          <w:sz w:val="20"/>
          <w:shd w:val="clear" w:color="auto" w:fill="FAF9F5"/>
        </w:rPr>
        <w:t xml:space="preserve"> Mulieribus claris /Bocaccio, ca1500 </w:t>
      </w:r>
      <w:r w:rsidR="006B72A2">
        <w:rPr>
          <w:rFonts w:ascii="Times New Roman" w:hAnsi="Times New Roman"/>
          <w:sz w:val="20"/>
          <w:shd w:val="clear" w:color="auto" w:fill="FAF9F5"/>
        </w:rPr>
        <w:t>©BnF</w:t>
      </w:r>
      <w:r w:rsidR="008E67D1">
        <w:rPr>
          <w:rFonts w:ascii="Times New Roman" w:hAnsi="Times New Roman"/>
          <w:sz w:val="20"/>
          <w:shd w:val="clear" w:color="auto" w:fill="FAF9F5"/>
        </w:rPr>
        <w:t>.fr.</w:t>
      </w:r>
    </w:p>
    <w:p w:rsidR="00FC0A9F" w:rsidRDefault="00767652" w:rsidP="00FC0A9F">
      <w:pPr>
        <w:ind w:left="0"/>
        <w:outlineLvl w:val="0"/>
        <w:rPr>
          <w:rFonts w:ascii="Times New Roman" w:hAnsi="Times New Roman"/>
          <w:sz w:val="20"/>
          <w:shd w:val="clear" w:color="auto" w:fill="FAF9F5"/>
        </w:rPr>
      </w:pPr>
      <w:r w:rsidRPr="00FC0A9F">
        <w:rPr>
          <w:rFonts w:ascii="Times New Roman" w:hAnsi="Times New Roman" w:cs="Arial"/>
          <w:sz w:val="20"/>
        </w:rPr>
        <w:t xml:space="preserve"> </w:t>
      </w:r>
      <w:r w:rsidR="009D25D5">
        <w:rPr>
          <w:rFonts w:ascii="Times New Roman" w:hAnsi="Times New Roman" w:cs="Arial"/>
          <w:sz w:val="20"/>
        </w:rPr>
        <w:t>Fig.</w:t>
      </w:r>
      <w:r w:rsidR="00614FB1">
        <w:rPr>
          <w:rFonts w:ascii="Times New Roman" w:hAnsi="Times New Roman" w:cs="Arial"/>
          <w:sz w:val="20"/>
        </w:rPr>
        <w:t xml:space="preserve">4 </w:t>
      </w:r>
      <w:r w:rsidR="00984702" w:rsidRPr="00FC0A9F">
        <w:rPr>
          <w:rFonts w:ascii="Times New Roman" w:hAnsi="Times New Roman" w:cs="Arial"/>
          <w:sz w:val="20"/>
        </w:rPr>
        <w:t xml:space="preserve">: Julgamentos, in </w:t>
      </w:r>
      <w:r w:rsidR="00984702" w:rsidRPr="00FC0A9F">
        <w:rPr>
          <w:rFonts w:ascii="Times New Roman" w:hAnsi="Times New Roman"/>
          <w:sz w:val="20"/>
          <w:shd w:val="clear" w:color="auto" w:fill="FAF9F5"/>
        </w:rPr>
        <w:t>Facta et Dicta Memorabilia /Valerius Maximus, 1401</w:t>
      </w:r>
      <w:r w:rsidR="006B72A2">
        <w:rPr>
          <w:rFonts w:ascii="Times New Roman" w:hAnsi="Times New Roman"/>
          <w:sz w:val="20"/>
          <w:shd w:val="clear" w:color="auto" w:fill="FAF9F5"/>
        </w:rPr>
        <w:t>©BnF</w:t>
      </w:r>
      <w:r w:rsidR="008E67D1">
        <w:rPr>
          <w:rFonts w:ascii="Times New Roman" w:hAnsi="Times New Roman"/>
          <w:sz w:val="20"/>
          <w:shd w:val="clear" w:color="auto" w:fill="FAF9F5"/>
        </w:rPr>
        <w:t>.fr.</w:t>
      </w:r>
    </w:p>
    <w:p w:rsidR="00984702" w:rsidRPr="00FC0A9F" w:rsidRDefault="00984702" w:rsidP="00FC0A9F">
      <w:pPr>
        <w:ind w:left="0"/>
        <w:outlineLvl w:val="0"/>
        <w:rPr>
          <w:rFonts w:ascii="Times New Roman" w:hAnsi="Times New Roman" w:cs="Arial"/>
          <w:sz w:val="20"/>
        </w:rPr>
      </w:pPr>
    </w:p>
    <w:p w:rsidR="00E01749" w:rsidRPr="00813453" w:rsidRDefault="00984702" w:rsidP="00E533FF">
      <w:pPr>
        <w:pStyle w:val="BodyText"/>
        <w:spacing w:before="0" w:line="360" w:lineRule="auto"/>
        <w:ind w:left="0" w:firstLine="720"/>
        <w:rPr>
          <w:rFonts w:ascii="Times New Roman" w:hAnsi="Times New Roman" w:cs="Arial"/>
          <w:sz w:val="24"/>
        </w:rPr>
      </w:pPr>
      <w:r w:rsidRPr="00813453">
        <w:rPr>
          <w:rFonts w:ascii="Times New Roman" w:hAnsi="Times New Roman" w:cs="Arial"/>
          <w:sz w:val="24"/>
        </w:rPr>
        <w:t>O comportamento dos réus (tapar os ouvidos e rir insensatamente significa desobediência), e do grupo de testemunhas, rindo e murmurando em atitude brejeira e de cochicho face à corrupção, por oposição ao outro grupo, de pé e em atitude de súplica, ajuda a esclarecer as atitudes dos dois juízes, obrigando a refletir sobre a relação entre interesse e honestidade.</w:t>
      </w:r>
    </w:p>
    <w:p w:rsidR="00E01749" w:rsidRPr="006B72A2" w:rsidRDefault="00E01749" w:rsidP="00813453">
      <w:pPr>
        <w:spacing w:before="0" w:line="360" w:lineRule="auto"/>
        <w:ind w:left="0"/>
        <w:rPr>
          <w:rFonts w:ascii="Times New Roman" w:hAnsi="Times New Roman" w:cs="Arial"/>
          <w:b/>
          <w:sz w:val="24"/>
        </w:rPr>
      </w:pPr>
      <w:r w:rsidRPr="006B72A2">
        <w:rPr>
          <w:rFonts w:ascii="Times New Roman" w:hAnsi="Times New Roman" w:cs="Arial"/>
          <w:b/>
          <w:sz w:val="24"/>
        </w:rPr>
        <w:t>3.</w:t>
      </w:r>
      <w:r w:rsidR="008F7E18" w:rsidRPr="006B72A2">
        <w:rPr>
          <w:rFonts w:ascii="Times New Roman" w:hAnsi="Times New Roman" w:cs="Arial"/>
          <w:b/>
          <w:sz w:val="24"/>
        </w:rPr>
        <w:t>3.</w:t>
      </w:r>
      <w:r w:rsidRPr="006B72A2">
        <w:rPr>
          <w:rFonts w:ascii="Times New Roman" w:hAnsi="Times New Roman" w:cs="Arial"/>
          <w:b/>
          <w:sz w:val="24"/>
        </w:rPr>
        <w:t xml:space="preserve"> A Injustiça de Giotto</w:t>
      </w:r>
    </w:p>
    <w:p w:rsidR="00E01749" w:rsidRPr="00813453" w:rsidRDefault="00E533FF" w:rsidP="00813453">
      <w:pPr>
        <w:pStyle w:val="BodyText"/>
        <w:tabs>
          <w:tab w:val="left" w:pos="-284"/>
        </w:tabs>
        <w:spacing w:before="0" w:line="360" w:lineRule="auto"/>
        <w:ind w:left="0"/>
        <w:rPr>
          <w:rFonts w:ascii="Times New Roman" w:hAnsi="Times New Roman"/>
          <w:sz w:val="24"/>
        </w:rPr>
      </w:pPr>
      <w:r>
        <w:rPr>
          <w:rFonts w:ascii="Times New Roman" w:hAnsi="Times New Roman"/>
          <w:sz w:val="24"/>
        </w:rPr>
        <w:tab/>
      </w:r>
      <w:r w:rsidR="00E01749" w:rsidRPr="00813453">
        <w:rPr>
          <w:rFonts w:ascii="Times New Roman" w:hAnsi="Times New Roman"/>
          <w:sz w:val="24"/>
        </w:rPr>
        <w:t>O rosto da esquerda do mau juiz, de perfil e sem olhar de frente, lembra a personificação da Injustiça de Giott</w:t>
      </w:r>
      <w:r w:rsidR="00273A94">
        <w:rPr>
          <w:rFonts w:ascii="Times New Roman" w:hAnsi="Times New Roman"/>
          <w:sz w:val="24"/>
        </w:rPr>
        <w:t>o</w:t>
      </w:r>
      <w:r w:rsidR="00273A94">
        <w:rPr>
          <w:rStyle w:val="FootnoteReference"/>
          <w:rFonts w:ascii="Times New Roman" w:hAnsi="Times New Roman"/>
          <w:sz w:val="24"/>
        </w:rPr>
        <w:footnoteReference w:id="18"/>
      </w:r>
      <w:r w:rsidR="00273A94">
        <w:rPr>
          <w:rFonts w:ascii="Times New Roman" w:hAnsi="Times New Roman"/>
          <w:sz w:val="24"/>
        </w:rPr>
        <w:t xml:space="preserve">, pintada na capela Scrovegni </w:t>
      </w:r>
      <w:r w:rsidR="00E01749" w:rsidRPr="00813453">
        <w:rPr>
          <w:rFonts w:ascii="Times New Roman" w:hAnsi="Times New Roman"/>
          <w:sz w:val="24"/>
        </w:rPr>
        <w:t>(A</w:t>
      </w:r>
      <w:r w:rsidR="00273A94">
        <w:rPr>
          <w:rFonts w:ascii="Times New Roman" w:hAnsi="Times New Roman"/>
          <w:sz w:val="24"/>
        </w:rPr>
        <w:t>FONSO, 2009ª, p.</w:t>
      </w:r>
      <w:r w:rsidR="00E01749" w:rsidRPr="00813453">
        <w:rPr>
          <w:rFonts w:ascii="Times New Roman" w:hAnsi="Times New Roman"/>
          <w:sz w:val="24"/>
        </w:rPr>
        <w:t>127-1</w:t>
      </w:r>
      <w:r w:rsidR="00273A94">
        <w:rPr>
          <w:rFonts w:ascii="Times New Roman" w:hAnsi="Times New Roman"/>
          <w:sz w:val="24"/>
        </w:rPr>
        <w:t xml:space="preserve">50). </w:t>
      </w:r>
      <w:r w:rsidR="00E01749" w:rsidRPr="00813453">
        <w:rPr>
          <w:rFonts w:ascii="Times New Roman" w:hAnsi="Times New Roman"/>
          <w:sz w:val="24"/>
        </w:rPr>
        <w:t>Mas no Fresco de Monsaraz são-lhe retirados os atributos de poder e de justiça: a barba, os olhos fechados, a espada, o castelo e o seu domínio envolvente, etc. Também não estão presentes os efeitos nefastos da injustiça na governação politica e cívica da urbe, narrados na predela</w:t>
      </w:r>
      <w:r w:rsidR="00C926EA" w:rsidRPr="00813453">
        <w:rPr>
          <w:rFonts w:ascii="Times New Roman" w:hAnsi="Times New Roman"/>
          <w:sz w:val="24"/>
        </w:rPr>
        <w:t xml:space="preserve"> do fresco</w:t>
      </w:r>
      <w:r w:rsidR="00E01749" w:rsidRPr="00813453">
        <w:rPr>
          <w:rFonts w:ascii="Times New Roman" w:hAnsi="Times New Roman"/>
          <w:sz w:val="24"/>
        </w:rPr>
        <w:t>.</w:t>
      </w:r>
    </w:p>
    <w:p w:rsidR="00E01749" w:rsidRPr="00813453" w:rsidRDefault="00E533FF" w:rsidP="00813453">
      <w:pPr>
        <w:pStyle w:val="BodyText"/>
        <w:tabs>
          <w:tab w:val="left" w:pos="-284"/>
        </w:tabs>
        <w:spacing w:before="0" w:line="360" w:lineRule="auto"/>
        <w:ind w:left="0"/>
        <w:rPr>
          <w:rFonts w:ascii="Times New Roman" w:hAnsi="Times New Roman"/>
          <w:sz w:val="24"/>
        </w:rPr>
      </w:pPr>
      <w:r>
        <w:rPr>
          <w:rFonts w:ascii="Times New Roman" w:hAnsi="Times New Roman"/>
          <w:sz w:val="24"/>
        </w:rPr>
        <w:tab/>
      </w:r>
      <w:r w:rsidR="00E01749" w:rsidRPr="00813453">
        <w:rPr>
          <w:rFonts w:ascii="Times New Roman" w:hAnsi="Times New Roman"/>
          <w:sz w:val="24"/>
        </w:rPr>
        <w:t>Giotto representa a Justiça e a Injustiça enquanto conceitos visuais, como símbolos e de forma meramente descritiva. No caso do fresco de Monsaraz, a personagem do mau juiz conta uma história, tem expressividade narrativa, visual e cenográfica. Parece dramatizar uma ação no tribunal, criando impacto imagético e afetivo, que prende o espectado</w:t>
      </w:r>
      <w:r w:rsidR="00C926EA" w:rsidRPr="00813453">
        <w:rPr>
          <w:rFonts w:ascii="Times New Roman" w:hAnsi="Times New Roman"/>
          <w:sz w:val="24"/>
        </w:rPr>
        <w:t>r, desenvolvendo tensão também em</w:t>
      </w:r>
      <w:r w:rsidR="00E01749" w:rsidRPr="00813453">
        <w:rPr>
          <w:rFonts w:ascii="Times New Roman" w:hAnsi="Times New Roman"/>
          <w:sz w:val="24"/>
        </w:rPr>
        <w:t xml:space="preserve"> quem participa na audiência ou observa, enquanto testemunha.</w:t>
      </w:r>
    </w:p>
    <w:p w:rsidR="00FC0A9F" w:rsidRDefault="00E01749" w:rsidP="00E533FF">
      <w:pPr>
        <w:spacing w:before="0" w:line="360" w:lineRule="auto"/>
        <w:ind w:left="0" w:firstLine="720"/>
        <w:rPr>
          <w:rFonts w:ascii="Times New Roman" w:hAnsi="Times New Roman" w:cs="Arial"/>
          <w:sz w:val="24"/>
        </w:rPr>
      </w:pPr>
      <w:r w:rsidRPr="00813453">
        <w:rPr>
          <w:rFonts w:ascii="Times New Roman" w:hAnsi="Times New Roman"/>
          <w:sz w:val="24"/>
        </w:rPr>
        <w:t>O</w:t>
      </w:r>
      <w:r w:rsidRPr="00813453">
        <w:rPr>
          <w:rFonts w:ascii="Times New Roman" w:hAnsi="Times New Roman" w:cs="Arial"/>
          <w:sz w:val="24"/>
        </w:rPr>
        <w:t>lhando o fresco de Monsaraz, a figura do mau juiz diferencia-se da Injustiça de Giotto. Destaca-se, e parece mais próxima de nós, mais volumosa do que a do bom juiz, e numa atitude de maior relação e abertura com o exterior, pelo gesto de ambas as mãos voltadas para fora, quase invadindo o espaço do outro juiz, mais retraído.</w:t>
      </w:r>
    </w:p>
    <w:p w:rsidR="00273A94" w:rsidRDefault="00273A94" w:rsidP="00273A94">
      <w:pPr>
        <w:spacing w:before="0" w:line="360" w:lineRule="auto"/>
        <w:ind w:left="0"/>
        <w:rPr>
          <w:rFonts w:ascii="Times New Roman" w:hAnsi="Times New Roman" w:cs="Arial"/>
          <w:sz w:val="24"/>
        </w:rPr>
      </w:pPr>
      <w:r w:rsidRPr="00FC0A9F">
        <w:rPr>
          <w:rFonts w:ascii="Times New Roman" w:hAnsi="Times New Roman" w:cs="Arial"/>
          <w:noProof/>
          <w:sz w:val="24"/>
          <w:lang w:val="en-US"/>
        </w:rPr>
        <w:drawing>
          <wp:inline distT="0" distB="0" distL="0" distR="0">
            <wp:extent cx="2946400" cy="3997768"/>
            <wp:effectExtent l="2540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contrast="10000"/>
                    </a:blip>
                    <a:srcRect/>
                    <a:stretch>
                      <a:fillRect/>
                    </a:stretch>
                  </pic:blipFill>
                  <pic:spPr bwMode="auto">
                    <a:xfrm>
                      <a:off x="0" y="0"/>
                      <a:ext cx="2949087" cy="4001414"/>
                    </a:xfrm>
                    <a:prstGeom prst="rect">
                      <a:avLst/>
                    </a:prstGeom>
                    <a:noFill/>
                    <a:ln w="9525">
                      <a:noFill/>
                      <a:miter lim="800000"/>
                      <a:headEnd/>
                      <a:tailEnd/>
                    </a:ln>
                  </pic:spPr>
                </pic:pic>
              </a:graphicData>
            </a:graphic>
          </wp:inline>
        </w:drawing>
      </w:r>
    </w:p>
    <w:p w:rsidR="008E67D1" w:rsidRPr="008E67D1" w:rsidRDefault="00A512BA" w:rsidP="00B20457">
      <w:pPr>
        <w:spacing w:before="0"/>
        <w:ind w:left="0"/>
        <w:outlineLvl w:val="0"/>
        <w:rPr>
          <w:rFonts w:ascii="Times New Roman" w:hAnsi="Times New Roman"/>
          <w:sz w:val="20"/>
        </w:rPr>
      </w:pPr>
      <w:r>
        <w:rPr>
          <w:rFonts w:ascii="Times New Roman" w:hAnsi="Times New Roman"/>
          <w:sz w:val="20"/>
        </w:rPr>
        <w:t>Fig</w:t>
      </w:r>
      <w:r w:rsidR="008E67D1" w:rsidRPr="008E67D1">
        <w:rPr>
          <w:rFonts w:ascii="Times New Roman" w:hAnsi="Times New Roman"/>
          <w:sz w:val="20"/>
        </w:rPr>
        <w:t>.5:</w:t>
      </w:r>
      <w:r w:rsidR="008E67D1" w:rsidRPr="008E67D1">
        <w:rPr>
          <w:rFonts w:ascii="Times New Roman" w:hAnsi="Times New Roman" w:cs="Arial"/>
          <w:sz w:val="20"/>
        </w:rPr>
        <w:t xml:space="preserve"> </w:t>
      </w:r>
      <w:r w:rsidR="008E67D1" w:rsidRPr="008E67D1">
        <w:rPr>
          <w:rFonts w:ascii="Times New Roman" w:hAnsi="Times New Roman"/>
          <w:sz w:val="20"/>
        </w:rPr>
        <w:t xml:space="preserve">Fresco de Monsaraz. </w:t>
      </w:r>
      <w:r w:rsidR="008E67D1" w:rsidRPr="008E67D1">
        <w:rPr>
          <w:rFonts w:ascii="Times New Roman" w:hAnsi="Times New Roman" w:cs="Arial"/>
          <w:sz w:val="20"/>
        </w:rPr>
        <w:t xml:space="preserve">O </w:t>
      </w:r>
      <w:r w:rsidR="008E67D1" w:rsidRPr="008E67D1">
        <w:rPr>
          <w:rFonts w:ascii="Times New Roman" w:hAnsi="Times New Roman"/>
          <w:sz w:val="20"/>
        </w:rPr>
        <w:t xml:space="preserve">Mau juiz (detalhe). Fotos M.Gil © Hercules 2012. </w:t>
      </w:r>
    </w:p>
    <w:p w:rsidR="00E533FF" w:rsidRDefault="00E533FF" w:rsidP="00E533FF">
      <w:pPr>
        <w:spacing w:before="0" w:line="360" w:lineRule="auto"/>
        <w:ind w:left="0" w:firstLine="720"/>
        <w:rPr>
          <w:rFonts w:ascii="Times New Roman" w:hAnsi="Times New Roman" w:cs="Arial"/>
          <w:sz w:val="24"/>
        </w:rPr>
      </w:pPr>
    </w:p>
    <w:p w:rsidR="00E01749" w:rsidRPr="00813453" w:rsidRDefault="00E01749" w:rsidP="00E533FF">
      <w:pPr>
        <w:spacing w:before="0" w:line="360" w:lineRule="auto"/>
        <w:ind w:left="0" w:firstLine="720"/>
        <w:rPr>
          <w:rFonts w:ascii="Times New Roman" w:hAnsi="Times New Roman" w:cs="Arial"/>
          <w:sz w:val="24"/>
        </w:rPr>
      </w:pPr>
      <w:r w:rsidRPr="00813453">
        <w:rPr>
          <w:rFonts w:ascii="Times New Roman" w:hAnsi="Times New Roman" w:cs="Arial"/>
          <w:sz w:val="24"/>
        </w:rPr>
        <w:t>El</w:t>
      </w:r>
      <w:r w:rsidR="008E67D1">
        <w:rPr>
          <w:rFonts w:ascii="Times New Roman" w:hAnsi="Times New Roman" w:cs="Arial"/>
          <w:sz w:val="24"/>
        </w:rPr>
        <w:t>a impõe-se por várias razões: Pr</w:t>
      </w:r>
      <w:r w:rsidRPr="00813453">
        <w:rPr>
          <w:rFonts w:ascii="Times New Roman" w:hAnsi="Times New Roman" w:cs="Arial"/>
          <w:sz w:val="24"/>
        </w:rPr>
        <w:t>imeiro, está do nosso lado direito, onde o olhar do observador se fixa; segundo, a cadeira trono é mais larga, e os braços laterais são desenhados com um ângulo de maior abertura para o exterior; terceiro, o desenho e a cor do estrado, mais quente e alaranjada, criam a ilusão de proximidade e de maior volume. Quarto, a cor quente e o excessivo pregueado da toga, com demasiado tecido, evidenciam desnecessária opulência e riqueza. A cor alaranjada (que simbolicamente corresponde à fraude, segundo Ripa; e a  uma personalidade de ostentação e de falsidade, geralmente utilizada na caraterização de grupos populares com pretensões superiores) funciona ainda em contraponto com o realce da cor preta do outro juiz, símbolo de elevado estatuto, sofisticação, nobreza, seriedade e riqueza. Aliás, a abertura das mangas deixa perceber a pele das capas, em sinal da dignidade de funções, como se disse. Quinto, a mancha de cor alaranjada do juiz é alargada ao painel em ogiva, por detrás do subornador das perdizes, que, ao funcionar como eixo de simetria, leva subliminarmente o observador a delimitar o espaço do mau juiz mais à esquerda. E também porque o subornador, a sétima figura com função de eixo vertical, se integra no grupo da direita.</w:t>
      </w:r>
    </w:p>
    <w:p w:rsidR="00E01749" w:rsidRPr="009960B6" w:rsidRDefault="00E01749" w:rsidP="00E533FF">
      <w:pPr>
        <w:spacing w:line="360" w:lineRule="auto"/>
        <w:ind w:left="0" w:firstLine="720"/>
        <w:rPr>
          <w:rFonts w:ascii="Times New Roman" w:hAnsi="Times New Roman"/>
          <w:sz w:val="24"/>
        </w:rPr>
      </w:pPr>
      <w:r w:rsidRPr="00813453">
        <w:rPr>
          <w:rFonts w:ascii="Times New Roman" w:hAnsi="Times New Roman"/>
          <w:sz w:val="24"/>
        </w:rPr>
        <w:t xml:space="preserve">O autor do mural de Monsaraz retira ao Mau juiz atributos universais da injustiça, enriquecendo a personificação com novos atributos. A presença do diabo, </w:t>
      </w:r>
      <w:r w:rsidRPr="00813453">
        <w:rPr>
          <w:rFonts w:ascii="Times New Roman" w:hAnsi="Times New Roman" w:cs="Arial"/>
          <w:sz w:val="24"/>
        </w:rPr>
        <w:t xml:space="preserve">reforçada pelo duplo rosto do Mau juiz, parece sugerir que esta personagem funciona como porta de entrada e chave da leitura do fresco. </w:t>
      </w:r>
      <w:r w:rsidRPr="00813453">
        <w:rPr>
          <w:rFonts w:ascii="Times New Roman" w:hAnsi="Times New Roman"/>
          <w:sz w:val="24"/>
        </w:rPr>
        <w:t xml:space="preserve"> Estes dois elementos</w:t>
      </w:r>
      <w:r w:rsidR="00C926EA" w:rsidRPr="00813453">
        <w:rPr>
          <w:rFonts w:ascii="Times New Roman" w:hAnsi="Times New Roman"/>
          <w:sz w:val="24"/>
        </w:rPr>
        <w:t xml:space="preserve"> (o diabo e o duplo rosto)</w:t>
      </w:r>
      <w:r w:rsidRPr="00813453">
        <w:rPr>
          <w:rFonts w:ascii="Times New Roman" w:hAnsi="Times New Roman"/>
          <w:sz w:val="24"/>
        </w:rPr>
        <w:t xml:space="preserve"> tornam-se assim essenciais na criação do sentido específico da personagem.</w:t>
      </w:r>
    </w:p>
    <w:p w:rsidR="00E01749" w:rsidRPr="00E43CDC" w:rsidRDefault="008F7E18" w:rsidP="00813453">
      <w:pPr>
        <w:spacing w:before="0" w:line="360" w:lineRule="auto"/>
        <w:ind w:left="0"/>
        <w:rPr>
          <w:rFonts w:ascii="Times New Roman" w:hAnsi="Times New Roman" w:cs="Arial"/>
          <w:b/>
          <w:sz w:val="24"/>
        </w:rPr>
      </w:pPr>
      <w:r>
        <w:rPr>
          <w:rFonts w:ascii="Times New Roman" w:hAnsi="Times New Roman" w:cs="Arial"/>
          <w:b/>
          <w:sz w:val="24"/>
        </w:rPr>
        <w:t>3</w:t>
      </w:r>
      <w:r w:rsidR="00E01749" w:rsidRPr="00E43CDC">
        <w:rPr>
          <w:rFonts w:ascii="Times New Roman" w:hAnsi="Times New Roman" w:cs="Arial"/>
          <w:b/>
          <w:sz w:val="24"/>
        </w:rPr>
        <w:t xml:space="preserve">.4. A Morte vem substituir a Justiça. </w:t>
      </w:r>
    </w:p>
    <w:p w:rsidR="00E01749" w:rsidRPr="00813453" w:rsidRDefault="00E01749" w:rsidP="00E533FF">
      <w:pPr>
        <w:spacing w:before="0" w:line="360" w:lineRule="auto"/>
        <w:ind w:left="0" w:firstLine="720"/>
        <w:rPr>
          <w:rFonts w:ascii="Times New Roman" w:hAnsi="Times New Roman" w:cs="Arial"/>
          <w:sz w:val="24"/>
        </w:rPr>
      </w:pPr>
      <w:r w:rsidRPr="00813453">
        <w:rPr>
          <w:rFonts w:ascii="Times New Roman" w:hAnsi="Times New Roman" w:cs="Arial"/>
          <w:sz w:val="24"/>
        </w:rPr>
        <w:t>O diabo nas costas de um advogado, de um juiz, ou de um humano, recorda personagens da literatura tardo-medieval e cenas satírico-morais. Lembra sobretudo as populares Danças Macabras, onde a Morte vem substituir a Justiça.</w:t>
      </w:r>
    </w:p>
    <w:p w:rsidR="00E01749" w:rsidRPr="00813453" w:rsidRDefault="00E01749" w:rsidP="00E533FF">
      <w:pPr>
        <w:spacing w:line="360" w:lineRule="auto"/>
        <w:ind w:left="0" w:firstLine="720"/>
        <w:outlineLvl w:val="0"/>
        <w:rPr>
          <w:rFonts w:ascii="Times New Roman" w:hAnsi="Times New Roman"/>
          <w:sz w:val="24"/>
          <w:shd w:val="clear" w:color="auto" w:fill="FAF9F5"/>
        </w:rPr>
      </w:pPr>
      <w:r w:rsidRPr="00813453">
        <w:rPr>
          <w:rFonts w:ascii="Times New Roman" w:hAnsi="Times New Roman" w:cs="Arial"/>
          <w:sz w:val="24"/>
        </w:rPr>
        <w:t>Pela semelhança entre os atributos do Mau juiz e a gravura do Juiz de Holbein, integrada nas Danças da Morte e pela expansão, uso e exemplaridade destas peças por toda a Europa renascentista a partir da obra de Guy Marchant, far-se-á a interpretação do Mau juiz partindo desta comparação.</w:t>
      </w:r>
    </w:p>
    <w:p w:rsidR="00E533FF" w:rsidRDefault="00E01749" w:rsidP="00E533FF">
      <w:pPr>
        <w:spacing w:before="0" w:line="360" w:lineRule="auto"/>
        <w:ind w:left="0" w:firstLine="720"/>
        <w:rPr>
          <w:rFonts w:ascii="Times New Roman" w:hAnsi="Times New Roman" w:cs="Arial"/>
          <w:sz w:val="24"/>
        </w:rPr>
      </w:pPr>
      <w:r w:rsidRPr="00813453">
        <w:rPr>
          <w:rFonts w:ascii="Times New Roman" w:hAnsi="Times New Roman" w:cs="Arial"/>
          <w:sz w:val="24"/>
        </w:rPr>
        <w:t>Entre 1522 e</w:t>
      </w:r>
      <w:r w:rsidR="00C926EA" w:rsidRPr="00813453">
        <w:rPr>
          <w:rFonts w:ascii="Times New Roman" w:hAnsi="Times New Roman" w:cs="Arial"/>
          <w:sz w:val="24"/>
        </w:rPr>
        <w:t xml:space="preserve"> </w:t>
      </w:r>
      <w:r w:rsidRPr="00813453">
        <w:rPr>
          <w:rFonts w:ascii="Times New Roman" w:hAnsi="Times New Roman" w:cs="Arial"/>
          <w:sz w:val="24"/>
        </w:rPr>
        <w:t xml:space="preserve">1526, Hans Holbein, o Novo, cria uma nova Dança da Morte, modernizada e adaptada à realidade sociocultural de quinhentos, e que irá redefinir o género. A sua Dança, inicialmente divulgada em xilogravuras soltas com legendas em alemão, é publicada como livro com textos de </w:t>
      </w:r>
      <w:r w:rsidRPr="00813453">
        <w:rPr>
          <w:rFonts w:ascii="Times New Roman" w:hAnsi="Times New Roman" w:cs="Arial"/>
          <w:noProof/>
          <w:sz w:val="24"/>
          <w:lang w:eastAsia="pt-PT"/>
        </w:rPr>
        <w:t>Gilles Corrozet e J Vauzelles</w:t>
      </w:r>
      <w:r w:rsidRPr="00813453">
        <w:rPr>
          <w:rFonts w:ascii="Times New Roman" w:hAnsi="Times New Roman"/>
          <w:sz w:val="24"/>
        </w:rPr>
        <w:t>,</w:t>
      </w:r>
      <w:r w:rsidRPr="00813453">
        <w:rPr>
          <w:rFonts w:ascii="Times New Roman" w:hAnsi="Times New Roman" w:cs="Arial"/>
          <w:sz w:val="24"/>
        </w:rPr>
        <w:t xml:space="preserve"> em língua francesa, em 1538</w:t>
      </w:r>
      <w:r w:rsidR="00473A12" w:rsidRPr="00813453">
        <w:rPr>
          <w:rStyle w:val="FootnoteReference"/>
          <w:rFonts w:ascii="Times New Roman" w:hAnsi="Times New Roman" w:cs="Arial"/>
          <w:sz w:val="24"/>
        </w:rPr>
        <w:footnoteReference w:id="19"/>
      </w:r>
      <w:r w:rsidRPr="00813453">
        <w:rPr>
          <w:rFonts w:ascii="Times New Roman" w:hAnsi="Times New Roman" w:cs="Arial"/>
          <w:sz w:val="24"/>
        </w:rPr>
        <w:t xml:space="preserve">. </w:t>
      </w:r>
      <w:r w:rsidR="00C926EA" w:rsidRPr="00813453">
        <w:rPr>
          <w:rFonts w:ascii="Times New Roman" w:hAnsi="Times New Roman" w:cs="Arial"/>
          <w:sz w:val="24"/>
        </w:rPr>
        <w:t>A</w:t>
      </w:r>
      <w:r w:rsidRPr="00813453">
        <w:rPr>
          <w:rFonts w:ascii="Times New Roman" w:hAnsi="Times New Roman" w:cs="Arial"/>
          <w:sz w:val="24"/>
        </w:rPr>
        <w:t xml:space="preserve"> obra é impressa com ampliações em 1542, 1545 e 1547, tornando-se o novo modelo de circulação das Danças (com inúmeras edições em língua latina e francesa, adaptações, reproduções, e usos individuais), e a nova fonte de inspiração ao longo da época moderna.</w:t>
      </w:r>
      <w:r w:rsidR="00E533FF">
        <w:rPr>
          <w:rFonts w:ascii="Times New Roman" w:hAnsi="Times New Roman" w:cs="Arial"/>
          <w:sz w:val="24"/>
        </w:rPr>
        <w:t xml:space="preserve"> </w:t>
      </w:r>
      <w:r w:rsidRPr="00813453">
        <w:rPr>
          <w:rFonts w:ascii="Times New Roman" w:hAnsi="Times New Roman" w:cs="Arial"/>
          <w:sz w:val="24"/>
        </w:rPr>
        <w:t>A erudição humanista de Holbein, associada à subtileza visual e estética, e ao seu gosto pelo grafismo tipográfico, concretizou-s</w:t>
      </w:r>
      <w:r w:rsidR="00273A94">
        <w:rPr>
          <w:rFonts w:ascii="Times New Roman" w:hAnsi="Times New Roman" w:cs="Arial"/>
          <w:sz w:val="24"/>
        </w:rPr>
        <w:t>e na</w:t>
      </w:r>
      <w:r w:rsidR="00D83492" w:rsidRPr="00813453">
        <w:rPr>
          <w:rFonts w:ascii="Times New Roman" w:hAnsi="Times New Roman" w:cs="Arial"/>
          <w:color w:val="FF6600"/>
          <w:sz w:val="24"/>
        </w:rPr>
        <w:t xml:space="preserve"> </w:t>
      </w:r>
      <w:r w:rsidRPr="00813453">
        <w:rPr>
          <w:rFonts w:ascii="Times New Roman" w:hAnsi="Times New Roman" w:cs="Arial"/>
          <w:sz w:val="24"/>
        </w:rPr>
        <w:t>novidade dos seguintes aspetos:</w:t>
      </w:r>
    </w:p>
    <w:p w:rsidR="00E533FF" w:rsidRDefault="00E01749" w:rsidP="00E533FF">
      <w:pPr>
        <w:spacing w:before="0" w:line="360" w:lineRule="auto"/>
        <w:ind w:left="0" w:firstLine="720"/>
        <w:rPr>
          <w:rFonts w:ascii="Times New Roman" w:hAnsi="Times New Roman" w:cs="Arial"/>
          <w:sz w:val="24"/>
        </w:rPr>
      </w:pPr>
      <w:r w:rsidRPr="00813453">
        <w:rPr>
          <w:rFonts w:ascii="Times New Roman" w:hAnsi="Times New Roman" w:cs="Arial"/>
          <w:sz w:val="24"/>
        </w:rPr>
        <w:t>No início da obra, a personagem Morte explica que vem julgar em substituição da Justiça, corrompida pelos abusos de poder.</w:t>
      </w:r>
    </w:p>
    <w:p w:rsidR="00E01749" w:rsidRPr="00813453" w:rsidRDefault="00E533FF" w:rsidP="00E533FF">
      <w:pPr>
        <w:spacing w:before="0" w:line="360" w:lineRule="auto"/>
        <w:ind w:left="0" w:firstLine="720"/>
        <w:rPr>
          <w:rFonts w:ascii="Times New Roman" w:hAnsi="Times New Roman" w:cs="Arial"/>
          <w:sz w:val="24"/>
        </w:rPr>
      </w:pPr>
      <w:r>
        <w:rPr>
          <w:rFonts w:ascii="Times New Roman" w:hAnsi="Times New Roman" w:cs="Arial"/>
          <w:sz w:val="24"/>
        </w:rPr>
        <w:t xml:space="preserve"> </w:t>
      </w:r>
      <w:r w:rsidR="00E01749" w:rsidRPr="00813453">
        <w:rPr>
          <w:rFonts w:ascii="Times New Roman" w:hAnsi="Times New Roman" w:cs="Arial"/>
          <w:sz w:val="24"/>
        </w:rPr>
        <w:t>O Macabro Esqueleto não pretende chefiar a Morte final. Não surge assim como o Último juiz, nem pretende retirar os indivíduos da vida. Surge-lhes repentinamente em variados momentos do seu quotidiano, interpelando-os, satirizando-os violentamente, e castigando-os. A verosimilhança das situações e a ironia do desenho tornam esta Dança muito mais agressiva e moralmente cáustica do que as versões anteriores, baseadas em Guy Marchant.</w:t>
      </w:r>
    </w:p>
    <w:p w:rsidR="00E01749" w:rsidRPr="00813453" w:rsidRDefault="00E01749" w:rsidP="00E533FF">
      <w:pPr>
        <w:spacing w:before="0" w:line="360" w:lineRule="auto"/>
        <w:ind w:left="0" w:firstLine="720"/>
        <w:rPr>
          <w:rFonts w:ascii="Times New Roman" w:hAnsi="Times New Roman" w:cs="Arial"/>
          <w:sz w:val="24"/>
        </w:rPr>
      </w:pPr>
      <w:r w:rsidRPr="00813453">
        <w:rPr>
          <w:rFonts w:ascii="Times New Roman" w:hAnsi="Times New Roman" w:cs="Arial"/>
          <w:sz w:val="24"/>
        </w:rPr>
        <w:t>Holbein alarga o número das personagens e situações-tipo satirizadas, que ultrapassam as cinquenta, enquadrando essas histórias no relato bíblico da Criação e do Juízo do Mundo, e integrando-as numa visão da história (e do tempo) escatológica, que reforça a inevitabilidade moral do sentido dos seus atos. Assim, nas gravuras iniciais do livro, apresenta os sete dias da semana e a expulsão do Paraíso; o primeiro esqueleto aparece com os trabalhos de Adão, e a Dança termina com a gravura do Julgamento final. Este pesado sentido escatológico e moral é reforçado pelo recurso a citações bíblicas, que funcionam como lema. Na boa tradição dos humanistas, Holbein recorre aos mais antigos livros do Antigo Testamento para dar força e perenidade à sua obra. Transportando este apoio milenar, a imagem aprofunda a vivência e coloca a mensagem num presente contínuo</w:t>
      </w:r>
      <w:r w:rsidRPr="00813453">
        <w:rPr>
          <w:rFonts w:ascii="Times New Roman" w:hAnsi="Times New Roman" w:cs="Arial"/>
          <w:sz w:val="24"/>
          <w:szCs w:val="16"/>
        </w:rPr>
        <w:t>.</w:t>
      </w:r>
    </w:p>
    <w:p w:rsidR="00E01749" w:rsidRPr="00813453" w:rsidRDefault="00E01749" w:rsidP="00E533FF">
      <w:pPr>
        <w:spacing w:before="0" w:line="360" w:lineRule="auto"/>
        <w:ind w:left="0" w:firstLine="720"/>
        <w:rPr>
          <w:rFonts w:ascii="Times New Roman" w:hAnsi="Times New Roman" w:cs="Arial"/>
          <w:sz w:val="24"/>
        </w:rPr>
      </w:pPr>
      <w:r w:rsidRPr="00813453">
        <w:rPr>
          <w:rFonts w:ascii="Times New Roman" w:hAnsi="Times New Roman" w:cs="Arial"/>
          <w:sz w:val="24"/>
        </w:rPr>
        <w:t>A estrutura formal da Dança aproxima-a assim da Literatura Emblemática, o que, além de mais, permite uma melhor utilização individual de cada gravura.</w:t>
      </w:r>
    </w:p>
    <w:p w:rsidR="00CB0918" w:rsidRDefault="00E01749" w:rsidP="00CB0918">
      <w:pPr>
        <w:spacing w:before="0" w:line="360" w:lineRule="auto"/>
        <w:ind w:left="0" w:firstLine="720"/>
        <w:rPr>
          <w:rFonts w:ascii="Times New Roman" w:hAnsi="Times New Roman" w:cs="Arial"/>
          <w:sz w:val="24"/>
        </w:rPr>
      </w:pPr>
      <w:r w:rsidRPr="00813453">
        <w:rPr>
          <w:rFonts w:ascii="Times New Roman" w:hAnsi="Times New Roman" w:cs="Arial"/>
          <w:sz w:val="24"/>
        </w:rPr>
        <w:t>É no peso deste contexto de moralidade, de julgamento enquanto prática de justiça, e de auto vigilância - no sentido, de uma maior consciência sobre os atos e condenação interior - que devem ser interpretadas, também individualmente, as gravuras sobre as diferentes personagens, e portanto, também o corrupto juiz.</w:t>
      </w:r>
    </w:p>
    <w:p w:rsidR="00E01749" w:rsidRPr="00813453" w:rsidRDefault="00E01749" w:rsidP="00CB0918">
      <w:pPr>
        <w:spacing w:before="0" w:line="360" w:lineRule="auto"/>
        <w:ind w:left="0" w:firstLine="720"/>
        <w:rPr>
          <w:rFonts w:ascii="Times New Roman" w:hAnsi="Times New Roman" w:cs="Arial"/>
          <w:sz w:val="24"/>
        </w:rPr>
      </w:pPr>
    </w:p>
    <w:p w:rsidR="00E01749" w:rsidRPr="006B72A2" w:rsidRDefault="00273A94" w:rsidP="00273A94">
      <w:pPr>
        <w:spacing w:line="360" w:lineRule="auto"/>
        <w:ind w:left="0"/>
        <w:rPr>
          <w:rFonts w:ascii="Times New Roman" w:hAnsi="Times New Roman" w:cs="Arial"/>
          <w:i/>
          <w:sz w:val="24"/>
        </w:rPr>
      </w:pPr>
      <w:r w:rsidRPr="006B72A2">
        <w:rPr>
          <w:rFonts w:ascii="Times New Roman" w:hAnsi="Times New Roman"/>
          <w:i/>
          <w:color w:val="000000"/>
          <w:sz w:val="24"/>
          <w:szCs w:val="27"/>
        </w:rPr>
        <w:t xml:space="preserve">- </w:t>
      </w:r>
      <w:r w:rsidR="00E01749" w:rsidRPr="006B72A2">
        <w:rPr>
          <w:rFonts w:ascii="Times New Roman" w:hAnsi="Times New Roman"/>
          <w:i/>
          <w:color w:val="000000"/>
          <w:sz w:val="24"/>
          <w:szCs w:val="27"/>
        </w:rPr>
        <w:t>As Danças Macabras:</w:t>
      </w:r>
      <w:r w:rsidR="00E01749" w:rsidRPr="006B72A2">
        <w:rPr>
          <w:rFonts w:ascii="Times New Roman" w:hAnsi="Times New Roman" w:cs="Arial"/>
          <w:i/>
          <w:sz w:val="24"/>
        </w:rPr>
        <w:t xml:space="preserve"> o Mau juiz de Monsaraz e o Juiz Corrupto, de Holbein </w:t>
      </w:r>
    </w:p>
    <w:p w:rsidR="00E01749" w:rsidRPr="00813453" w:rsidRDefault="00E01749" w:rsidP="004012BE">
      <w:pPr>
        <w:spacing w:before="0" w:line="360" w:lineRule="auto"/>
        <w:ind w:left="0" w:firstLine="720"/>
        <w:rPr>
          <w:rFonts w:ascii="Times New Roman" w:hAnsi="Times New Roman" w:cs="Arial"/>
          <w:sz w:val="24"/>
        </w:rPr>
      </w:pPr>
      <w:r w:rsidRPr="00813453">
        <w:rPr>
          <w:rFonts w:ascii="Times New Roman" w:hAnsi="Times New Roman" w:cs="Arial"/>
          <w:sz w:val="24"/>
        </w:rPr>
        <w:t>Comparando a gravura de Holbein e o fresco de Monsaraz, temos a perceção de uma matriz comum na representação d</w:t>
      </w:r>
      <w:r w:rsidR="00952F21" w:rsidRPr="00813453">
        <w:rPr>
          <w:rFonts w:ascii="Times New Roman" w:hAnsi="Times New Roman" w:cs="Arial"/>
          <w:sz w:val="24"/>
        </w:rPr>
        <w:t>o juiz corrupto. Observa-se que em Holbein,</w:t>
      </w:r>
      <w:r w:rsidRPr="00813453">
        <w:rPr>
          <w:rFonts w:ascii="Times New Roman" w:hAnsi="Times New Roman" w:cs="Arial"/>
          <w:sz w:val="24"/>
        </w:rPr>
        <w:t xml:space="preserve"> o esqueleto da Mort</w:t>
      </w:r>
      <w:r w:rsidR="00952F21" w:rsidRPr="00813453">
        <w:rPr>
          <w:rFonts w:ascii="Times New Roman" w:hAnsi="Times New Roman" w:cs="Arial"/>
          <w:sz w:val="24"/>
        </w:rPr>
        <w:t>e, por detrás do ombro do juiz (e sorrateiramente)</w:t>
      </w:r>
      <w:r w:rsidRPr="00813453">
        <w:rPr>
          <w:rFonts w:ascii="Times New Roman" w:hAnsi="Times New Roman" w:cs="Arial"/>
          <w:sz w:val="24"/>
        </w:rPr>
        <w:t xml:space="preserve"> está prestes a retirar-lhe a vara da justiça, s</w:t>
      </w:r>
      <w:r w:rsidR="00952F21" w:rsidRPr="00813453">
        <w:rPr>
          <w:rFonts w:ascii="Times New Roman" w:hAnsi="Times New Roman" w:cs="Arial"/>
          <w:sz w:val="24"/>
        </w:rPr>
        <w:t>em que ele se aperceba. O juiz</w:t>
      </w:r>
      <w:r w:rsidRPr="00813453">
        <w:rPr>
          <w:rFonts w:ascii="Times New Roman" w:hAnsi="Times New Roman" w:cs="Arial"/>
          <w:sz w:val="24"/>
        </w:rPr>
        <w:t xml:space="preserve"> está concentrado no suborno recebido do homem rico, à sua esquerda. A bolsa, a sua atitude, o seu vestuário, o chapéu e os sapatos, em confronto com a personagem da direita, de vestuário mais simples, descalça, sem bolsa, nem moedas, nem chapéu, indicam sobre quem recaiu o benefício do julgamento. Holbein desenha a Morte </w:t>
      </w:r>
      <w:r w:rsidR="00ED79E5" w:rsidRPr="00813453">
        <w:rPr>
          <w:rFonts w:ascii="Times New Roman" w:hAnsi="Times New Roman" w:cs="Arial"/>
          <w:sz w:val="24"/>
        </w:rPr>
        <w:t>como ex-prisioneira (</w:t>
      </w:r>
      <w:r w:rsidRPr="00813453">
        <w:rPr>
          <w:rFonts w:ascii="Times New Roman" w:hAnsi="Times New Roman" w:cs="Arial"/>
          <w:sz w:val="24"/>
        </w:rPr>
        <w:t xml:space="preserve">acorrentada por uma gargantilha à volta do pescoço) mostrando-a, talvez, na personagem de uma ex-vítima. </w:t>
      </w:r>
    </w:p>
    <w:p w:rsidR="00FC0A9F" w:rsidRPr="00E237ED" w:rsidRDefault="00FC0A9F" w:rsidP="00FC0A9F">
      <w:pPr>
        <w:spacing w:before="0"/>
        <w:ind w:left="0"/>
        <w:rPr>
          <w:rFonts w:cs="Arial"/>
          <w:sz w:val="24"/>
        </w:rPr>
      </w:pPr>
    </w:p>
    <w:p w:rsidR="00FC0A9F" w:rsidRPr="00E237ED" w:rsidRDefault="0052365C" w:rsidP="00FC0A9F">
      <w:pPr>
        <w:spacing w:before="0"/>
        <w:ind w:left="0"/>
        <w:outlineLvl w:val="0"/>
        <w:rPr>
          <w:rFonts w:cs="Arial"/>
          <w:sz w:val="24"/>
        </w:rPr>
      </w:pPr>
      <w:r w:rsidRPr="00E237ED">
        <w:rPr>
          <w:rFonts w:cs="Arial"/>
          <w:noProof/>
          <w:sz w:val="24"/>
          <w:lang w:val="en-US"/>
        </w:rPr>
        <w:drawing>
          <wp:inline distT="0" distB="0" distL="0" distR="0">
            <wp:extent cx="1785540" cy="2457450"/>
            <wp:effectExtent l="25400" t="0" r="0" b="0"/>
            <wp:docPr id="17" name="Picture 23" descr="hhhhhCaptura de ecrã - 2013-08-26, 02.3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hhhCaptura de ecrã - 2013-08-26, 02.39.17.png"/>
                    <pic:cNvPicPr/>
                  </pic:nvPicPr>
                  <pic:blipFill>
                    <a:blip r:embed="rId11" cstate="print"/>
                    <a:stretch>
                      <a:fillRect/>
                    </a:stretch>
                  </pic:blipFill>
                  <pic:spPr>
                    <a:xfrm>
                      <a:off x="0" y="0"/>
                      <a:ext cx="1785540" cy="2457450"/>
                    </a:xfrm>
                    <a:prstGeom prst="rect">
                      <a:avLst/>
                    </a:prstGeom>
                  </pic:spPr>
                </pic:pic>
              </a:graphicData>
            </a:graphic>
          </wp:inline>
        </w:drawing>
      </w:r>
      <w:r w:rsidR="00FC0A9F" w:rsidRPr="00E237ED">
        <w:rPr>
          <w:rFonts w:cs="Arial"/>
          <w:sz w:val="24"/>
        </w:rPr>
        <w:t>.</w:t>
      </w:r>
      <w:r w:rsidRPr="001B5DF0">
        <w:rPr>
          <w:rFonts w:cs="Arial"/>
          <w:noProof/>
          <w:sz w:val="24"/>
          <w:lang w:val="en-US"/>
        </w:rPr>
        <w:drawing>
          <wp:inline distT="0" distB="0" distL="0" distR="0">
            <wp:extent cx="2387600" cy="2698712"/>
            <wp:effectExtent l="0" t="0" r="0"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pic:cNvPicPr>
                      <a:picLocks noChangeAspect="1" noChangeArrowheads="1"/>
                    </pic:cNvPicPr>
                  </pic:nvPicPr>
                  <pic:blipFill>
                    <a:blip r:embed="rId12" cstate="print">
                      <a:lum contrast="20000"/>
                    </a:blip>
                    <a:srcRect/>
                    <a:stretch>
                      <a:fillRect/>
                    </a:stretch>
                  </pic:blipFill>
                  <pic:spPr bwMode="auto">
                    <a:xfrm>
                      <a:off x="0" y="0"/>
                      <a:ext cx="2395058" cy="2707142"/>
                    </a:xfrm>
                    <a:prstGeom prst="rect">
                      <a:avLst/>
                    </a:prstGeom>
                    <a:ln>
                      <a:noFill/>
                    </a:ln>
                    <a:effectLst>
                      <a:softEdge rad="112500"/>
                    </a:effectLst>
                  </pic:spPr>
                </pic:pic>
              </a:graphicData>
            </a:graphic>
          </wp:inline>
        </w:drawing>
      </w:r>
    </w:p>
    <w:p w:rsidR="00273A94" w:rsidRDefault="00E01749" w:rsidP="00273A94">
      <w:pPr>
        <w:spacing w:before="0"/>
        <w:ind w:left="0"/>
        <w:rPr>
          <w:rFonts w:ascii="Times New Roman" w:hAnsi="Times New Roman"/>
          <w:sz w:val="20"/>
        </w:rPr>
      </w:pPr>
      <w:r w:rsidRPr="00273A94">
        <w:rPr>
          <w:rFonts w:ascii="Times New Roman" w:hAnsi="Times New Roman"/>
          <w:sz w:val="20"/>
        </w:rPr>
        <w:t>Fig</w:t>
      </w:r>
      <w:r w:rsidR="00A512BA">
        <w:rPr>
          <w:rFonts w:ascii="Times New Roman" w:hAnsi="Times New Roman"/>
          <w:sz w:val="20"/>
        </w:rPr>
        <w:t>.</w:t>
      </w:r>
      <w:r w:rsidR="00614FB1" w:rsidRPr="00273A94">
        <w:rPr>
          <w:rFonts w:ascii="Times New Roman" w:hAnsi="Times New Roman"/>
          <w:sz w:val="20"/>
        </w:rPr>
        <w:t>6 e</w:t>
      </w:r>
      <w:r w:rsidR="00A512BA">
        <w:rPr>
          <w:rFonts w:ascii="Times New Roman" w:hAnsi="Times New Roman"/>
          <w:sz w:val="20"/>
        </w:rPr>
        <w:t xml:space="preserve"> </w:t>
      </w:r>
      <w:r w:rsidR="00614FB1" w:rsidRPr="00273A94">
        <w:rPr>
          <w:rFonts w:ascii="Times New Roman" w:hAnsi="Times New Roman"/>
          <w:sz w:val="20"/>
        </w:rPr>
        <w:t>7</w:t>
      </w:r>
      <w:r w:rsidR="00A512BA">
        <w:rPr>
          <w:rFonts w:ascii="Times New Roman" w:hAnsi="Times New Roman"/>
          <w:sz w:val="20"/>
        </w:rPr>
        <w:t>:</w:t>
      </w:r>
      <w:r w:rsidR="00614FB1" w:rsidRPr="00273A94">
        <w:rPr>
          <w:rFonts w:ascii="Times New Roman" w:hAnsi="Times New Roman"/>
          <w:sz w:val="20"/>
        </w:rPr>
        <w:t xml:space="preserve"> </w:t>
      </w:r>
      <w:r w:rsidR="001C116E" w:rsidRPr="00273A94">
        <w:rPr>
          <w:rFonts w:ascii="Times New Roman" w:hAnsi="Times New Roman"/>
          <w:sz w:val="20"/>
        </w:rPr>
        <w:t>Comparação entre o Juiz corrupto de Holbein e o Mau</w:t>
      </w:r>
      <w:r w:rsidR="002B096B" w:rsidRPr="00273A94">
        <w:rPr>
          <w:rFonts w:ascii="Times New Roman" w:hAnsi="Times New Roman"/>
          <w:sz w:val="20"/>
        </w:rPr>
        <w:t xml:space="preserve"> juiz, do Fresco de Monsaraz. </w:t>
      </w:r>
      <w:r w:rsidRPr="00273A94">
        <w:rPr>
          <w:rFonts w:ascii="Times New Roman" w:hAnsi="Times New Roman"/>
          <w:sz w:val="20"/>
        </w:rPr>
        <w:t>Repare-se no pormenor da imagem do esqueleto,  com a corrente de prisioneiro.</w:t>
      </w:r>
      <w:r w:rsidR="00CF5A39" w:rsidRPr="00273A94">
        <w:rPr>
          <w:rFonts w:ascii="Times New Roman" w:hAnsi="Times New Roman"/>
          <w:sz w:val="20"/>
        </w:rPr>
        <w:t xml:space="preserve"> </w:t>
      </w:r>
      <w:r w:rsidR="001D711F" w:rsidRPr="00273A94">
        <w:rPr>
          <w:rFonts w:ascii="Times New Roman" w:hAnsi="Times New Roman"/>
          <w:sz w:val="20"/>
        </w:rPr>
        <w:t>Fotos M.Gil ©</w:t>
      </w:r>
      <w:r w:rsidR="00273A94" w:rsidRPr="00273A94">
        <w:rPr>
          <w:rFonts w:ascii="Times New Roman" w:hAnsi="Times New Roman"/>
          <w:sz w:val="20"/>
        </w:rPr>
        <w:t xml:space="preserve"> </w:t>
      </w:r>
      <w:r w:rsidR="001D711F" w:rsidRPr="00273A94">
        <w:rPr>
          <w:rFonts w:ascii="Times New Roman" w:hAnsi="Times New Roman"/>
          <w:sz w:val="20"/>
        </w:rPr>
        <w:t>Herc</w:t>
      </w:r>
      <w:r w:rsidR="00FC0A9F" w:rsidRPr="00273A94">
        <w:rPr>
          <w:rFonts w:ascii="Times New Roman" w:hAnsi="Times New Roman"/>
          <w:sz w:val="20"/>
        </w:rPr>
        <w:t xml:space="preserve">ules 2012 e  </w:t>
      </w:r>
      <w:r w:rsidR="00273A94" w:rsidRPr="00273A94">
        <w:rPr>
          <w:rFonts w:ascii="Times New Roman" w:hAnsi="Times New Roman"/>
          <w:sz w:val="20"/>
        </w:rPr>
        <w:t>G</w:t>
      </w:r>
      <w:r w:rsidR="008E67D1">
        <w:rPr>
          <w:rFonts w:ascii="Times New Roman" w:hAnsi="Times New Roman"/>
          <w:sz w:val="20"/>
        </w:rPr>
        <w:t>allica.b</w:t>
      </w:r>
      <w:r w:rsidR="001D711F" w:rsidRPr="00273A94">
        <w:rPr>
          <w:rFonts w:ascii="Times New Roman" w:hAnsi="Times New Roman"/>
          <w:sz w:val="20"/>
        </w:rPr>
        <w:t>nf.fr</w:t>
      </w:r>
      <w:r w:rsidR="00FC0A9F" w:rsidRPr="00273A94">
        <w:rPr>
          <w:rFonts w:ascii="Times New Roman" w:hAnsi="Times New Roman"/>
          <w:sz w:val="20"/>
        </w:rPr>
        <w:t xml:space="preserve"> 2015.</w:t>
      </w:r>
    </w:p>
    <w:p w:rsidR="00E01749" w:rsidRPr="00273A94" w:rsidRDefault="00E01749" w:rsidP="00273A94">
      <w:pPr>
        <w:spacing w:before="0"/>
        <w:ind w:left="0"/>
        <w:rPr>
          <w:rFonts w:ascii="Times New Roman" w:hAnsi="Times New Roman"/>
          <w:sz w:val="20"/>
        </w:rPr>
      </w:pPr>
    </w:p>
    <w:p w:rsidR="00E01749" w:rsidRPr="00813453" w:rsidRDefault="00E01749" w:rsidP="00E533FF">
      <w:pPr>
        <w:spacing w:before="0" w:line="360" w:lineRule="auto"/>
        <w:ind w:left="0" w:firstLine="720"/>
        <w:rPr>
          <w:rFonts w:ascii="Times New Roman" w:hAnsi="Times New Roman"/>
          <w:sz w:val="24"/>
          <w:vertAlign w:val="superscript"/>
        </w:rPr>
      </w:pPr>
      <w:r w:rsidRPr="00813453">
        <w:rPr>
          <w:rFonts w:ascii="Times New Roman" w:hAnsi="Times New Roman" w:cs="Arial"/>
          <w:sz w:val="24"/>
        </w:rPr>
        <w:t>Num segundo nível de leitura, o inevitável castigo do juiz é-nos ainda sugerido pela proximidade do réu pobre e do esqueleto da Morte, que parecem emergir numa sombra de envolvimento. A ampulheta caída no chão e a pele de animal que cobre a cadeira do juiz mostram que está votado à condenação. A pele do animal, de que vemos a cabeça, evoca a animalidade e corresponde à sentença do mestre Petrarca:</w:t>
      </w:r>
      <w:r w:rsidR="00CA7961" w:rsidRPr="00813453">
        <w:rPr>
          <w:rFonts w:ascii="Times New Roman" w:hAnsi="Times New Roman" w:cs="Arial"/>
          <w:sz w:val="24"/>
        </w:rPr>
        <w:t xml:space="preserve"> </w:t>
      </w:r>
      <w:r w:rsidRPr="00813453">
        <w:rPr>
          <w:rFonts w:ascii="Times New Roman" w:hAnsi="Times New Roman" w:cs="Arial"/>
          <w:sz w:val="24"/>
        </w:rPr>
        <w:t>”Nenhum animal é mais iníquo do que o injusto juiz corrupto”.</w:t>
      </w:r>
    </w:p>
    <w:p w:rsidR="00E01749" w:rsidRPr="00813453" w:rsidRDefault="00E01749" w:rsidP="00E533FF">
      <w:pPr>
        <w:spacing w:before="0" w:line="360" w:lineRule="auto"/>
        <w:ind w:left="0" w:firstLine="720"/>
        <w:rPr>
          <w:rFonts w:ascii="Times New Roman" w:hAnsi="Times New Roman" w:cs="Arial"/>
          <w:sz w:val="24"/>
        </w:rPr>
      </w:pPr>
      <w:r w:rsidRPr="00813453">
        <w:rPr>
          <w:rFonts w:ascii="Times New Roman" w:hAnsi="Times New Roman" w:cs="Arial"/>
          <w:sz w:val="24"/>
        </w:rPr>
        <w:t>Na representação do Mau juiz do Fresco de Monsaraz, a Morte foi substituída pela tradicional figura do diabo, mas também ele, por detrás, envolve com uma garra o ombro do juiz, segurando com a outra, a vara da justiça, sem que disso ele se aperceba. O juiz está igualmente fixado na receção do benefício, mas que surge no fresco reforçado pela duplicação de ofertas (dinheiro e perdizes) e de satisfeitos subornadores.</w:t>
      </w:r>
    </w:p>
    <w:p w:rsidR="00E01749" w:rsidRPr="00813453" w:rsidRDefault="00E01749" w:rsidP="00E533FF">
      <w:pPr>
        <w:spacing w:before="0" w:line="360" w:lineRule="auto"/>
        <w:ind w:left="0" w:firstLine="720"/>
        <w:rPr>
          <w:rFonts w:ascii="Times New Roman" w:hAnsi="Times New Roman" w:cs="Arial"/>
          <w:sz w:val="24"/>
        </w:rPr>
      </w:pPr>
      <w:r w:rsidRPr="00813453">
        <w:rPr>
          <w:rFonts w:ascii="Times New Roman" w:hAnsi="Times New Roman" w:cs="Arial"/>
          <w:sz w:val="24"/>
        </w:rPr>
        <w:t>Comummente, o juiz ambicioso, ou corrupto, é simbolizado recebendo dinheiro (moedas, bolsa ou baú, associadas à infernal condenação) ou papéis, enquanto sinal de compra de favores e benefícios – como refere Ripa acerca dos juízes corruptos.</w:t>
      </w:r>
    </w:p>
    <w:p w:rsidR="00E01749" w:rsidRPr="00813453" w:rsidRDefault="00E01749" w:rsidP="00E533FF">
      <w:pPr>
        <w:spacing w:before="0" w:line="360" w:lineRule="auto"/>
        <w:ind w:left="0" w:firstLine="720"/>
        <w:rPr>
          <w:rFonts w:ascii="Times New Roman" w:hAnsi="Times New Roman" w:cs="Arial"/>
          <w:sz w:val="24"/>
          <w:vertAlign w:val="superscript"/>
        </w:rPr>
      </w:pPr>
      <w:r w:rsidRPr="00813453">
        <w:rPr>
          <w:rFonts w:ascii="Times New Roman" w:hAnsi="Times New Roman" w:cs="Arial"/>
          <w:sz w:val="24"/>
        </w:rPr>
        <w:t>No fresco de Monsaraz, os papéis foram substituídos por perdizes. No bestiário medieval simbolizam astúcia</w:t>
      </w:r>
      <w:r w:rsidR="00CA7961" w:rsidRPr="00813453">
        <w:rPr>
          <w:rFonts w:ascii="Times New Roman" w:hAnsi="Times New Roman" w:cs="Arial"/>
          <w:sz w:val="24"/>
        </w:rPr>
        <w:t xml:space="preserve"> e malícia, e estavam associadas</w:t>
      </w:r>
      <w:r w:rsidRPr="00813453">
        <w:rPr>
          <w:rFonts w:ascii="Times New Roman" w:hAnsi="Times New Roman" w:cs="Arial"/>
          <w:sz w:val="24"/>
        </w:rPr>
        <w:t xml:space="preserve"> à compra das almas, por estas aves serem os únicos animais capazes de roubarem ovos de outras fêmeas. As perdizes, associadas à dupla face do mau juiz, reforçam a conotação de manha, de fingimento e de fraude</w:t>
      </w:r>
      <w:r w:rsidR="00473A12" w:rsidRPr="00813453">
        <w:rPr>
          <w:rStyle w:val="FootnoteReference"/>
          <w:rFonts w:ascii="Times New Roman" w:hAnsi="Times New Roman" w:cs="Arial"/>
          <w:sz w:val="24"/>
        </w:rPr>
        <w:footnoteReference w:id="20"/>
      </w:r>
      <w:r w:rsidRPr="00813453">
        <w:rPr>
          <w:rFonts w:ascii="Times New Roman" w:hAnsi="Times New Roman" w:cs="Arial"/>
          <w:sz w:val="24"/>
        </w:rPr>
        <w:t xml:space="preserve">; e em ligação com a garra do diabo reforçam o sentido de animalidade (presente em Holbein na pele do animal da cadeira). Aliás, a avareza, enquanto excessiva ganância, também foi representada no século XV, pela duplicação de braços, em descontrolados movimentos de usurpação de riquezas e de poderes, incluindo a justiça. </w:t>
      </w:r>
    </w:p>
    <w:p w:rsidR="004012BE" w:rsidRDefault="00E01749" w:rsidP="00E533FF">
      <w:pPr>
        <w:spacing w:before="0" w:line="360" w:lineRule="auto"/>
        <w:ind w:left="0" w:firstLine="720"/>
        <w:rPr>
          <w:rFonts w:ascii="Times New Roman" w:hAnsi="Times New Roman"/>
          <w:sz w:val="24"/>
          <w:szCs w:val="26"/>
        </w:rPr>
      </w:pPr>
      <w:r w:rsidRPr="00813453">
        <w:rPr>
          <w:rFonts w:ascii="Times New Roman" w:hAnsi="Times New Roman"/>
          <w:sz w:val="24"/>
          <w:szCs w:val="26"/>
        </w:rPr>
        <w:t>Qual o significado destas modificações no aprofundamento da imagem?</w:t>
      </w:r>
      <w:r w:rsidR="00851B6A">
        <w:rPr>
          <w:rFonts w:ascii="Times New Roman" w:hAnsi="Times New Roman"/>
          <w:sz w:val="24"/>
          <w:szCs w:val="26"/>
        </w:rPr>
        <w:t xml:space="preserve"> </w:t>
      </w:r>
    </w:p>
    <w:p w:rsidR="00E01749" w:rsidRPr="00813453" w:rsidRDefault="00E01749" w:rsidP="00E533FF">
      <w:pPr>
        <w:spacing w:before="0" w:line="360" w:lineRule="auto"/>
        <w:ind w:left="0" w:firstLine="720"/>
        <w:rPr>
          <w:rFonts w:ascii="Times New Roman" w:hAnsi="Times New Roman"/>
          <w:sz w:val="24"/>
          <w:szCs w:val="26"/>
        </w:rPr>
      </w:pPr>
      <w:r w:rsidRPr="00813453">
        <w:rPr>
          <w:rFonts w:ascii="Times New Roman" w:hAnsi="Times New Roman"/>
          <w:sz w:val="24"/>
          <w:szCs w:val="26"/>
        </w:rPr>
        <w:t>Primeiro, em relação à representação da Injustiça de Giotto, o Mau juiz é a concretização da injustiça através de inúmeras manifestações: deixa-se corromper, revela avareza, delibera sem equidade, desrespeita a igualdade</w:t>
      </w:r>
      <w:r w:rsidR="004012BE">
        <w:rPr>
          <w:rFonts w:ascii="Times New Roman" w:hAnsi="Times New Roman"/>
          <w:sz w:val="24"/>
          <w:szCs w:val="26"/>
        </w:rPr>
        <w:t xml:space="preserve"> e a dignidade dos arguidos</w:t>
      </w:r>
      <w:r w:rsidRPr="00813453">
        <w:rPr>
          <w:rFonts w:ascii="Times New Roman" w:hAnsi="Times New Roman"/>
          <w:sz w:val="24"/>
          <w:szCs w:val="26"/>
        </w:rPr>
        <w:t xml:space="preserve">.  </w:t>
      </w:r>
    </w:p>
    <w:p w:rsidR="00E01749" w:rsidRPr="00813453" w:rsidRDefault="00E01749" w:rsidP="00E533FF">
      <w:pPr>
        <w:spacing w:before="0" w:line="360" w:lineRule="auto"/>
        <w:ind w:left="0" w:firstLine="720"/>
        <w:rPr>
          <w:rFonts w:ascii="Times New Roman" w:hAnsi="Times New Roman"/>
          <w:sz w:val="24"/>
          <w:szCs w:val="26"/>
        </w:rPr>
      </w:pPr>
      <w:r w:rsidRPr="00813453">
        <w:rPr>
          <w:rFonts w:ascii="Times New Roman" w:hAnsi="Times New Roman"/>
          <w:sz w:val="24"/>
          <w:szCs w:val="26"/>
        </w:rPr>
        <w:t xml:space="preserve">Segundo, o facto de não ser óbvia a presença de um réu na pintura de Monsaraz, assim como a duplicação de ofertas, pode sugerir tratar-se da compra de cargos ou de favores, e não tanto do julgamento de uma contenda. O tema do Fresco centra-se mais no hábito moral da personagem e na virtude político-moral da justiça, do que na reflexão sobre a injusta deliberação e as suas consequências. </w:t>
      </w:r>
    </w:p>
    <w:p w:rsidR="00E533FF" w:rsidRDefault="00E01749" w:rsidP="00813453">
      <w:pPr>
        <w:spacing w:before="0" w:line="360" w:lineRule="auto"/>
        <w:ind w:left="0"/>
        <w:rPr>
          <w:rFonts w:ascii="Times New Roman" w:hAnsi="Times New Roman"/>
          <w:sz w:val="24"/>
          <w:szCs w:val="26"/>
        </w:rPr>
      </w:pPr>
      <w:r w:rsidRPr="00813453">
        <w:rPr>
          <w:rFonts w:ascii="Times New Roman" w:hAnsi="Times New Roman"/>
          <w:sz w:val="24"/>
          <w:szCs w:val="26"/>
        </w:rPr>
        <w:t>No juiz corrupto de Holbein, o Esqueleto da Morte sentencia o juiz com as suas próprias mãos, num processo fechado de crime e castigo.</w:t>
      </w:r>
      <w:r w:rsidR="00E533FF">
        <w:rPr>
          <w:rFonts w:ascii="Times New Roman" w:hAnsi="Times New Roman"/>
          <w:sz w:val="24"/>
          <w:szCs w:val="26"/>
        </w:rPr>
        <w:t xml:space="preserve"> </w:t>
      </w:r>
      <w:r w:rsidRPr="00813453">
        <w:rPr>
          <w:rFonts w:ascii="Times New Roman" w:hAnsi="Times New Roman"/>
          <w:sz w:val="24"/>
          <w:szCs w:val="26"/>
        </w:rPr>
        <w:t>A substituição deste pelo diabo no fresco de Monsaraz pode ser entendida a vários níveis:</w:t>
      </w:r>
      <w:r w:rsidR="00E533FF">
        <w:rPr>
          <w:rFonts w:ascii="Times New Roman" w:hAnsi="Times New Roman"/>
          <w:sz w:val="24"/>
          <w:szCs w:val="26"/>
        </w:rPr>
        <w:t xml:space="preserve"> a</w:t>
      </w:r>
      <w:r w:rsidRPr="00813453">
        <w:rPr>
          <w:rFonts w:ascii="Times New Roman" w:hAnsi="Times New Roman"/>
          <w:sz w:val="24"/>
          <w:szCs w:val="26"/>
        </w:rPr>
        <w:t>ligeirar a imagem, tendo em consideração que a figura do diabo estava mais banalizada, e era mais familiar para o imaginário renascentista do que o Esqueleto da Morte. A presença deste último obrigaria o observador a uma leitura unidirecional, no sentido do inevitável confronto.</w:t>
      </w:r>
      <w:r w:rsidR="00E533FF">
        <w:rPr>
          <w:rFonts w:ascii="Times New Roman" w:hAnsi="Times New Roman"/>
          <w:sz w:val="24"/>
          <w:szCs w:val="26"/>
        </w:rPr>
        <w:t xml:space="preserve"> </w:t>
      </w:r>
    </w:p>
    <w:p w:rsidR="00E01749" w:rsidRPr="00813453" w:rsidRDefault="00E533FF" w:rsidP="00813453">
      <w:pPr>
        <w:spacing w:before="0" w:line="360" w:lineRule="auto"/>
        <w:ind w:left="0"/>
        <w:rPr>
          <w:rFonts w:ascii="Times New Roman" w:hAnsi="Times New Roman"/>
          <w:sz w:val="24"/>
          <w:szCs w:val="26"/>
        </w:rPr>
      </w:pPr>
      <w:r>
        <w:rPr>
          <w:rFonts w:ascii="Times New Roman" w:hAnsi="Times New Roman"/>
          <w:sz w:val="24"/>
          <w:szCs w:val="26"/>
        </w:rPr>
        <w:tab/>
      </w:r>
      <w:r w:rsidR="00E01749" w:rsidRPr="00813453">
        <w:rPr>
          <w:rFonts w:ascii="Times New Roman" w:hAnsi="Times New Roman"/>
          <w:sz w:val="24"/>
          <w:szCs w:val="26"/>
        </w:rPr>
        <w:t>Segundo, desvalorizar o sentido escatológico, e portanto aligeirar não só visualmente, mas também vivencialmente a mensagem. Valoriza-se a dimensão da verdade da justiça, enquanto virtude, por confronto com a Fraude. Apela-se, assim, à conversão e à mudança de práticas de conduta morais e judiciais.</w:t>
      </w:r>
    </w:p>
    <w:p w:rsidR="00E01749" w:rsidRPr="00813453" w:rsidRDefault="00E01749" w:rsidP="00D90D29">
      <w:pPr>
        <w:spacing w:before="0" w:line="360" w:lineRule="auto"/>
        <w:ind w:left="0" w:firstLine="720"/>
        <w:rPr>
          <w:rFonts w:ascii="Times New Roman" w:hAnsi="Times New Roman"/>
          <w:sz w:val="24"/>
          <w:szCs w:val="26"/>
        </w:rPr>
      </w:pPr>
      <w:r w:rsidRPr="00813453">
        <w:rPr>
          <w:rFonts w:ascii="Times New Roman" w:hAnsi="Times New Roman"/>
          <w:sz w:val="24"/>
          <w:szCs w:val="26"/>
        </w:rPr>
        <w:t>Terceiro, dirigir o olhar do observador para o elemento mais intrigante e insólito do fresco: o duplo rosto do juiz, ou a sua máscara, que continua enigmaticamente por descodificar.</w:t>
      </w:r>
    </w:p>
    <w:p w:rsidR="00E01749" w:rsidRPr="00813453" w:rsidRDefault="00E01749" w:rsidP="00D90D29">
      <w:pPr>
        <w:spacing w:before="0" w:line="360" w:lineRule="auto"/>
        <w:ind w:left="0" w:firstLine="720"/>
        <w:rPr>
          <w:rFonts w:ascii="Times New Roman" w:hAnsi="Times New Roman"/>
          <w:sz w:val="24"/>
          <w:szCs w:val="26"/>
        </w:rPr>
      </w:pPr>
      <w:r w:rsidRPr="00813453">
        <w:rPr>
          <w:rFonts w:ascii="Times New Roman" w:hAnsi="Times New Roman"/>
          <w:sz w:val="24"/>
          <w:szCs w:val="26"/>
        </w:rPr>
        <w:t>Quarto, ao retirar do fresco a Morte, juiz justiceiro, substituindo-a, na parte superior da pintura, pela figura de Cristo Redentor, que todos envolve e observa, está a focar a centralidade temática do fresco na relação entre o direito natural e humano, e a lei divina. Ele é o fundamento, o mediador, e o Modelo, o único justo juiz, capaz de Verdade, Justiça, Misericórdia, e Graça, como indica o símbolo da aliança e da paz, que é o arco-íris.</w:t>
      </w:r>
    </w:p>
    <w:p w:rsidR="00E01749" w:rsidRPr="00273A94" w:rsidRDefault="00E01749" w:rsidP="00D90D29">
      <w:pPr>
        <w:spacing w:before="0" w:line="360" w:lineRule="auto"/>
        <w:ind w:left="0"/>
        <w:rPr>
          <w:rFonts w:ascii="Times New Roman" w:hAnsi="Times New Roman"/>
          <w:sz w:val="24"/>
          <w:szCs w:val="26"/>
        </w:rPr>
      </w:pPr>
      <w:r w:rsidRPr="00813453">
        <w:rPr>
          <w:rFonts w:ascii="Times New Roman" w:hAnsi="Times New Roman"/>
          <w:sz w:val="24"/>
          <w:szCs w:val="26"/>
        </w:rPr>
        <w:t xml:space="preserve"> </w:t>
      </w:r>
      <w:r w:rsidR="00D90D29">
        <w:rPr>
          <w:rFonts w:ascii="Times New Roman" w:hAnsi="Times New Roman"/>
          <w:sz w:val="24"/>
          <w:szCs w:val="26"/>
        </w:rPr>
        <w:tab/>
      </w:r>
      <w:r w:rsidRPr="00813453">
        <w:rPr>
          <w:rFonts w:ascii="Times New Roman" w:hAnsi="Times New Roman"/>
          <w:sz w:val="24"/>
          <w:szCs w:val="26"/>
        </w:rPr>
        <w:t xml:space="preserve">De novo e mais uma vez, a mensagem do fresco, pode ser vista articulando dois planos: um horizontal e um outro vertical. No plano horizontal, de tensão e de conflito, reflete-se sobre a virtude do juiz e da justiça, enquanto hábito moral e político, operativo de bem coletivo, que se imprime na natureza do juiz. No plano vertical, de transformação/superação de conflitos, a prática da justiça positiva natural é integrada no direito divino e na teologia tomista. Valoriza-se a relação de confiança (fé) entre a vontade humana (com as virtudes intelectuais, práticas e morais) e a lei da Misericórdia (ou Graça) de Deus. </w:t>
      </w:r>
    </w:p>
    <w:p w:rsidR="00E01749" w:rsidRPr="00273A94" w:rsidRDefault="00E43CDC" w:rsidP="00B20457">
      <w:pPr>
        <w:spacing w:before="0" w:line="360" w:lineRule="auto"/>
        <w:ind w:left="0"/>
        <w:outlineLvl w:val="0"/>
        <w:rPr>
          <w:rFonts w:ascii="Times New Roman" w:hAnsi="Times New Roman" w:cs="Arial"/>
          <w:b/>
          <w:sz w:val="24"/>
        </w:rPr>
      </w:pPr>
      <w:r w:rsidRPr="00273A94">
        <w:rPr>
          <w:rFonts w:ascii="Times New Roman" w:hAnsi="Times New Roman" w:cs="Arial"/>
          <w:b/>
          <w:sz w:val="24"/>
        </w:rPr>
        <w:t>3</w:t>
      </w:r>
      <w:r w:rsidR="00E01749" w:rsidRPr="00273A94">
        <w:rPr>
          <w:rFonts w:ascii="Times New Roman" w:hAnsi="Times New Roman" w:cs="Arial"/>
          <w:b/>
          <w:sz w:val="24"/>
        </w:rPr>
        <w:t xml:space="preserve">. 5. O Rosto de Dupla Face </w:t>
      </w:r>
    </w:p>
    <w:p w:rsidR="00E01749" w:rsidRPr="00813453" w:rsidRDefault="004012BE" w:rsidP="00813453">
      <w:pPr>
        <w:spacing w:before="0" w:line="360" w:lineRule="auto"/>
        <w:ind w:left="0"/>
        <w:rPr>
          <w:rFonts w:ascii="Times New Roman" w:hAnsi="Times New Roman" w:cs="Arial"/>
          <w:sz w:val="24"/>
        </w:rPr>
      </w:pPr>
      <w:r>
        <w:rPr>
          <w:rFonts w:ascii="Times New Roman" w:hAnsi="Times New Roman" w:cs="Arial"/>
          <w:sz w:val="24"/>
        </w:rPr>
        <w:t xml:space="preserve">- </w:t>
      </w:r>
      <w:r w:rsidR="00E01749" w:rsidRPr="00813453">
        <w:rPr>
          <w:rFonts w:ascii="Times New Roman" w:hAnsi="Times New Roman" w:cs="Arial"/>
          <w:sz w:val="24"/>
        </w:rPr>
        <w:t xml:space="preserve"> </w:t>
      </w:r>
      <w:r w:rsidR="00E01749" w:rsidRPr="00273A94">
        <w:rPr>
          <w:rFonts w:ascii="Times New Roman" w:hAnsi="Times New Roman" w:cs="Arial"/>
          <w:i/>
          <w:sz w:val="24"/>
        </w:rPr>
        <w:t>A Máscara</w:t>
      </w:r>
    </w:p>
    <w:p w:rsidR="00E01749" w:rsidRPr="00813453" w:rsidRDefault="00E01749" w:rsidP="00D90D29">
      <w:pPr>
        <w:spacing w:before="0" w:line="360" w:lineRule="auto"/>
        <w:ind w:left="0" w:firstLine="720"/>
        <w:rPr>
          <w:rFonts w:ascii="Times New Roman" w:hAnsi="Times New Roman" w:cs="Arial"/>
          <w:sz w:val="24"/>
        </w:rPr>
      </w:pPr>
      <w:r w:rsidRPr="00813453">
        <w:rPr>
          <w:rFonts w:ascii="Times New Roman" w:hAnsi="Times New Roman" w:cs="Arial"/>
          <w:sz w:val="24"/>
        </w:rPr>
        <w:t>Na antropologia tomista, a criação e a identidade de cada pessoa corresponde ao insuflar do espírito no concreto corpo e alma de cada homem. Daí a valorização, a partir do final da Idade Média, da dependência entre a unidade física, moral e espiritual, da pessoa (individual e coletiva). Sente-se o gosto pela capacidade de expressão simbólica, com o recurso a personificações e alegorias. As máscaras e as mascaradas, as anomalias, as deformações e os jogos de carnaval, as festas de rua e de corte, os torneios, as populares celebrações religiosas, os</w:t>
      </w:r>
      <w:r w:rsidR="00CA7961" w:rsidRPr="00813453">
        <w:rPr>
          <w:rFonts w:ascii="Times New Roman" w:hAnsi="Times New Roman" w:cs="Arial"/>
          <w:sz w:val="24"/>
        </w:rPr>
        <w:t xml:space="preserve"> autos e os </w:t>
      </w:r>
      <w:r w:rsidR="0052365C">
        <w:rPr>
          <w:rFonts w:ascii="Times New Roman" w:hAnsi="Times New Roman" w:cs="Arial"/>
          <w:sz w:val="24"/>
        </w:rPr>
        <w:t>dramas,</w:t>
      </w:r>
      <w:r w:rsidR="00CA7961" w:rsidRPr="00813453">
        <w:rPr>
          <w:rFonts w:ascii="Times New Roman" w:hAnsi="Times New Roman" w:cs="Arial"/>
          <w:sz w:val="24"/>
        </w:rPr>
        <w:t xml:space="preserve"> </w:t>
      </w:r>
      <w:r w:rsidRPr="00813453">
        <w:rPr>
          <w:rFonts w:ascii="Times New Roman" w:hAnsi="Times New Roman" w:cs="Arial"/>
          <w:sz w:val="24"/>
        </w:rPr>
        <w:t>foram tendo significados e funções lúdicas, culturais, sociais e históricas bastante diversificadas ao longo do Renascimento (C</w:t>
      </w:r>
      <w:r w:rsidR="00273A94">
        <w:rPr>
          <w:rFonts w:ascii="Times New Roman" w:hAnsi="Times New Roman" w:cs="Arial"/>
          <w:sz w:val="24"/>
        </w:rPr>
        <w:t>ARPENTER</w:t>
      </w:r>
      <w:r w:rsidRPr="00813453">
        <w:rPr>
          <w:rFonts w:ascii="Times New Roman" w:hAnsi="Times New Roman" w:cs="Arial"/>
          <w:sz w:val="24"/>
        </w:rPr>
        <w:t xml:space="preserve">,2002). </w:t>
      </w:r>
    </w:p>
    <w:p w:rsidR="00E01749" w:rsidRPr="00813453" w:rsidRDefault="00E01749" w:rsidP="00D90D29">
      <w:pPr>
        <w:spacing w:before="0" w:line="360" w:lineRule="auto"/>
        <w:ind w:left="0"/>
        <w:rPr>
          <w:rFonts w:ascii="Times New Roman" w:hAnsi="Times New Roman" w:cs="Arial"/>
          <w:sz w:val="24"/>
        </w:rPr>
      </w:pPr>
      <w:r w:rsidRPr="00813453">
        <w:rPr>
          <w:rFonts w:ascii="Times New Roman" w:hAnsi="Times New Roman" w:cs="Arial"/>
          <w:sz w:val="24"/>
        </w:rPr>
        <w:t xml:space="preserve">Observando a figura do Mau juiz, ela não nos surge desfigurada, ou disfarçada, mas apenas o seu rosto está velado por uma máscara, do lado direito da face. É uma máscara que apresenta um rosto jovem e sereno, mas sem expressividade, lembrando as </w:t>
      </w:r>
      <w:r w:rsidRPr="00273A94">
        <w:rPr>
          <w:rFonts w:ascii="Times New Roman" w:hAnsi="Times New Roman" w:cs="Arial"/>
          <w:i/>
          <w:sz w:val="24"/>
        </w:rPr>
        <w:t>personas</w:t>
      </w:r>
      <w:r w:rsidRPr="00813453">
        <w:rPr>
          <w:rFonts w:ascii="Times New Roman" w:hAnsi="Times New Roman" w:cs="Arial"/>
          <w:sz w:val="24"/>
        </w:rPr>
        <w:t xml:space="preserve"> do teatro clássico. Mas ela deixa ver a verdadeira natureza do juiz, o rosto duro e anguloso da Injustiça de Giotto. A máscara, no teatro renascentista exerceu sobretudo duas grandes funções: uma, de esconder por incapacidade de revelar a verdadeira identidade – como é, por exemplo, o caso da sua utilização nas dramatizações de Mistérios, em que Deus e o diabo são representados com outras figurações. Outra função é a  de revelar, expor a verdadeira identidade profunda da personagem, quase sempre pela ironia e pelo absurdo da deformação.  </w:t>
      </w:r>
    </w:p>
    <w:p w:rsidR="00E01749" w:rsidRPr="00813453" w:rsidRDefault="004012BE" w:rsidP="00813453">
      <w:pPr>
        <w:spacing w:before="0" w:line="360" w:lineRule="auto"/>
        <w:ind w:left="0"/>
        <w:rPr>
          <w:rFonts w:ascii="Times New Roman" w:hAnsi="Times New Roman" w:cs="Arial"/>
          <w:sz w:val="24"/>
        </w:rPr>
      </w:pPr>
      <w:r>
        <w:rPr>
          <w:rFonts w:ascii="Times New Roman" w:hAnsi="Times New Roman" w:cs="Arial"/>
          <w:sz w:val="24"/>
        </w:rPr>
        <w:t xml:space="preserve">- </w:t>
      </w:r>
      <w:r w:rsidR="00E01749" w:rsidRPr="00813453">
        <w:rPr>
          <w:rFonts w:ascii="Times New Roman" w:hAnsi="Times New Roman" w:cs="Arial"/>
          <w:sz w:val="24"/>
        </w:rPr>
        <w:t xml:space="preserve"> </w:t>
      </w:r>
      <w:r w:rsidR="00E01749" w:rsidRPr="00273A94">
        <w:rPr>
          <w:rFonts w:ascii="Times New Roman" w:hAnsi="Times New Roman" w:cs="Arial"/>
          <w:i/>
          <w:sz w:val="24"/>
        </w:rPr>
        <w:t>A Memória e a Prudencia</w:t>
      </w:r>
    </w:p>
    <w:p w:rsidR="001B5DF0" w:rsidRDefault="00E01749" w:rsidP="00D90D29">
      <w:pPr>
        <w:spacing w:before="0" w:line="360" w:lineRule="auto"/>
        <w:ind w:left="0" w:firstLine="720"/>
        <w:rPr>
          <w:rFonts w:ascii="Times New Roman" w:hAnsi="Times New Roman" w:cs="Arial"/>
          <w:sz w:val="24"/>
        </w:rPr>
      </w:pPr>
      <w:r w:rsidRPr="00813453">
        <w:rPr>
          <w:rFonts w:ascii="Times New Roman" w:hAnsi="Times New Roman" w:cs="Arial"/>
          <w:sz w:val="24"/>
        </w:rPr>
        <w:t>Como vimos, a divindade Jano personifica a virtude intelectual da Prudência: seja pela imitação do seu duplo rosto, como em Alciato (Alciato,</w:t>
      </w:r>
      <w:r w:rsidRPr="00D90D29">
        <w:rPr>
          <w:rFonts w:ascii="Times New Roman" w:hAnsi="Times New Roman" w:cs="Arial"/>
          <w:sz w:val="24"/>
        </w:rPr>
        <w:t>1985</w:t>
      </w:r>
      <w:r w:rsidRPr="00813453">
        <w:rPr>
          <w:rFonts w:ascii="Times New Roman" w:hAnsi="Times New Roman" w:cs="Arial"/>
          <w:sz w:val="24"/>
        </w:rPr>
        <w:t>,</w:t>
      </w:r>
      <w:r w:rsidR="00D90D29">
        <w:rPr>
          <w:rFonts w:ascii="Times New Roman" w:hAnsi="Times New Roman" w:cs="Arial"/>
          <w:sz w:val="24"/>
        </w:rPr>
        <w:t xml:space="preserve"> </w:t>
      </w:r>
      <w:r w:rsidRPr="00813453">
        <w:rPr>
          <w:rFonts w:ascii="Times New Roman" w:hAnsi="Times New Roman" w:cs="Arial"/>
          <w:sz w:val="24"/>
        </w:rPr>
        <w:t>p.50), seja por processos de recriação de sentido, como no caso de Mantegna</w:t>
      </w:r>
      <w:r w:rsidR="00A42780" w:rsidRPr="00813453">
        <w:rPr>
          <w:rStyle w:val="FootnoteReference"/>
          <w:rFonts w:ascii="Times New Roman" w:hAnsi="Times New Roman" w:cs="Arial"/>
          <w:sz w:val="24"/>
        </w:rPr>
        <w:footnoteReference w:id="21"/>
      </w:r>
      <w:r w:rsidRPr="00813453">
        <w:rPr>
          <w:rFonts w:ascii="Times New Roman" w:hAnsi="Times New Roman" w:cs="Arial"/>
          <w:sz w:val="24"/>
        </w:rPr>
        <w:t>, em que à Prudência, com um ou dois rostos, é associado o espelho, como elemento introspectivo. Na Iconologia de C. Ripa, a memória será representada com duas caras e a prudência com três, o que comprova, mais uma vez, como ele soube compilar, fixar e divulgar as representações do imaginário clássico-medieval, existentes até aí.</w:t>
      </w:r>
    </w:p>
    <w:p w:rsidR="001B5DF0" w:rsidRDefault="001B5DF0" w:rsidP="001B5DF0">
      <w:pPr>
        <w:spacing w:before="0"/>
        <w:ind w:left="0"/>
        <w:rPr>
          <w:rFonts w:cs="Arial"/>
          <w:sz w:val="24"/>
        </w:rPr>
      </w:pPr>
      <w:r w:rsidRPr="00E237ED">
        <w:rPr>
          <w:rFonts w:cs="Arial"/>
          <w:noProof/>
          <w:sz w:val="24"/>
          <w:lang w:val="en-US"/>
        </w:rPr>
        <w:drawing>
          <wp:inline distT="0" distB="0" distL="0" distR="0">
            <wp:extent cx="1141791" cy="1828800"/>
            <wp:effectExtent l="25400" t="0" r="1209" b="0"/>
            <wp:docPr id="61" name="Picture 60" descr="Captura de tela 2014-06-28 15.2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tela 2014-06-28 15.23.17.png"/>
                    <pic:cNvPicPr/>
                  </pic:nvPicPr>
                  <pic:blipFill>
                    <a:blip r:embed="rId13" cstate="print"/>
                    <a:stretch>
                      <a:fillRect/>
                    </a:stretch>
                  </pic:blipFill>
                  <pic:spPr>
                    <a:xfrm>
                      <a:off x="0" y="0"/>
                      <a:ext cx="1142507" cy="1829947"/>
                    </a:xfrm>
                    <a:prstGeom prst="rect">
                      <a:avLst/>
                    </a:prstGeom>
                  </pic:spPr>
                </pic:pic>
              </a:graphicData>
            </a:graphic>
          </wp:inline>
        </w:drawing>
      </w:r>
    </w:p>
    <w:p w:rsidR="00D90D29" w:rsidRDefault="00614FB1" w:rsidP="00B20457">
      <w:pPr>
        <w:ind w:left="0"/>
        <w:outlineLvl w:val="0"/>
        <w:rPr>
          <w:rFonts w:ascii="Times New Roman" w:hAnsi="Times New Roman"/>
          <w:sz w:val="20"/>
        </w:rPr>
      </w:pPr>
      <w:r w:rsidRPr="008E67D1">
        <w:rPr>
          <w:rFonts w:ascii="Times New Roman" w:hAnsi="Times New Roman" w:cs="Arial"/>
          <w:sz w:val="20"/>
        </w:rPr>
        <w:t>Fig.8</w:t>
      </w:r>
      <w:r w:rsidR="001B5DF0" w:rsidRPr="008E67D1">
        <w:rPr>
          <w:rFonts w:ascii="Times New Roman" w:hAnsi="Times New Roman" w:cs="Arial"/>
          <w:sz w:val="20"/>
        </w:rPr>
        <w:t>: Prudência / desenho de A. Mantegna?, ca.1465.</w:t>
      </w:r>
      <w:r w:rsidR="008E67D1" w:rsidRPr="008E67D1">
        <w:rPr>
          <w:rFonts w:ascii="Times New Roman" w:hAnsi="Times New Roman" w:cs="Arial"/>
          <w:color w:val="FF6600"/>
          <w:sz w:val="20"/>
        </w:rPr>
        <w:t xml:space="preserve"> </w:t>
      </w:r>
      <w:r w:rsidR="008E67D1" w:rsidRPr="008E67D1">
        <w:rPr>
          <w:rFonts w:ascii="Times New Roman" w:hAnsi="Times New Roman"/>
          <w:sz w:val="20"/>
        </w:rPr>
        <w:t>© The Trustees of the British Museum.</w:t>
      </w:r>
    </w:p>
    <w:p w:rsidR="001B5DF0" w:rsidRPr="00D90D29" w:rsidRDefault="001B5DF0" w:rsidP="00D90D29">
      <w:pPr>
        <w:ind w:left="0"/>
        <w:outlineLvl w:val="0"/>
        <w:rPr>
          <w:rFonts w:ascii="Times New Roman" w:hAnsi="Times New Roman"/>
          <w:sz w:val="20"/>
        </w:rPr>
      </w:pPr>
    </w:p>
    <w:p w:rsidR="00E01749" w:rsidRPr="00813453" w:rsidRDefault="00E01749" w:rsidP="00D90D29">
      <w:pPr>
        <w:spacing w:before="0" w:line="360" w:lineRule="auto"/>
        <w:ind w:left="0" w:firstLine="720"/>
        <w:rPr>
          <w:rFonts w:ascii="Times New Roman" w:hAnsi="Times New Roman" w:cs="Arial"/>
          <w:sz w:val="24"/>
        </w:rPr>
      </w:pPr>
      <w:r w:rsidRPr="00813453">
        <w:rPr>
          <w:rFonts w:ascii="Times New Roman" w:hAnsi="Times New Roman" w:cs="Arial"/>
          <w:sz w:val="24"/>
        </w:rPr>
        <w:t>Por isso a Prudência, a virtude da sabedoria, na perspetiva da reta razão de agir, é, no Renascimento, tantas vezes representada, literária e visualmente, em associação com a Justiça</w:t>
      </w:r>
      <w:r w:rsidR="00EE3ED4">
        <w:rPr>
          <w:rStyle w:val="FootnoteReference"/>
          <w:rFonts w:ascii="Times New Roman" w:hAnsi="Times New Roman" w:cs="Arial"/>
          <w:sz w:val="24"/>
        </w:rPr>
        <w:footnoteReference w:id="22"/>
      </w:r>
      <w:r w:rsidR="009A5FD7" w:rsidRPr="00813453">
        <w:rPr>
          <w:rFonts w:ascii="Times New Roman" w:hAnsi="Times New Roman" w:cs="Arial"/>
          <w:sz w:val="24"/>
        </w:rPr>
        <w:t xml:space="preserve">. </w:t>
      </w:r>
      <w:r w:rsidRPr="00813453">
        <w:rPr>
          <w:rFonts w:ascii="Times New Roman" w:hAnsi="Times New Roman" w:cs="Arial"/>
          <w:sz w:val="24"/>
        </w:rPr>
        <w:t>Justiça que corresponde em primeiro lugar à retidão da vontade, e só posteriormente, e como consequência, concretizada nos efeitos práticos dessa virtude: dar a cada um segundo o seu direito, tornando verdadeiros e justos os atos humanos.</w:t>
      </w:r>
    </w:p>
    <w:p w:rsidR="00E01749" w:rsidRPr="00813453" w:rsidRDefault="00E01749" w:rsidP="00D90D29">
      <w:pPr>
        <w:spacing w:before="0" w:line="360" w:lineRule="auto"/>
        <w:ind w:left="0" w:firstLine="720"/>
        <w:rPr>
          <w:rFonts w:ascii="Times New Roman" w:hAnsi="Times New Roman" w:cs="Arial"/>
          <w:sz w:val="24"/>
        </w:rPr>
      </w:pPr>
      <w:r w:rsidRPr="00813453">
        <w:rPr>
          <w:rFonts w:ascii="Times New Roman" w:hAnsi="Times New Roman" w:cs="Arial"/>
          <w:sz w:val="24"/>
        </w:rPr>
        <w:t>Embora para S. Tomás de Aquino as virtudes intelectuais e morais sejam todas interdependentes, pois o hábito operativo de cada uma pressupõe e suporta as outras, percebe-se,</w:t>
      </w:r>
      <w:r w:rsidR="00D90D29">
        <w:rPr>
          <w:rFonts w:ascii="Times New Roman" w:hAnsi="Times New Roman" w:cs="Arial"/>
          <w:sz w:val="24"/>
        </w:rPr>
        <w:t xml:space="preserve"> pelo que se acabou de referir,</w:t>
      </w:r>
      <w:r w:rsidRPr="00813453">
        <w:rPr>
          <w:rFonts w:ascii="Times New Roman" w:hAnsi="Times New Roman" w:cs="Arial"/>
          <w:sz w:val="24"/>
        </w:rPr>
        <w:t xml:space="preserve"> a necessidade da estreita ligação entre Prudência e Justiça na estruturação do direito tomista. </w:t>
      </w:r>
    </w:p>
    <w:p w:rsidR="006B72A2" w:rsidRDefault="00E01749" w:rsidP="00D90D29">
      <w:pPr>
        <w:spacing w:before="0" w:line="360" w:lineRule="auto"/>
        <w:ind w:left="0" w:firstLine="720"/>
        <w:rPr>
          <w:rFonts w:ascii="Times New Roman" w:hAnsi="Times New Roman" w:cs="Arial"/>
          <w:sz w:val="24"/>
        </w:rPr>
      </w:pPr>
      <w:r w:rsidRPr="00813453">
        <w:rPr>
          <w:rFonts w:ascii="Times New Roman" w:hAnsi="Times New Roman" w:cs="Arial"/>
          <w:sz w:val="24"/>
        </w:rPr>
        <w:t>Também</w:t>
      </w:r>
      <w:r w:rsidRPr="00813453">
        <w:rPr>
          <w:rFonts w:ascii="Times New Roman" w:hAnsi="Times New Roman" w:cs="Arial"/>
          <w:color w:val="FF0000"/>
          <w:sz w:val="24"/>
        </w:rPr>
        <w:t xml:space="preserve"> </w:t>
      </w:r>
      <w:r w:rsidRPr="00813453">
        <w:rPr>
          <w:rFonts w:ascii="Times New Roman" w:hAnsi="Times New Roman" w:cs="Arial"/>
          <w:sz w:val="24"/>
        </w:rPr>
        <w:t>na personagem do Bom juiz do Fresco de Monsaraz, que recorda o arquétipo de Salomão, se concretiza o binómio Prudência/Justiça.</w:t>
      </w:r>
    </w:p>
    <w:p w:rsidR="00273A94" w:rsidRDefault="006B72A2" w:rsidP="00813453">
      <w:pPr>
        <w:spacing w:before="0" w:line="360" w:lineRule="auto"/>
        <w:ind w:left="0"/>
        <w:rPr>
          <w:rFonts w:ascii="Times New Roman" w:hAnsi="Times New Roman" w:cs="Arial"/>
          <w:sz w:val="24"/>
        </w:rPr>
      </w:pPr>
      <w:r>
        <w:rPr>
          <w:rFonts w:ascii="Times New Roman" w:hAnsi="Times New Roman" w:cs="Arial"/>
          <w:noProof/>
          <w:sz w:val="24"/>
          <w:lang w:val="en-US"/>
        </w:rPr>
        <w:drawing>
          <wp:inline distT="0" distB="0" distL="0" distR="0">
            <wp:extent cx="2946400" cy="2102594"/>
            <wp:effectExtent l="25400" t="0" r="0" b="0"/>
            <wp:docPr id="13" name="Picture 12" descr="B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m.png"/>
                    <pic:cNvPicPr/>
                  </pic:nvPicPr>
                  <pic:blipFill>
                    <a:blip r:embed="rId14"/>
                    <a:stretch>
                      <a:fillRect/>
                    </a:stretch>
                  </pic:blipFill>
                  <pic:spPr>
                    <a:xfrm>
                      <a:off x="0" y="0"/>
                      <a:ext cx="2947893" cy="2103660"/>
                    </a:xfrm>
                    <a:prstGeom prst="rect">
                      <a:avLst/>
                    </a:prstGeom>
                  </pic:spPr>
                </pic:pic>
              </a:graphicData>
            </a:graphic>
          </wp:inline>
        </w:drawing>
      </w:r>
    </w:p>
    <w:p w:rsidR="008E67D1" w:rsidRPr="008E67D1" w:rsidRDefault="008E67D1" w:rsidP="00B20457">
      <w:pPr>
        <w:spacing w:before="0"/>
        <w:ind w:left="0"/>
        <w:outlineLvl w:val="0"/>
        <w:rPr>
          <w:rFonts w:ascii="Times New Roman" w:hAnsi="Times New Roman" w:cs="Arial"/>
          <w:sz w:val="20"/>
        </w:rPr>
      </w:pPr>
      <w:r w:rsidRPr="008E67D1">
        <w:rPr>
          <w:rFonts w:ascii="Times New Roman" w:hAnsi="Times New Roman"/>
          <w:sz w:val="20"/>
        </w:rPr>
        <w:t>F</w:t>
      </w:r>
      <w:r w:rsidR="009D25D5">
        <w:rPr>
          <w:rFonts w:ascii="Times New Roman" w:hAnsi="Times New Roman"/>
          <w:sz w:val="20"/>
        </w:rPr>
        <w:t>ig</w:t>
      </w:r>
      <w:r w:rsidRPr="008E67D1">
        <w:rPr>
          <w:rFonts w:ascii="Times New Roman" w:hAnsi="Times New Roman"/>
          <w:sz w:val="20"/>
        </w:rPr>
        <w:t>.9:</w:t>
      </w:r>
      <w:r w:rsidRPr="008E67D1">
        <w:rPr>
          <w:rFonts w:ascii="Times New Roman" w:hAnsi="Times New Roman" w:cs="Arial"/>
          <w:sz w:val="20"/>
        </w:rPr>
        <w:t xml:space="preserve"> </w:t>
      </w:r>
      <w:r w:rsidRPr="008E67D1">
        <w:rPr>
          <w:rFonts w:ascii="Times New Roman" w:hAnsi="Times New Roman"/>
          <w:sz w:val="20"/>
        </w:rPr>
        <w:t xml:space="preserve">Fresco de Monsaraz. </w:t>
      </w:r>
      <w:r w:rsidRPr="008E67D1">
        <w:rPr>
          <w:rFonts w:ascii="Times New Roman" w:hAnsi="Times New Roman" w:cs="Arial"/>
          <w:sz w:val="20"/>
        </w:rPr>
        <w:t xml:space="preserve">O </w:t>
      </w:r>
      <w:r w:rsidRPr="008E67D1">
        <w:rPr>
          <w:rFonts w:ascii="Times New Roman" w:hAnsi="Times New Roman"/>
          <w:sz w:val="20"/>
        </w:rPr>
        <w:t xml:space="preserve">Bom juiz (detalhe). Fotos M.Gil © Hercules 2012. </w:t>
      </w:r>
    </w:p>
    <w:p w:rsidR="009D25D5" w:rsidRDefault="009D25D5" w:rsidP="009D25D5">
      <w:pPr>
        <w:spacing w:before="0" w:line="360" w:lineRule="auto"/>
        <w:ind w:left="0" w:firstLine="720"/>
        <w:rPr>
          <w:rFonts w:ascii="Times New Roman" w:hAnsi="Times New Roman" w:cs="Arial"/>
          <w:sz w:val="24"/>
        </w:rPr>
      </w:pPr>
    </w:p>
    <w:p w:rsidR="00E01749" w:rsidRPr="00813453" w:rsidRDefault="00E01749" w:rsidP="009D25D5">
      <w:pPr>
        <w:spacing w:before="0" w:line="360" w:lineRule="auto"/>
        <w:ind w:left="0" w:firstLine="720"/>
        <w:rPr>
          <w:rFonts w:ascii="Times New Roman" w:hAnsi="Times New Roman" w:cs="Arial"/>
          <w:sz w:val="24"/>
        </w:rPr>
      </w:pPr>
      <w:r w:rsidRPr="00813453">
        <w:rPr>
          <w:rFonts w:ascii="Times New Roman" w:hAnsi="Times New Roman" w:cs="Arial"/>
          <w:sz w:val="24"/>
        </w:rPr>
        <w:t xml:space="preserve">Este sincretismo numa única figura é amalgamado e estereotipado numa figuração com caráter icónico, ao contrário da expressiva representação do Mau juiz. </w:t>
      </w:r>
    </w:p>
    <w:p w:rsidR="00E01749" w:rsidRPr="00813453" w:rsidRDefault="00E01749" w:rsidP="00D90D29">
      <w:pPr>
        <w:spacing w:before="0" w:line="360" w:lineRule="auto"/>
        <w:ind w:left="0" w:firstLine="720"/>
        <w:rPr>
          <w:rFonts w:ascii="Times New Roman" w:hAnsi="Times New Roman" w:cs="Arial"/>
          <w:color w:val="FF0000"/>
          <w:sz w:val="24"/>
        </w:rPr>
      </w:pPr>
      <w:r w:rsidRPr="00813453">
        <w:rPr>
          <w:rFonts w:ascii="Times New Roman" w:hAnsi="Times New Roman" w:cs="Arial"/>
          <w:sz w:val="24"/>
        </w:rPr>
        <w:t>Sintetizando, as personificações ou as imagens não realistas do corpo devem ser observadas como exemplares, espelhos, que evidenciam, ao próprio e aos outros, pelo disfarce e simulação, hábitos e comportamentos morais, intelectuais e sociais.</w:t>
      </w:r>
    </w:p>
    <w:p w:rsidR="00E01749" w:rsidRPr="00273A94" w:rsidRDefault="00E01749" w:rsidP="00D90D29">
      <w:pPr>
        <w:spacing w:before="0" w:line="360" w:lineRule="auto"/>
        <w:ind w:left="0" w:firstLine="720"/>
        <w:rPr>
          <w:rFonts w:ascii="Times New Roman" w:hAnsi="Times New Roman" w:cs="Arial"/>
          <w:sz w:val="24"/>
        </w:rPr>
      </w:pPr>
      <w:r w:rsidRPr="00813453">
        <w:rPr>
          <w:rFonts w:ascii="Times New Roman" w:hAnsi="Times New Roman" w:cs="Arial"/>
          <w:sz w:val="24"/>
        </w:rPr>
        <w:t>Com dois rostos, e por oposição a este binómio, surge a personificação da injustiça e da fraude, na dupla face do rosto do mau juiz.</w:t>
      </w:r>
    </w:p>
    <w:p w:rsidR="00E01749" w:rsidRPr="00273A94" w:rsidRDefault="00E43CDC" w:rsidP="00813453">
      <w:pPr>
        <w:spacing w:before="0" w:line="360" w:lineRule="auto"/>
        <w:ind w:left="0"/>
        <w:rPr>
          <w:rFonts w:ascii="Times New Roman" w:hAnsi="Times New Roman" w:cs="Arial"/>
          <w:b/>
          <w:color w:val="FF0000"/>
          <w:sz w:val="24"/>
        </w:rPr>
      </w:pPr>
      <w:r w:rsidRPr="00273A94">
        <w:rPr>
          <w:rFonts w:ascii="Times New Roman" w:hAnsi="Times New Roman" w:cs="Arial"/>
          <w:b/>
          <w:sz w:val="24"/>
        </w:rPr>
        <w:t>3</w:t>
      </w:r>
      <w:r w:rsidR="007E398C" w:rsidRPr="00273A94">
        <w:rPr>
          <w:rFonts w:ascii="Times New Roman" w:hAnsi="Times New Roman" w:cs="Arial"/>
          <w:b/>
          <w:sz w:val="24"/>
        </w:rPr>
        <w:t>.6</w:t>
      </w:r>
      <w:r w:rsidR="00E01749" w:rsidRPr="00273A94">
        <w:rPr>
          <w:rFonts w:ascii="Times New Roman" w:hAnsi="Times New Roman" w:cs="Arial"/>
          <w:b/>
          <w:sz w:val="24"/>
        </w:rPr>
        <w:t>. A Fraude</w:t>
      </w:r>
    </w:p>
    <w:p w:rsidR="00E01749" w:rsidRPr="00813453" w:rsidRDefault="00E01749" w:rsidP="00D90D29">
      <w:pPr>
        <w:spacing w:before="0" w:line="360" w:lineRule="auto"/>
        <w:ind w:left="0" w:firstLine="720"/>
        <w:rPr>
          <w:rFonts w:ascii="Times New Roman" w:hAnsi="Times New Roman" w:cs="Arial"/>
          <w:sz w:val="24"/>
        </w:rPr>
      </w:pPr>
      <w:r w:rsidRPr="00813453">
        <w:rPr>
          <w:rFonts w:ascii="Times New Roman" w:hAnsi="Times New Roman" w:cs="Arial"/>
          <w:sz w:val="24"/>
        </w:rPr>
        <w:t>Cesare Ripa, na sua Iconologia, personifica a Fraude por oposição à Prudência, com duplo rosto e com máscara (Ripa, p.445). A Fraude tem corpo humano, mas a animalidade deste vício e das suas ações torna-se visível nos seus membros inferiores de animal predador, com garras de abutre, e cauda de escorpião.</w:t>
      </w:r>
    </w:p>
    <w:p w:rsidR="001D711F" w:rsidRPr="00813453" w:rsidRDefault="001B5DF0" w:rsidP="00813453">
      <w:pPr>
        <w:pBdr>
          <w:bottom w:val="dotted" w:sz="24" w:space="1" w:color="auto"/>
        </w:pBdr>
        <w:spacing w:before="0" w:line="360" w:lineRule="auto"/>
        <w:ind w:left="0"/>
        <w:rPr>
          <w:rFonts w:ascii="Times New Roman" w:hAnsi="Times New Roman" w:cs="Arial"/>
          <w:color w:val="C0504D" w:themeColor="accent2"/>
          <w:sz w:val="24"/>
        </w:rPr>
      </w:pPr>
      <w:r w:rsidRPr="001B5DF0">
        <w:rPr>
          <w:rFonts w:ascii="Times New Roman" w:hAnsi="Times New Roman" w:cs="Arial"/>
          <w:noProof/>
          <w:color w:val="C0504D" w:themeColor="accent2"/>
          <w:sz w:val="24"/>
          <w:lang w:val="en-US"/>
        </w:rPr>
        <w:drawing>
          <wp:inline distT="0" distB="0" distL="0" distR="0">
            <wp:extent cx="1698769" cy="1789650"/>
            <wp:effectExtent l="25400" t="0" r="3031" b="0"/>
            <wp:docPr id="45" name="Picture 15" descr="fraudeCaptura de ecrã - 2013-10-10, 18.28.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udeCaptura de ecrã - 2013-10-10, 18.28.48.png"/>
                    <pic:cNvPicPr/>
                  </pic:nvPicPr>
                  <pic:blipFill>
                    <a:blip r:embed="rId15" cstate="print">
                      <a:lum contrast="10000"/>
                    </a:blip>
                    <a:stretch>
                      <a:fillRect/>
                    </a:stretch>
                  </pic:blipFill>
                  <pic:spPr>
                    <a:xfrm flipH="1">
                      <a:off x="0" y="0"/>
                      <a:ext cx="1698283" cy="1789138"/>
                    </a:xfrm>
                    <a:prstGeom prst="rect">
                      <a:avLst/>
                    </a:prstGeom>
                  </pic:spPr>
                </pic:pic>
              </a:graphicData>
            </a:graphic>
          </wp:inline>
        </w:drawing>
      </w:r>
      <w:r w:rsidR="006B72A2" w:rsidRPr="006B72A2">
        <w:rPr>
          <w:rFonts w:ascii="Times New Roman" w:hAnsi="Times New Roman" w:cs="Arial"/>
          <w:noProof/>
          <w:color w:val="C0504D" w:themeColor="accent2"/>
          <w:sz w:val="24"/>
          <w:lang w:val="en-US"/>
        </w:rPr>
        <w:drawing>
          <wp:inline distT="0" distB="0" distL="0" distR="0">
            <wp:extent cx="1447800" cy="2110825"/>
            <wp:effectExtent l="25400" t="0" r="0" b="0"/>
            <wp:docPr id="15" name="Picture 13" descr="M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u.png"/>
                    <pic:cNvPicPr/>
                  </pic:nvPicPr>
                  <pic:blipFill>
                    <a:blip r:embed="rId16"/>
                    <a:stretch>
                      <a:fillRect/>
                    </a:stretch>
                  </pic:blipFill>
                  <pic:spPr>
                    <a:xfrm>
                      <a:off x="0" y="0"/>
                      <a:ext cx="1451940" cy="2116861"/>
                    </a:xfrm>
                    <a:prstGeom prst="rect">
                      <a:avLst/>
                    </a:prstGeom>
                  </pic:spPr>
                </pic:pic>
              </a:graphicData>
            </a:graphic>
          </wp:inline>
        </w:drawing>
      </w:r>
    </w:p>
    <w:p w:rsidR="001D711F" w:rsidRPr="00FA0A79" w:rsidRDefault="00614FB1" w:rsidP="00813453">
      <w:pPr>
        <w:pBdr>
          <w:bottom w:val="dotted" w:sz="24" w:space="1" w:color="auto"/>
        </w:pBdr>
        <w:spacing w:before="0" w:line="360" w:lineRule="auto"/>
        <w:ind w:left="0"/>
        <w:rPr>
          <w:rFonts w:ascii="Times New Roman" w:hAnsi="Times New Roman" w:cs="Arial"/>
          <w:sz w:val="20"/>
        </w:rPr>
      </w:pPr>
      <w:r>
        <w:rPr>
          <w:rFonts w:ascii="Times New Roman" w:hAnsi="Times New Roman" w:cs="Arial"/>
          <w:sz w:val="20"/>
        </w:rPr>
        <w:t>Fig.10</w:t>
      </w:r>
      <w:r w:rsidR="006B72A2">
        <w:rPr>
          <w:rFonts w:ascii="Times New Roman" w:hAnsi="Times New Roman" w:cs="Arial"/>
          <w:sz w:val="20"/>
        </w:rPr>
        <w:t xml:space="preserve"> e 11:</w:t>
      </w:r>
      <w:r w:rsidR="001D711F" w:rsidRPr="00FA0A79">
        <w:rPr>
          <w:rFonts w:ascii="Times New Roman" w:hAnsi="Times New Roman" w:cs="Arial"/>
          <w:sz w:val="20"/>
        </w:rPr>
        <w:t xml:space="preserve"> Comparação entre a Fraude</w:t>
      </w:r>
      <w:r w:rsidR="00FA0A79">
        <w:rPr>
          <w:rFonts w:ascii="Times New Roman" w:hAnsi="Times New Roman" w:cs="Arial"/>
          <w:sz w:val="20"/>
        </w:rPr>
        <w:t>, da Iconologia de Cesare Ripa (1</w:t>
      </w:r>
      <w:r w:rsidR="001D711F" w:rsidRPr="00FA0A79">
        <w:rPr>
          <w:rFonts w:ascii="Times New Roman" w:hAnsi="Times New Roman" w:cs="Arial"/>
          <w:sz w:val="20"/>
        </w:rPr>
        <w:t>603</w:t>
      </w:r>
      <w:r w:rsidR="00FA0A79">
        <w:rPr>
          <w:rFonts w:ascii="Times New Roman" w:hAnsi="Times New Roman" w:cs="Arial"/>
          <w:sz w:val="20"/>
        </w:rPr>
        <w:t>),</w:t>
      </w:r>
      <w:r w:rsidR="001D711F" w:rsidRPr="00FA0A79">
        <w:rPr>
          <w:rFonts w:ascii="Times New Roman" w:hAnsi="Times New Roman" w:cs="Arial"/>
          <w:sz w:val="20"/>
        </w:rPr>
        <w:t xml:space="preserve"> e duplo rosto do Mau Juiz, do Fresco Monsaraz </w:t>
      </w:r>
      <w:r w:rsidR="006652F8" w:rsidRPr="00FA0A79">
        <w:rPr>
          <w:rFonts w:ascii="Times New Roman" w:hAnsi="Times New Roman"/>
          <w:sz w:val="20"/>
        </w:rPr>
        <w:t xml:space="preserve">Fotos M.Gil ©Hercules 2012. </w:t>
      </w:r>
    </w:p>
    <w:p w:rsidR="00273A94" w:rsidRPr="0084779C" w:rsidRDefault="00E01749" w:rsidP="00D90D29">
      <w:pPr>
        <w:pBdr>
          <w:bottom w:val="dotted" w:sz="24" w:space="1" w:color="auto"/>
        </w:pBdr>
        <w:spacing w:before="0" w:line="360" w:lineRule="auto"/>
        <w:ind w:left="0" w:firstLine="720"/>
        <w:rPr>
          <w:rFonts w:ascii="Times New Roman" w:hAnsi="Times New Roman"/>
          <w:sz w:val="24"/>
        </w:rPr>
      </w:pPr>
      <w:r w:rsidRPr="00813453">
        <w:rPr>
          <w:rFonts w:ascii="Times New Roman" w:hAnsi="Times New Roman" w:cs="Arial"/>
          <w:sz w:val="24"/>
        </w:rPr>
        <w:t>Ripa, seguindo Dante, baseia-se na descrição de Gérião, no Inferno da Divina Comédia. Para Dante, o monstro mitológico (de três cabeças, segundo Hesíodo, vencido pelo argonauta Jasão), em estreita associação com a usura, representa a Fraude e encarna todos os vícios. A Idade Média apropria-se de Gérião e transforma-o num daqueles monstros medievais inacessíveis e fantásticos. Assim, a imaginação de Dante e dos seus ilustradores renascentistas transfigura a personagem do mito grego, adaptando-o à mundividência cristã</w:t>
      </w:r>
      <w:r w:rsidR="00D83492" w:rsidRPr="00813453">
        <w:rPr>
          <w:rFonts w:ascii="Times New Roman" w:hAnsi="Times New Roman" w:cs="Arial"/>
          <w:sz w:val="24"/>
        </w:rPr>
        <w:t>. Na Bíblia, desde o</w:t>
      </w:r>
      <w:r w:rsidR="00D83492" w:rsidRPr="00813453">
        <w:rPr>
          <w:rFonts w:ascii="Times New Roman" w:hAnsi="Times New Roman"/>
          <w:sz w:val="24"/>
        </w:rPr>
        <w:t xml:space="preserve"> Antigo Testamento</w:t>
      </w:r>
      <w:r w:rsidRPr="00813453">
        <w:rPr>
          <w:rFonts w:ascii="Times New Roman" w:hAnsi="Times New Roman"/>
          <w:sz w:val="24"/>
        </w:rPr>
        <w:t xml:space="preserve"> </w:t>
      </w:r>
      <w:r w:rsidR="00D83492" w:rsidRPr="00813453">
        <w:rPr>
          <w:rFonts w:ascii="Times New Roman" w:hAnsi="Times New Roman"/>
          <w:sz w:val="24"/>
        </w:rPr>
        <w:t xml:space="preserve">que </w:t>
      </w:r>
      <w:r w:rsidRPr="00813453">
        <w:rPr>
          <w:rFonts w:ascii="Times New Roman" w:hAnsi="Times New Roman"/>
          <w:sz w:val="24"/>
        </w:rPr>
        <w:t xml:space="preserve">a fraude, ou a iniquidade, </w:t>
      </w:r>
      <w:r w:rsidR="00D83492" w:rsidRPr="00813453">
        <w:rPr>
          <w:rFonts w:ascii="Times New Roman" w:hAnsi="Times New Roman"/>
          <w:sz w:val="24"/>
        </w:rPr>
        <w:t>se opõe</w:t>
      </w:r>
      <w:r w:rsidRPr="00813453">
        <w:rPr>
          <w:rFonts w:ascii="Times New Roman" w:hAnsi="Times New Roman"/>
          <w:sz w:val="24"/>
        </w:rPr>
        <w:t xml:space="preserve"> à santidade e à justiça: “não furtareis, não direis mentiras, nem cometereis fraudes uns com os outros. Não prestareis juramento falso, invocando o meu nome, pois profanarias o nome do teu Deus...”</w:t>
      </w:r>
      <w:r w:rsidR="002B096B" w:rsidRPr="00813453">
        <w:rPr>
          <w:rStyle w:val="FootnoteReference"/>
          <w:rFonts w:ascii="Times New Roman" w:hAnsi="Times New Roman"/>
          <w:sz w:val="24"/>
        </w:rPr>
        <w:footnoteReference w:id="23"/>
      </w:r>
      <w:r w:rsidR="0084779C">
        <w:rPr>
          <w:rFonts w:ascii="Times New Roman" w:hAnsi="Times New Roman"/>
          <w:sz w:val="24"/>
        </w:rPr>
        <w:t>.</w:t>
      </w:r>
      <w:r w:rsidR="00D83492" w:rsidRPr="00813453">
        <w:rPr>
          <w:rFonts w:ascii="Times New Roman" w:hAnsi="Times New Roman"/>
          <w:sz w:val="24"/>
        </w:rPr>
        <w:t xml:space="preserve"> E no Evangelho de S. João</w:t>
      </w:r>
      <w:r w:rsidR="0084779C">
        <w:rPr>
          <w:rFonts w:ascii="Times New Roman" w:hAnsi="Times New Roman"/>
          <w:sz w:val="24"/>
        </w:rPr>
        <w:t xml:space="preserve"> (v.7-18)</w:t>
      </w:r>
      <w:r w:rsidR="00D83492" w:rsidRPr="00813453">
        <w:rPr>
          <w:rFonts w:ascii="Times New Roman" w:hAnsi="Times New Roman"/>
          <w:sz w:val="24"/>
        </w:rPr>
        <w:t>, Jesus afirma “aquele que procura a glória de quemo enviou é verdadeiro e nele não há fraude”</w:t>
      </w:r>
      <w:r w:rsidR="0084779C">
        <w:rPr>
          <w:rFonts w:ascii="Times New Roman" w:hAnsi="Times New Roman"/>
          <w:sz w:val="20"/>
        </w:rPr>
        <w:t xml:space="preserve">. </w:t>
      </w:r>
      <w:r w:rsidR="009A5FD7" w:rsidRPr="00813453">
        <w:rPr>
          <w:rFonts w:ascii="Times New Roman" w:hAnsi="Times New Roman"/>
          <w:sz w:val="24"/>
        </w:rPr>
        <w:t>N</w:t>
      </w:r>
      <w:r w:rsidRPr="00813453">
        <w:rPr>
          <w:rFonts w:ascii="Times New Roman" w:hAnsi="Times New Roman"/>
          <w:sz w:val="24"/>
        </w:rPr>
        <w:t>o Livro do Inferno, de Dante, a Fraude</w:t>
      </w:r>
      <w:r w:rsidR="00EE3ED4">
        <w:rPr>
          <w:rStyle w:val="FootnoteReference"/>
          <w:rFonts w:ascii="Times New Roman" w:hAnsi="Times New Roman"/>
          <w:sz w:val="24"/>
        </w:rPr>
        <w:footnoteReference w:id="24"/>
      </w:r>
      <w:r w:rsidRPr="00813453">
        <w:rPr>
          <w:rFonts w:ascii="Times New Roman" w:hAnsi="Times New Roman"/>
          <w:sz w:val="24"/>
        </w:rPr>
        <w:t xml:space="preserve">  associada à traição, surge em  simétrica oposição à Justiça de Deus e ao Espírito dos Justos: “ Esta é a fera com a cauda aguda, passa montes, os muros vai rompendo e as armas e o mundo infecta e muda!...e aquela torpe imagem que defrauda lá veio e avançou cabeça e busto, mas sobre a borda não puxou a cauda por face tinha a face de homem justo, tão benignas feições fora revela; e de serpente o resto era robusto</w:t>
      </w:r>
      <w:r w:rsidR="0084779C">
        <w:rPr>
          <w:rFonts w:ascii="Times New Roman" w:hAnsi="Times New Roman"/>
          <w:sz w:val="24"/>
        </w:rPr>
        <w:t>”. (DANTE, C</w:t>
      </w:r>
      <w:r w:rsidR="0084779C" w:rsidRPr="0084779C">
        <w:rPr>
          <w:rFonts w:ascii="Times New Roman" w:hAnsi="Times New Roman"/>
          <w:sz w:val="24"/>
        </w:rPr>
        <w:t xml:space="preserve">anto </w:t>
      </w:r>
      <w:r w:rsidR="0084779C" w:rsidRPr="0084779C">
        <w:rPr>
          <w:rFonts w:ascii="Times New Roman" w:hAnsi="Times New Roman" w:cs="Arial"/>
          <w:sz w:val="24"/>
        </w:rPr>
        <w:t>XVII, 1-10, p.163</w:t>
      </w:r>
      <w:r w:rsidR="0084779C" w:rsidRPr="0084779C">
        <w:rPr>
          <w:rFonts w:ascii="Times New Roman" w:hAnsi="Times New Roman"/>
          <w:sz w:val="24"/>
        </w:rPr>
        <w:t>).</w:t>
      </w:r>
    </w:p>
    <w:p w:rsidR="001B5DF0" w:rsidRDefault="00E01749" w:rsidP="00D90D29">
      <w:pPr>
        <w:pStyle w:val="FootnoteText"/>
        <w:spacing w:line="360" w:lineRule="auto"/>
        <w:ind w:left="0" w:firstLine="720"/>
        <w:rPr>
          <w:rFonts w:ascii="Times New Roman" w:hAnsi="Times New Roman" w:cs="Arial"/>
        </w:rPr>
      </w:pPr>
      <w:r w:rsidRPr="00813453">
        <w:rPr>
          <w:rFonts w:ascii="Times New Roman" w:hAnsi="Times New Roman"/>
        </w:rPr>
        <w:t>Também em trezentos, em Siena, no fresco do Bom Governo, no painel do Mau G</w:t>
      </w:r>
      <w:r w:rsidR="00921494" w:rsidRPr="00813453">
        <w:rPr>
          <w:rFonts w:ascii="Times New Roman" w:hAnsi="Times New Roman"/>
        </w:rPr>
        <w:t>overno, sentada à direita do Tirano está a Fraude</w:t>
      </w:r>
      <w:r w:rsidRPr="00813453">
        <w:rPr>
          <w:rFonts w:ascii="Times New Roman" w:hAnsi="Times New Roman"/>
        </w:rPr>
        <w:t xml:space="preserve">. </w:t>
      </w:r>
      <w:r w:rsidR="00921494" w:rsidRPr="00813453">
        <w:rPr>
          <w:rFonts w:ascii="Times New Roman" w:hAnsi="Times New Roman" w:cs="Arial"/>
        </w:rPr>
        <w:t>O Tirano, enquanto diabo, tem como conselheiros a Perversidade, o Fingimento, a Fraude, o Furor, a Divisão e a Ira. Superiormente, o Orgulho, a Avareza e a Vã Glória, aconselham-no. Todos aprisionam a Justiça</w:t>
      </w:r>
      <w:r w:rsidR="00851B6A">
        <w:rPr>
          <w:rStyle w:val="FootnoteReference"/>
          <w:rFonts w:ascii="Times New Roman" w:hAnsi="Times New Roman" w:cs="Arial"/>
        </w:rPr>
        <w:footnoteReference w:id="25"/>
      </w:r>
      <w:r w:rsidRPr="00813453">
        <w:rPr>
          <w:rFonts w:ascii="Times New Roman" w:hAnsi="Times New Roman" w:cs="Arial"/>
        </w:rPr>
        <w:t>.</w:t>
      </w:r>
    </w:p>
    <w:p w:rsidR="001B5DF0" w:rsidRPr="001B5DF0" w:rsidRDefault="001B5DF0" w:rsidP="001B5DF0">
      <w:pPr>
        <w:spacing w:before="0"/>
        <w:ind w:left="0"/>
        <w:rPr>
          <w:rFonts w:cs="Arial"/>
          <w:sz w:val="24"/>
        </w:rPr>
      </w:pPr>
      <w:r w:rsidRPr="00E237ED">
        <w:rPr>
          <w:rFonts w:cs="Arial"/>
          <w:noProof/>
          <w:sz w:val="24"/>
          <w:lang w:val="en-US"/>
        </w:rPr>
        <w:drawing>
          <wp:inline distT="0" distB="0" distL="0" distR="0">
            <wp:extent cx="4318000" cy="2724079"/>
            <wp:effectExtent l="25400" t="0" r="0" b="0"/>
            <wp:docPr id="70" name="Picture 40" descr="ambrogi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brogio10.jpg"/>
                    <pic:cNvPicPr/>
                  </pic:nvPicPr>
                  <pic:blipFill>
                    <a:blip r:embed="rId17" cstate="print"/>
                    <a:stretch>
                      <a:fillRect/>
                    </a:stretch>
                  </pic:blipFill>
                  <pic:spPr>
                    <a:xfrm>
                      <a:off x="0" y="0"/>
                      <a:ext cx="4322740" cy="2727069"/>
                    </a:xfrm>
                    <a:prstGeom prst="rect">
                      <a:avLst/>
                    </a:prstGeom>
                  </pic:spPr>
                </pic:pic>
              </a:graphicData>
            </a:graphic>
          </wp:inline>
        </w:drawing>
      </w:r>
    </w:p>
    <w:p w:rsidR="008E67D1" w:rsidRPr="008E67D1" w:rsidRDefault="006B72A2" w:rsidP="00B20457">
      <w:pPr>
        <w:pStyle w:val="BodyText"/>
        <w:spacing w:before="0"/>
        <w:ind w:left="0"/>
        <w:outlineLvl w:val="0"/>
        <w:rPr>
          <w:rFonts w:ascii="Times New Roman" w:hAnsi="Times New Roman"/>
          <w:sz w:val="20"/>
        </w:rPr>
      </w:pPr>
      <w:r>
        <w:rPr>
          <w:rFonts w:ascii="Times New Roman" w:hAnsi="Times New Roman" w:cs="Arial"/>
          <w:sz w:val="20"/>
        </w:rPr>
        <w:t>Fig.12</w:t>
      </w:r>
      <w:r w:rsidR="001B5DF0" w:rsidRPr="001B5DF0">
        <w:rPr>
          <w:rFonts w:ascii="Times New Roman" w:hAnsi="Times New Roman" w:cs="Arial"/>
          <w:sz w:val="20"/>
        </w:rPr>
        <w:t>: O Mau Governo</w:t>
      </w:r>
      <w:r w:rsidR="008E67D1">
        <w:rPr>
          <w:rFonts w:ascii="Times New Roman" w:hAnsi="Times New Roman"/>
          <w:sz w:val="20"/>
        </w:rPr>
        <w:t xml:space="preserve"> / Fresco de A.</w:t>
      </w:r>
      <w:r w:rsidR="001B5DF0" w:rsidRPr="001B5DF0">
        <w:rPr>
          <w:rFonts w:ascii="Times New Roman" w:hAnsi="Times New Roman"/>
          <w:sz w:val="20"/>
        </w:rPr>
        <w:t xml:space="preserve"> Lorenzetti,1337-39</w:t>
      </w:r>
      <w:r w:rsidR="001B5DF0" w:rsidRPr="008E67D1">
        <w:rPr>
          <w:rFonts w:ascii="Times New Roman" w:hAnsi="Times New Roman"/>
          <w:sz w:val="20"/>
        </w:rPr>
        <w:t>.</w:t>
      </w:r>
      <w:r w:rsidR="008E67D1" w:rsidRPr="008E67D1">
        <w:rPr>
          <w:rFonts w:ascii="Times New Roman" w:hAnsi="Times New Roman"/>
          <w:sz w:val="20"/>
        </w:rPr>
        <w:t>© Museu Cívico da Comuna de Siena</w:t>
      </w:r>
    </w:p>
    <w:p w:rsidR="001B5DF0" w:rsidRPr="001B5DF0" w:rsidRDefault="001B5DF0" w:rsidP="00132006">
      <w:pPr>
        <w:pStyle w:val="BodyText"/>
        <w:spacing w:before="0"/>
        <w:ind w:left="0"/>
        <w:outlineLvl w:val="0"/>
        <w:rPr>
          <w:rFonts w:ascii="Times New Roman" w:hAnsi="Times New Roman"/>
          <w:sz w:val="20"/>
        </w:rPr>
      </w:pPr>
    </w:p>
    <w:p w:rsidR="00E01749" w:rsidRPr="00813453" w:rsidRDefault="00E01749" w:rsidP="00D90D29">
      <w:pPr>
        <w:spacing w:before="0" w:line="360" w:lineRule="auto"/>
        <w:ind w:left="0" w:firstLine="720"/>
        <w:rPr>
          <w:rFonts w:ascii="Times New Roman" w:hAnsi="Times New Roman" w:cs="Arial"/>
          <w:sz w:val="24"/>
        </w:rPr>
      </w:pPr>
      <w:r w:rsidRPr="00813453">
        <w:rPr>
          <w:rFonts w:ascii="Times New Roman" w:hAnsi="Times New Roman" w:cs="Arial"/>
          <w:sz w:val="24"/>
        </w:rPr>
        <w:t>Segundo Dante e Ripa, a F</w:t>
      </w:r>
      <w:r w:rsidR="00921494" w:rsidRPr="00813453">
        <w:rPr>
          <w:rFonts w:ascii="Times New Roman" w:hAnsi="Times New Roman" w:cs="Arial"/>
          <w:sz w:val="24"/>
        </w:rPr>
        <w:t xml:space="preserve">raude denota sempre boa aparência e bondade, </w:t>
      </w:r>
      <w:r w:rsidR="000F56E2" w:rsidRPr="00813453">
        <w:rPr>
          <w:rFonts w:ascii="Times New Roman" w:hAnsi="Times New Roman" w:cs="Arial"/>
          <w:sz w:val="24"/>
        </w:rPr>
        <w:t>e por isso deve ser representada</w:t>
      </w:r>
      <w:r w:rsidR="00921494" w:rsidRPr="00813453">
        <w:rPr>
          <w:rFonts w:ascii="Times New Roman" w:hAnsi="Times New Roman" w:cs="Arial"/>
          <w:sz w:val="24"/>
        </w:rPr>
        <w:t xml:space="preserve"> com dois rostos, um simulando beleza e juventude, e outro, velhice e maldade. Numa mão segura dois corações (prova da divisão, de profunda instabilidade interior e emocional, e de ausência de escrúpulos), e com a outra, uma máscara, indicando a falsidade do seu carácter.</w:t>
      </w:r>
      <w:r w:rsidRPr="00813453">
        <w:rPr>
          <w:rFonts w:ascii="Times New Roman" w:hAnsi="Times New Roman" w:cs="Arial"/>
          <w:sz w:val="24"/>
        </w:rPr>
        <w:t xml:space="preserve"> Bronzino em meados do século XVI, na Alegoria de Vénus e Cupido, dá-lhe a primazia, embora de forma velada</w:t>
      </w:r>
      <w:r w:rsidR="00A7398F">
        <w:rPr>
          <w:rStyle w:val="FootnoteReference"/>
          <w:rFonts w:ascii="Times New Roman" w:hAnsi="Times New Roman" w:cs="Arial"/>
          <w:sz w:val="24"/>
        </w:rPr>
        <w:footnoteReference w:id="26"/>
      </w:r>
      <w:r w:rsidR="002908D6">
        <w:rPr>
          <w:rFonts w:ascii="Times New Roman" w:hAnsi="Times New Roman" w:cs="Arial"/>
          <w:sz w:val="24"/>
        </w:rPr>
        <w:t>.</w:t>
      </w:r>
    </w:p>
    <w:p w:rsidR="00921494" w:rsidRPr="00813453" w:rsidRDefault="00921494" w:rsidP="00D90D29">
      <w:pPr>
        <w:spacing w:before="0" w:line="360" w:lineRule="auto"/>
        <w:ind w:left="0" w:firstLine="720"/>
        <w:rPr>
          <w:rFonts w:ascii="Times New Roman" w:hAnsi="Times New Roman" w:cs="Arial"/>
          <w:sz w:val="24"/>
        </w:rPr>
      </w:pPr>
      <w:r w:rsidRPr="00813453">
        <w:rPr>
          <w:rFonts w:ascii="Times New Roman" w:hAnsi="Times New Roman" w:cs="Arial"/>
          <w:sz w:val="24"/>
        </w:rPr>
        <w:t>Voltando ao complexo juiz de Monsaraz, e ao duplo rosto do mau juiz, algumas questões para concluir: Que elementos da personificação da fraude, e como são incorporados na imagem do juiz corrupto?</w:t>
      </w:r>
      <w:r w:rsidR="00E01749" w:rsidRPr="00813453">
        <w:rPr>
          <w:rFonts w:ascii="Times New Roman" w:hAnsi="Times New Roman" w:cs="Arial"/>
          <w:sz w:val="24"/>
        </w:rPr>
        <w:t xml:space="preserve"> </w:t>
      </w:r>
      <w:r w:rsidRPr="00813453">
        <w:rPr>
          <w:rFonts w:ascii="Times New Roman" w:hAnsi="Times New Roman" w:cs="Arial"/>
          <w:sz w:val="24"/>
        </w:rPr>
        <w:t xml:space="preserve">Porque é que acrescentou o autor do fresco à figuração da </w:t>
      </w:r>
      <w:r w:rsidR="00E01749" w:rsidRPr="00813453">
        <w:rPr>
          <w:rFonts w:ascii="Times New Roman" w:hAnsi="Times New Roman" w:cs="Arial"/>
          <w:sz w:val="24"/>
        </w:rPr>
        <w:t>I</w:t>
      </w:r>
      <w:r w:rsidRPr="00813453">
        <w:rPr>
          <w:rFonts w:ascii="Times New Roman" w:hAnsi="Times New Roman" w:cs="Arial"/>
          <w:sz w:val="24"/>
        </w:rPr>
        <w:t>nju</w:t>
      </w:r>
      <w:r w:rsidR="00E01749" w:rsidRPr="00813453">
        <w:rPr>
          <w:rFonts w:ascii="Times New Roman" w:hAnsi="Times New Roman" w:cs="Arial"/>
          <w:sz w:val="24"/>
        </w:rPr>
        <w:t>stiça de Giotto e ao modelo do J</w:t>
      </w:r>
      <w:r w:rsidRPr="00813453">
        <w:rPr>
          <w:rFonts w:ascii="Times New Roman" w:hAnsi="Times New Roman" w:cs="Arial"/>
          <w:sz w:val="24"/>
        </w:rPr>
        <w:t>uiz corrupto de Holbein, a</w:t>
      </w:r>
      <w:r w:rsidR="00E01749" w:rsidRPr="00813453">
        <w:rPr>
          <w:rFonts w:ascii="Times New Roman" w:hAnsi="Times New Roman" w:cs="Arial"/>
          <w:sz w:val="24"/>
        </w:rPr>
        <w:t xml:space="preserve"> Fraude de duas caras de Dante-</w:t>
      </w:r>
      <w:r w:rsidRPr="00813453">
        <w:rPr>
          <w:rFonts w:ascii="Times New Roman" w:hAnsi="Times New Roman" w:cs="Arial"/>
          <w:sz w:val="24"/>
        </w:rPr>
        <w:t>Ripa?</w:t>
      </w:r>
      <w:r w:rsidR="00E01749" w:rsidRPr="00813453">
        <w:rPr>
          <w:rFonts w:ascii="Times New Roman" w:hAnsi="Times New Roman" w:cs="Arial"/>
          <w:sz w:val="24"/>
        </w:rPr>
        <w:t xml:space="preserve"> </w:t>
      </w:r>
      <w:r w:rsidRPr="00813453">
        <w:rPr>
          <w:rFonts w:ascii="Times New Roman" w:hAnsi="Times New Roman" w:cs="Arial"/>
          <w:sz w:val="24"/>
        </w:rPr>
        <w:t xml:space="preserve">E não se apropriou de outros símbolos da injustiça, também referidos por Ripa, como, por exemplo, a corrupção dos juízes? </w:t>
      </w:r>
      <w:r w:rsidR="00E01749" w:rsidRPr="00813453">
        <w:rPr>
          <w:rFonts w:ascii="Times New Roman" w:hAnsi="Times New Roman" w:cs="Arial"/>
          <w:sz w:val="24"/>
        </w:rPr>
        <w:t xml:space="preserve"> </w:t>
      </w:r>
      <w:r w:rsidRPr="00813453">
        <w:rPr>
          <w:rFonts w:ascii="Times New Roman" w:hAnsi="Times New Roman" w:cs="Arial"/>
          <w:sz w:val="24"/>
        </w:rPr>
        <w:t xml:space="preserve">Finalmente, que sentidos </w:t>
      </w:r>
      <w:r w:rsidR="00E01749" w:rsidRPr="00813453">
        <w:rPr>
          <w:rFonts w:ascii="Times New Roman" w:hAnsi="Times New Roman" w:cs="Arial"/>
          <w:sz w:val="24"/>
        </w:rPr>
        <w:t>do fresco são reforçados com esta simbiose d</w:t>
      </w:r>
      <w:r w:rsidRPr="00813453">
        <w:rPr>
          <w:rFonts w:ascii="Times New Roman" w:hAnsi="Times New Roman" w:cs="Arial"/>
          <w:sz w:val="24"/>
        </w:rPr>
        <w:t>e atributo</w:t>
      </w:r>
      <w:r w:rsidR="00E01749" w:rsidRPr="00813453">
        <w:rPr>
          <w:rFonts w:ascii="Times New Roman" w:hAnsi="Times New Roman" w:cs="Arial"/>
          <w:sz w:val="24"/>
        </w:rPr>
        <w:t>s</w:t>
      </w:r>
      <w:r w:rsidRPr="00813453">
        <w:rPr>
          <w:rFonts w:ascii="Times New Roman" w:hAnsi="Times New Roman" w:cs="Arial"/>
          <w:sz w:val="24"/>
        </w:rPr>
        <w:t>?</w:t>
      </w:r>
    </w:p>
    <w:p w:rsidR="00921494" w:rsidRPr="00813453" w:rsidRDefault="00921494" w:rsidP="00D90D29">
      <w:pPr>
        <w:spacing w:before="0" w:line="360" w:lineRule="auto"/>
        <w:ind w:left="0" w:firstLine="720"/>
        <w:rPr>
          <w:rFonts w:ascii="Times New Roman" w:hAnsi="Times New Roman" w:cs="Arial"/>
          <w:sz w:val="24"/>
        </w:rPr>
      </w:pPr>
      <w:r w:rsidRPr="00813453">
        <w:rPr>
          <w:rFonts w:ascii="Times New Roman" w:hAnsi="Times New Roman" w:cs="Arial"/>
          <w:sz w:val="24"/>
        </w:rPr>
        <w:t>O autor do fresco retira da personificação da fraude a ideia de dispersão, de divisão e traição, de disfarce e duplicidade. Toda esta desmesura se concretiza na dupla face do juiz, na abertura dos braços e das mãos ao exterior, e no gesto de posse das mãos (dinheiro e perdizes). Reforça o sentido de mentira, de negação, de fingimento e de simulação: “aquela torpe imagem que defrauda” oposta à verdade, e à justiça. Por isso a Fraude em Dante ocupa o oitavo Círculo do Inferno, só antecedida pelos tiranos.</w:t>
      </w:r>
      <w:r w:rsidR="00D90D29">
        <w:rPr>
          <w:rFonts w:ascii="Times New Roman" w:hAnsi="Times New Roman" w:cs="Arial"/>
          <w:sz w:val="24"/>
        </w:rPr>
        <w:t xml:space="preserve"> </w:t>
      </w:r>
      <w:r w:rsidRPr="00813453">
        <w:rPr>
          <w:rFonts w:ascii="Times New Roman" w:hAnsi="Times New Roman" w:cs="Arial"/>
          <w:sz w:val="24"/>
        </w:rPr>
        <w:t xml:space="preserve">A fraude, enquanto hábito global interior, profundo, do ser, só pode ser deformação, negação da verdade, da moral, do direito e da justiça. Integra todos os vícios e por isso corresponde à Imoralidade, tal como a Justiça, associada a Sabedoria e Imortalidade, é a mãe de todas as virtudes. </w:t>
      </w:r>
    </w:p>
    <w:p w:rsidR="00921494" w:rsidRPr="00813453" w:rsidRDefault="00921494" w:rsidP="00D90D29">
      <w:pPr>
        <w:spacing w:before="0" w:line="360" w:lineRule="auto"/>
        <w:ind w:left="0" w:firstLine="720"/>
        <w:rPr>
          <w:rFonts w:ascii="Times New Roman" w:hAnsi="Times New Roman" w:cs="Arial"/>
          <w:sz w:val="24"/>
        </w:rPr>
      </w:pPr>
      <w:r w:rsidRPr="00813453">
        <w:rPr>
          <w:rFonts w:ascii="Times New Roman" w:hAnsi="Times New Roman" w:cs="Arial"/>
          <w:sz w:val="24"/>
        </w:rPr>
        <w:t xml:space="preserve">O sentido de </w:t>
      </w:r>
      <w:r w:rsidR="009C44F3" w:rsidRPr="00813453">
        <w:rPr>
          <w:rFonts w:ascii="Times New Roman" w:hAnsi="Times New Roman" w:cs="Arial"/>
          <w:sz w:val="24"/>
        </w:rPr>
        <w:t>falsidade e de traição, ligad</w:t>
      </w:r>
      <w:r w:rsidRPr="00813453">
        <w:rPr>
          <w:rFonts w:ascii="Times New Roman" w:hAnsi="Times New Roman" w:cs="Arial"/>
          <w:sz w:val="24"/>
        </w:rPr>
        <w:t>o à máscara, é valorizado, ao deslocá-la de uma das mãos da Fraude para o rosto do juiz, reforçando assim a sua plena identidade enquanto Injustiça, de aparência benigna e bondosa</w:t>
      </w:r>
      <w:r w:rsidR="00E01749" w:rsidRPr="00813453">
        <w:rPr>
          <w:rFonts w:ascii="Times New Roman" w:hAnsi="Times New Roman" w:cs="Arial"/>
          <w:sz w:val="24"/>
        </w:rPr>
        <w:t>.</w:t>
      </w:r>
      <w:r w:rsidRPr="00813453">
        <w:rPr>
          <w:rFonts w:ascii="Times New Roman" w:hAnsi="Times New Roman" w:cs="Arial"/>
          <w:sz w:val="24"/>
        </w:rPr>
        <w:t xml:space="preserve"> O lado esquerdo do rosto do juiz corresponde ao rosto da Injustiça de Giotto na capela Scrovegni. Ao desenhar a outra face do rosto, simulando uma máscara, o pintor está a evidenciar o significado específico da fraude e a profundidade da simulação. </w:t>
      </w:r>
    </w:p>
    <w:p w:rsidR="00921494" w:rsidRPr="00813453" w:rsidRDefault="00921494" w:rsidP="00D90D29">
      <w:pPr>
        <w:spacing w:before="0" w:line="360" w:lineRule="auto"/>
        <w:ind w:left="0" w:firstLine="720"/>
        <w:rPr>
          <w:rFonts w:ascii="Times New Roman" w:hAnsi="Times New Roman" w:cs="Arial"/>
          <w:sz w:val="24"/>
        </w:rPr>
      </w:pPr>
      <w:r w:rsidRPr="00813453">
        <w:rPr>
          <w:rFonts w:ascii="Times New Roman" w:hAnsi="Times New Roman" w:cs="Arial"/>
          <w:sz w:val="24"/>
        </w:rPr>
        <w:t>Também a atitude de corrupção em relação ao poder (e de desmesura, que acaba por ser auto-destrutiva), nos</w:t>
      </w:r>
      <w:r w:rsidR="00E01749" w:rsidRPr="00813453">
        <w:rPr>
          <w:rFonts w:ascii="Times New Roman" w:hAnsi="Times New Roman" w:cs="Arial"/>
          <w:sz w:val="24"/>
        </w:rPr>
        <w:t xml:space="preserve"> surge reforçada em relação ao J</w:t>
      </w:r>
      <w:r w:rsidRPr="00813453">
        <w:rPr>
          <w:rFonts w:ascii="Times New Roman" w:hAnsi="Times New Roman" w:cs="Arial"/>
          <w:sz w:val="24"/>
        </w:rPr>
        <w:t>uiz corrupto de Holbein, por a duplicação de bens, em ambas as mãos, exigir que ele solte a vara da justiça, que já está totalmente controlada pelas garras do diabo.</w:t>
      </w:r>
    </w:p>
    <w:p w:rsidR="00921494" w:rsidRPr="00813453" w:rsidRDefault="00921494" w:rsidP="00D90D29">
      <w:pPr>
        <w:spacing w:before="0" w:line="360" w:lineRule="auto"/>
        <w:ind w:left="0" w:firstLine="720"/>
        <w:rPr>
          <w:rFonts w:ascii="Times New Roman" w:hAnsi="Times New Roman" w:cs="Arial"/>
          <w:sz w:val="24"/>
        </w:rPr>
      </w:pPr>
      <w:r w:rsidRPr="00813453">
        <w:rPr>
          <w:rFonts w:ascii="Times New Roman" w:hAnsi="Times New Roman" w:cs="Arial"/>
          <w:sz w:val="24"/>
        </w:rPr>
        <w:t xml:space="preserve">Finalmente, o autor do desenho do Fresco de Monsaraz não escolhe a cegueira, nem a imagem dos olhos vendados, para caracterizar a injustiça do juiz, mas opta por um rosto de dupla face. Parece querer na linha do direito tomista, por um processo continuado de aproximação e de rejeição, obrigar a refletir sobre o valor da vontade constante e perpétua nos atos humanos e judiciais. </w:t>
      </w:r>
    </w:p>
    <w:p w:rsidR="00921494" w:rsidRPr="00813453" w:rsidRDefault="00921494" w:rsidP="00D90D29">
      <w:pPr>
        <w:spacing w:before="0" w:line="360" w:lineRule="auto"/>
        <w:ind w:left="0" w:firstLine="720"/>
        <w:rPr>
          <w:rFonts w:ascii="Times New Roman" w:hAnsi="Times New Roman" w:cs="Arial"/>
          <w:sz w:val="24"/>
        </w:rPr>
      </w:pPr>
      <w:r w:rsidRPr="00813453">
        <w:rPr>
          <w:rFonts w:ascii="Times New Roman" w:hAnsi="Times New Roman" w:cs="Arial"/>
          <w:sz w:val="24"/>
        </w:rPr>
        <w:t xml:space="preserve">Em último, o exercício de uma justa justiça humana dependia, e fundamentava-se, na prática da liberdade cristã: a virtude torna boas as acções daqueles que a praticam. E daí as virtudes práticas e os atributos morais, enquanto hábitos, serem a estrutura do direito e da política, enquanto ciência do governo, para S. Tomás de Aquino.  </w:t>
      </w:r>
    </w:p>
    <w:p w:rsidR="00102AB7" w:rsidRDefault="00921494" w:rsidP="00D90D29">
      <w:pPr>
        <w:spacing w:before="0" w:line="360" w:lineRule="auto"/>
        <w:ind w:left="0" w:firstLine="720"/>
        <w:rPr>
          <w:rFonts w:ascii="Times New Roman" w:hAnsi="Times New Roman" w:cs="Arial"/>
          <w:sz w:val="24"/>
        </w:rPr>
      </w:pPr>
      <w:r w:rsidRPr="00813453">
        <w:rPr>
          <w:rFonts w:ascii="Times New Roman" w:hAnsi="Times New Roman" w:cs="Arial"/>
          <w:sz w:val="24"/>
        </w:rPr>
        <w:t>Num primeiro momento, e inconscientemente, a dupla face do juiz é associada a Jano e à Prudência, e depois aproximada da Justiça, re</w:t>
      </w:r>
      <w:r w:rsidR="00432C37" w:rsidRPr="00813453">
        <w:rPr>
          <w:rFonts w:ascii="Times New Roman" w:hAnsi="Times New Roman" w:cs="Arial"/>
          <w:sz w:val="24"/>
        </w:rPr>
        <w:t>forçando o valor da virtude polí</w:t>
      </w:r>
      <w:r w:rsidRPr="00813453">
        <w:rPr>
          <w:rFonts w:ascii="Times New Roman" w:hAnsi="Times New Roman" w:cs="Arial"/>
          <w:sz w:val="24"/>
        </w:rPr>
        <w:t>tica assen</w:t>
      </w:r>
      <w:r w:rsidR="00E01749" w:rsidRPr="00813453">
        <w:rPr>
          <w:rFonts w:ascii="Times New Roman" w:hAnsi="Times New Roman" w:cs="Arial"/>
          <w:sz w:val="24"/>
        </w:rPr>
        <w:t xml:space="preserve">te no binómio cristão </w:t>
      </w:r>
      <w:r w:rsidRPr="00813453">
        <w:rPr>
          <w:rFonts w:ascii="Times New Roman" w:hAnsi="Times New Roman" w:cs="Arial"/>
          <w:sz w:val="24"/>
        </w:rPr>
        <w:t xml:space="preserve">de Justiça-Sabedoria. </w:t>
      </w:r>
    </w:p>
    <w:p w:rsidR="00102AB7" w:rsidRDefault="00921494" w:rsidP="00102AB7">
      <w:pPr>
        <w:spacing w:before="0" w:line="360" w:lineRule="auto"/>
        <w:ind w:left="0" w:firstLine="720"/>
        <w:rPr>
          <w:rFonts w:ascii="Times New Roman" w:hAnsi="Times New Roman" w:cs="Arial"/>
          <w:sz w:val="24"/>
        </w:rPr>
      </w:pPr>
      <w:r w:rsidRPr="00813453">
        <w:rPr>
          <w:rFonts w:ascii="Times New Roman" w:hAnsi="Times New Roman" w:cs="Arial"/>
          <w:sz w:val="24"/>
        </w:rPr>
        <w:t>Mas, num segundo momento, este valor (exemplar) de reforçada continuidade entre justiça e prudência é rejeitado, ao verificar-se que, afinal erradamente, o vício tinha dominado a virtude - embora esta negação exerça também uma função exemplar.</w:t>
      </w:r>
      <w:r w:rsidR="00D90D29">
        <w:rPr>
          <w:rFonts w:ascii="Times New Roman" w:hAnsi="Times New Roman" w:cs="Arial"/>
          <w:sz w:val="24"/>
        </w:rPr>
        <w:t xml:space="preserve"> </w:t>
      </w:r>
    </w:p>
    <w:p w:rsidR="00921494" w:rsidRPr="00813453" w:rsidRDefault="00921494" w:rsidP="00102AB7">
      <w:pPr>
        <w:spacing w:before="0" w:line="360" w:lineRule="auto"/>
        <w:ind w:left="0" w:firstLine="720"/>
        <w:rPr>
          <w:rFonts w:ascii="Times New Roman" w:hAnsi="Times New Roman" w:cs="Arial"/>
          <w:sz w:val="24"/>
        </w:rPr>
      </w:pPr>
      <w:r w:rsidRPr="00813453">
        <w:rPr>
          <w:rFonts w:ascii="Times New Roman" w:hAnsi="Times New Roman" w:cs="Arial"/>
          <w:sz w:val="24"/>
        </w:rPr>
        <w:t>Num terceiro momento, por um processo de conflito interior entre os princípios morais do observador e as personificações do bom e do mau juiz, a assimilação do modelo de verdade e de justiça acaba por ser reforçada. Aliás, a própria posição espacial dos juízes tem este sentido de orientação de percurso e de caminhada interior: à direita, o juiz dividido, e mais próximo dos observadores, funciona como porta de entrada do diálogo de aproximação ao outro juiz mais sereno e unificado - e cuja estabilidade lhe é assegurada pelo dinamismo do eixo vertical, que une os painéis superior e inferior, como já se referiu.</w:t>
      </w:r>
    </w:p>
    <w:p w:rsidR="00921494" w:rsidRPr="00813453" w:rsidRDefault="00921494" w:rsidP="00102AB7">
      <w:pPr>
        <w:spacing w:before="0" w:line="360" w:lineRule="auto"/>
        <w:ind w:left="0" w:firstLine="720"/>
        <w:rPr>
          <w:rFonts w:ascii="Times New Roman" w:hAnsi="Times New Roman" w:cs="Arial"/>
          <w:sz w:val="24"/>
        </w:rPr>
      </w:pPr>
      <w:r w:rsidRPr="00813453">
        <w:rPr>
          <w:rFonts w:ascii="Times New Roman" w:hAnsi="Times New Roman" w:cs="Arial"/>
          <w:sz w:val="24"/>
        </w:rPr>
        <w:t>E assim, aderimos à simbologia do bom juiz com o seu olhar e postura, vestes e coroa, e da sua justiça, enquanto imitação de Cristo.</w:t>
      </w:r>
    </w:p>
    <w:p w:rsidR="00921494" w:rsidRPr="0084779C" w:rsidRDefault="00851B6A" w:rsidP="00B20457">
      <w:pPr>
        <w:spacing w:before="0" w:line="360" w:lineRule="auto"/>
        <w:ind w:left="0"/>
        <w:outlineLvl w:val="0"/>
        <w:rPr>
          <w:rFonts w:ascii="Times New Roman" w:hAnsi="Times New Roman" w:cs="Arial"/>
          <w:b/>
          <w:sz w:val="24"/>
        </w:rPr>
      </w:pPr>
      <w:r w:rsidRPr="0084779C">
        <w:rPr>
          <w:rFonts w:ascii="Times New Roman" w:hAnsi="Times New Roman" w:cs="Arial"/>
          <w:b/>
          <w:sz w:val="24"/>
        </w:rPr>
        <w:t>4</w:t>
      </w:r>
      <w:r w:rsidR="00921494" w:rsidRPr="0084779C">
        <w:rPr>
          <w:rFonts w:ascii="Times New Roman" w:hAnsi="Times New Roman" w:cs="Arial"/>
          <w:b/>
          <w:sz w:val="24"/>
        </w:rPr>
        <w:t xml:space="preserve">. </w:t>
      </w:r>
      <w:r w:rsidR="002908D6" w:rsidRPr="0084779C">
        <w:rPr>
          <w:rFonts w:ascii="Times New Roman" w:hAnsi="Times New Roman" w:cs="Arial"/>
          <w:b/>
          <w:sz w:val="24"/>
        </w:rPr>
        <w:t>C</w:t>
      </w:r>
      <w:r w:rsidR="00921494" w:rsidRPr="0084779C">
        <w:rPr>
          <w:rFonts w:ascii="Times New Roman" w:hAnsi="Times New Roman" w:cs="Arial"/>
          <w:b/>
          <w:sz w:val="24"/>
        </w:rPr>
        <w:t>have de leitura do painel inferior</w:t>
      </w:r>
      <w:r w:rsidR="00E01749" w:rsidRPr="0084779C">
        <w:rPr>
          <w:rFonts w:ascii="Times New Roman" w:hAnsi="Times New Roman" w:cs="Arial"/>
          <w:b/>
          <w:sz w:val="24"/>
        </w:rPr>
        <w:t xml:space="preserve"> do Fresco</w:t>
      </w:r>
    </w:p>
    <w:p w:rsidR="00921494" w:rsidRPr="00813453" w:rsidRDefault="00E01749" w:rsidP="00102AB7">
      <w:pPr>
        <w:spacing w:before="0" w:line="360" w:lineRule="auto"/>
        <w:ind w:left="0" w:firstLine="720"/>
        <w:rPr>
          <w:rFonts w:ascii="Times New Roman" w:hAnsi="Times New Roman" w:cs="Arial"/>
          <w:sz w:val="24"/>
        </w:rPr>
      </w:pPr>
      <w:r w:rsidRPr="00813453">
        <w:rPr>
          <w:rFonts w:ascii="Times New Roman" w:hAnsi="Times New Roman" w:cs="Arial"/>
          <w:sz w:val="24"/>
        </w:rPr>
        <w:t>O autor do cartão do F</w:t>
      </w:r>
      <w:r w:rsidR="00921494" w:rsidRPr="00813453">
        <w:rPr>
          <w:rFonts w:ascii="Times New Roman" w:hAnsi="Times New Roman" w:cs="Arial"/>
          <w:sz w:val="24"/>
        </w:rPr>
        <w:t xml:space="preserve">resco </w:t>
      </w:r>
      <w:r w:rsidRPr="00813453">
        <w:rPr>
          <w:rFonts w:ascii="Times New Roman" w:hAnsi="Times New Roman" w:cs="Arial"/>
          <w:sz w:val="24"/>
        </w:rPr>
        <w:t xml:space="preserve">de Monsaraz </w:t>
      </w:r>
      <w:r w:rsidR="00921494" w:rsidRPr="00813453">
        <w:rPr>
          <w:rFonts w:ascii="Times New Roman" w:hAnsi="Times New Roman" w:cs="Arial"/>
          <w:sz w:val="24"/>
        </w:rPr>
        <w:t>recorre assim a arquétipos textuais e visuais cristãos (Dante e Giotto) para comunicar o valor da Justiça, enquanto virtud</w:t>
      </w:r>
      <w:r w:rsidRPr="00813453">
        <w:rPr>
          <w:rFonts w:ascii="Times New Roman" w:hAnsi="Times New Roman" w:cs="Arial"/>
          <w:sz w:val="24"/>
        </w:rPr>
        <w:t>e primordialmente moral, de cará</w:t>
      </w:r>
      <w:r w:rsidR="00921494" w:rsidRPr="00813453">
        <w:rPr>
          <w:rFonts w:ascii="Times New Roman" w:hAnsi="Times New Roman" w:cs="Arial"/>
          <w:sz w:val="24"/>
        </w:rPr>
        <w:t xml:space="preserve">ter individual. E, com a visualização do confronto mal-bem/justiça-injustiça, pela duplicação das personagens, a mensagem moral é ainda reforçada. </w:t>
      </w:r>
    </w:p>
    <w:p w:rsidR="00921494" w:rsidRPr="00813453" w:rsidRDefault="00921494" w:rsidP="00102AB7">
      <w:pPr>
        <w:spacing w:before="0" w:line="360" w:lineRule="auto"/>
        <w:ind w:left="0" w:firstLine="720"/>
        <w:rPr>
          <w:rFonts w:ascii="Times New Roman" w:hAnsi="Times New Roman" w:cs="Arial"/>
          <w:sz w:val="24"/>
        </w:rPr>
      </w:pPr>
      <w:r w:rsidRPr="00813453">
        <w:rPr>
          <w:rFonts w:ascii="Times New Roman" w:hAnsi="Times New Roman" w:cs="Arial"/>
          <w:sz w:val="24"/>
        </w:rPr>
        <w:t>A partir da tradição bíblica do Antigo Testamento (Salmos, Levítico, Isaías e Livro da Sabedoria), e na linha do direito tomista, amplia o sentido de justiça, equiparando-o ao de imortalidade, plenitude da virtude, e, ao</w:t>
      </w:r>
      <w:r w:rsidR="00E01749" w:rsidRPr="00813453">
        <w:rPr>
          <w:rFonts w:ascii="Times New Roman" w:hAnsi="Times New Roman" w:cs="Arial"/>
          <w:sz w:val="24"/>
        </w:rPr>
        <w:t xml:space="preserve"> invés, integra a injustiça na f</w:t>
      </w:r>
      <w:r w:rsidRPr="00813453">
        <w:rPr>
          <w:rFonts w:ascii="Times New Roman" w:hAnsi="Times New Roman" w:cs="Arial"/>
          <w:sz w:val="24"/>
        </w:rPr>
        <w:t xml:space="preserve">raude, plenitude do vício. </w:t>
      </w:r>
    </w:p>
    <w:p w:rsidR="00921494" w:rsidRPr="00813453" w:rsidRDefault="00921494" w:rsidP="00102AB7">
      <w:pPr>
        <w:spacing w:before="0" w:line="360" w:lineRule="auto"/>
        <w:ind w:left="0" w:firstLine="720"/>
        <w:rPr>
          <w:rFonts w:ascii="Times New Roman" w:hAnsi="Times New Roman" w:cs="Arial"/>
          <w:sz w:val="24"/>
        </w:rPr>
      </w:pPr>
      <w:r w:rsidRPr="00813453">
        <w:rPr>
          <w:rFonts w:ascii="Times New Roman" w:hAnsi="Times New Roman" w:cs="Arial"/>
          <w:sz w:val="24"/>
        </w:rPr>
        <w:t>Neste sentido, a construção da figura do mau juiz, a personagem simultaneamente mais densa e enigmática da alegoria, corresponde à representação mais complexa e elaborada de todo o painel.  Como vimos, a sua simbologia-moral é construída pela incorporação quase imperceptível de três fortíssimos modelo</w:t>
      </w:r>
      <w:r w:rsidR="00E01749" w:rsidRPr="00813453">
        <w:rPr>
          <w:rFonts w:ascii="Times New Roman" w:hAnsi="Times New Roman" w:cs="Arial"/>
          <w:sz w:val="24"/>
        </w:rPr>
        <w:t>s: partindo da ideia/imagem da I</w:t>
      </w:r>
      <w:r w:rsidRPr="00813453">
        <w:rPr>
          <w:rFonts w:ascii="Times New Roman" w:hAnsi="Times New Roman" w:cs="Arial"/>
          <w:sz w:val="24"/>
        </w:rPr>
        <w:t>njustiça de Giotto, o autor modela</w:t>
      </w:r>
      <w:r w:rsidR="00E01749" w:rsidRPr="00813453">
        <w:rPr>
          <w:rFonts w:ascii="Times New Roman" w:hAnsi="Times New Roman" w:cs="Arial"/>
          <w:sz w:val="24"/>
        </w:rPr>
        <w:t>-lhe a figuração narrativa do J</w:t>
      </w:r>
      <w:r w:rsidRPr="00813453">
        <w:rPr>
          <w:rFonts w:ascii="Times New Roman" w:hAnsi="Times New Roman" w:cs="Arial"/>
          <w:sz w:val="24"/>
        </w:rPr>
        <w:t xml:space="preserve">uiz corrupto de Holbein, posteriormente reforçada com os </w:t>
      </w:r>
      <w:r w:rsidR="00E01749" w:rsidRPr="00813453">
        <w:rPr>
          <w:rFonts w:ascii="Times New Roman" w:hAnsi="Times New Roman" w:cs="Arial"/>
          <w:sz w:val="24"/>
        </w:rPr>
        <w:t>múltiplos vícios, atributos da F</w:t>
      </w:r>
      <w:r w:rsidRPr="00813453">
        <w:rPr>
          <w:rFonts w:ascii="Times New Roman" w:hAnsi="Times New Roman" w:cs="Arial"/>
          <w:sz w:val="24"/>
        </w:rPr>
        <w:t>raude. O juiz injusto é integrado na personificação da fraude, incorporando a grande roda dos vícios. E, por oposição o bom juiz (o que diz o direito, segundo S. Tomás de Aquino), com a sua sabedoria e justiça a roda das virtudes.</w:t>
      </w:r>
    </w:p>
    <w:p w:rsidR="00921494" w:rsidRPr="00813453" w:rsidRDefault="00921494" w:rsidP="00102AB7">
      <w:pPr>
        <w:spacing w:before="0" w:line="360" w:lineRule="auto"/>
        <w:ind w:left="0" w:firstLine="720"/>
        <w:rPr>
          <w:rFonts w:ascii="Times New Roman" w:hAnsi="Times New Roman" w:cs="Arial"/>
          <w:sz w:val="24"/>
        </w:rPr>
      </w:pPr>
      <w:r w:rsidRPr="00813453">
        <w:rPr>
          <w:rFonts w:ascii="Times New Roman" w:hAnsi="Times New Roman" w:cs="Arial"/>
          <w:sz w:val="24"/>
        </w:rPr>
        <w:t>O auto</w:t>
      </w:r>
      <w:r w:rsidR="003C226A" w:rsidRPr="00813453">
        <w:rPr>
          <w:rFonts w:ascii="Times New Roman" w:hAnsi="Times New Roman" w:cs="Arial"/>
          <w:sz w:val="24"/>
        </w:rPr>
        <w:t xml:space="preserve">r adapta </w:t>
      </w:r>
      <w:r w:rsidR="00E01749" w:rsidRPr="00813453">
        <w:rPr>
          <w:rFonts w:ascii="Times New Roman" w:hAnsi="Times New Roman" w:cs="Arial"/>
          <w:sz w:val="24"/>
        </w:rPr>
        <w:t>os elementos da imagem, bem como a organização da sua composição,</w:t>
      </w:r>
      <w:r w:rsidRPr="00813453">
        <w:rPr>
          <w:rFonts w:ascii="Times New Roman" w:hAnsi="Times New Roman" w:cs="Arial"/>
          <w:sz w:val="24"/>
        </w:rPr>
        <w:t xml:space="preserve"> à especificidade e à função do espaço concreto: uma sala de Audiência, numa estrutura jurídica de caráter municipal. </w:t>
      </w:r>
      <w:r w:rsidR="00E01749" w:rsidRPr="00813453">
        <w:rPr>
          <w:rFonts w:ascii="Times New Roman" w:hAnsi="Times New Roman" w:cs="Arial"/>
          <w:sz w:val="24"/>
        </w:rPr>
        <w:t>Por isso, na personificação da F</w:t>
      </w:r>
      <w:r w:rsidRPr="00813453">
        <w:rPr>
          <w:rFonts w:ascii="Times New Roman" w:hAnsi="Times New Roman" w:cs="Arial"/>
          <w:sz w:val="24"/>
        </w:rPr>
        <w:t xml:space="preserve">raude desaparecem os seus elementos de animalidade, sendo representada com as vestes e os atributos de um juiz – embora com uma perdiz na mão. A avareza e a corrupção-traição são as suas motivações morais e, portanto, os fatores determinantes dos seus actos. </w:t>
      </w:r>
    </w:p>
    <w:p w:rsidR="00921494" w:rsidRPr="00813453" w:rsidRDefault="00921494" w:rsidP="00102AB7">
      <w:pPr>
        <w:spacing w:before="0" w:line="360" w:lineRule="auto"/>
        <w:ind w:left="0" w:firstLine="720"/>
        <w:rPr>
          <w:rFonts w:ascii="Times New Roman" w:hAnsi="Times New Roman" w:cs="Arial"/>
          <w:sz w:val="24"/>
        </w:rPr>
      </w:pPr>
      <w:r w:rsidRPr="00813453">
        <w:rPr>
          <w:rFonts w:ascii="Times New Roman" w:hAnsi="Times New Roman" w:cs="Arial"/>
          <w:sz w:val="24"/>
        </w:rPr>
        <w:t>Embora in</w:t>
      </w:r>
      <w:r w:rsidR="00E01749" w:rsidRPr="00813453">
        <w:rPr>
          <w:rFonts w:ascii="Times New Roman" w:hAnsi="Times New Roman" w:cs="Arial"/>
          <w:sz w:val="24"/>
        </w:rPr>
        <w:t xml:space="preserve">fluenciado pela iconografia do Juiz corrupto </w:t>
      </w:r>
      <w:r w:rsidRPr="00813453">
        <w:rPr>
          <w:rFonts w:ascii="Times New Roman" w:hAnsi="Times New Roman" w:cs="Arial"/>
          <w:sz w:val="24"/>
        </w:rPr>
        <w:t>de Holbein, o autor do cartão do fresco também a soube adaptar. Não apenas por ter duplicado as acções dos réus corruptos, mas, sobretudo por ter retirado do fresco a figura da Morte, personificada na caveira-prisioneiro, que, em atitude de vingança, faz justiça pelas suas próprias mãos. Não permite que a injustiça se multiplique no painel, ao invés da justiça...</w:t>
      </w:r>
    </w:p>
    <w:p w:rsidR="00AF3F82" w:rsidRDefault="00921494" w:rsidP="00102AB7">
      <w:pPr>
        <w:spacing w:before="0" w:line="360" w:lineRule="auto"/>
        <w:ind w:left="0" w:firstLine="708"/>
        <w:rPr>
          <w:rFonts w:ascii="Times New Roman" w:hAnsi="Times New Roman" w:cs="Arial"/>
          <w:sz w:val="24"/>
        </w:rPr>
      </w:pPr>
      <w:r w:rsidRPr="00813453">
        <w:rPr>
          <w:rFonts w:ascii="Times New Roman" w:hAnsi="Times New Roman" w:cs="Arial"/>
          <w:sz w:val="24"/>
        </w:rPr>
        <w:t>Ao olharmos para a representação do Juízo final, no painel superior da sala de Audiência de Monsaraz, toda esta divisão de tronos, personagens, rostos e atributos, se reestrutura. No eixo de simetria da pintura, a soberana Justiça de Cristo</w:t>
      </w:r>
      <w:r w:rsidR="00FC1191" w:rsidRPr="00813453">
        <w:rPr>
          <w:rFonts w:ascii="Times New Roman" w:hAnsi="Times New Roman" w:cs="Arial"/>
          <w:sz w:val="24"/>
        </w:rPr>
        <w:t xml:space="preserve"> (direito divino na terminologia tomista)</w:t>
      </w:r>
      <w:r w:rsidRPr="00813453">
        <w:rPr>
          <w:rFonts w:ascii="Times New Roman" w:hAnsi="Times New Roman" w:cs="Arial"/>
          <w:sz w:val="24"/>
        </w:rPr>
        <w:t xml:space="preserve"> unifica e atemporaliza a </w:t>
      </w:r>
      <w:r w:rsidR="00306DEE" w:rsidRPr="00813453">
        <w:rPr>
          <w:rFonts w:ascii="Times New Roman" w:hAnsi="Times New Roman" w:cs="Arial"/>
          <w:sz w:val="24"/>
        </w:rPr>
        <w:t>doutrina</w:t>
      </w:r>
      <w:r w:rsidRPr="00813453">
        <w:rPr>
          <w:rFonts w:ascii="Times New Roman" w:hAnsi="Times New Roman" w:cs="Arial"/>
          <w:sz w:val="24"/>
        </w:rPr>
        <w:t xml:space="preserve">: introduzindo no espaço </w:t>
      </w:r>
      <w:r w:rsidR="003C226A" w:rsidRPr="00813453">
        <w:rPr>
          <w:rFonts w:ascii="Times New Roman" w:hAnsi="Times New Roman" w:cs="Arial"/>
          <w:sz w:val="24"/>
        </w:rPr>
        <w:t xml:space="preserve">politico e judicial </w:t>
      </w:r>
      <w:r w:rsidR="00FC1191" w:rsidRPr="00813453">
        <w:rPr>
          <w:rFonts w:ascii="Times New Roman" w:hAnsi="Times New Roman" w:cs="Arial"/>
          <w:sz w:val="24"/>
        </w:rPr>
        <w:t xml:space="preserve">simultaneamente </w:t>
      </w:r>
      <w:r w:rsidRPr="00813453">
        <w:rPr>
          <w:rFonts w:ascii="Times New Roman" w:hAnsi="Times New Roman" w:cs="Arial"/>
          <w:sz w:val="24"/>
        </w:rPr>
        <w:t>uma dimensão concreta</w:t>
      </w:r>
      <w:r w:rsidR="00FC1191" w:rsidRPr="00813453">
        <w:rPr>
          <w:rFonts w:ascii="Times New Roman" w:hAnsi="Times New Roman" w:cs="Arial"/>
          <w:sz w:val="24"/>
        </w:rPr>
        <w:t>, jurídica</w:t>
      </w:r>
      <w:r w:rsidRPr="00813453">
        <w:rPr>
          <w:rFonts w:ascii="Times New Roman" w:hAnsi="Times New Roman" w:cs="Arial"/>
          <w:sz w:val="24"/>
        </w:rPr>
        <w:t xml:space="preserve"> e de sentido escatológico, olha-no</w:t>
      </w:r>
      <w:r w:rsidR="00306DEE" w:rsidRPr="00813453">
        <w:rPr>
          <w:rFonts w:ascii="Times New Roman" w:hAnsi="Times New Roman" w:cs="Arial"/>
          <w:sz w:val="24"/>
        </w:rPr>
        <w:t xml:space="preserve">s e liga-nos, alargando assim a </w:t>
      </w:r>
      <w:r w:rsidRPr="00813453">
        <w:rPr>
          <w:rFonts w:ascii="Times New Roman" w:hAnsi="Times New Roman" w:cs="Arial"/>
          <w:sz w:val="24"/>
        </w:rPr>
        <w:t xml:space="preserve">reflexão a todos </w:t>
      </w:r>
      <w:r w:rsidR="00E01749" w:rsidRPr="00813453">
        <w:rPr>
          <w:rFonts w:ascii="Times New Roman" w:hAnsi="Times New Roman" w:cs="Arial"/>
          <w:sz w:val="24"/>
        </w:rPr>
        <w:t>os atores e a todos os públicos.</w:t>
      </w:r>
    </w:p>
    <w:p w:rsidR="009960B6" w:rsidRPr="00AF3F82" w:rsidRDefault="009960B6" w:rsidP="00B20457">
      <w:pPr>
        <w:spacing w:before="0" w:line="360" w:lineRule="auto"/>
        <w:ind w:left="0" w:firstLine="708"/>
        <w:outlineLvl w:val="0"/>
        <w:rPr>
          <w:rFonts w:ascii="Times New Roman" w:hAnsi="Times New Roman" w:cs="Arial"/>
          <w:sz w:val="24"/>
        </w:rPr>
      </w:pPr>
      <w:r w:rsidRPr="0084779C">
        <w:rPr>
          <w:rFonts w:ascii="Times New Roman" w:hAnsi="Times New Roman" w:cs="Arial"/>
          <w:b/>
          <w:sz w:val="24"/>
        </w:rPr>
        <w:t xml:space="preserve"> </w:t>
      </w:r>
      <w:r w:rsidR="004012BE" w:rsidRPr="0084779C">
        <w:rPr>
          <w:rFonts w:ascii="Times New Roman" w:hAnsi="Times New Roman" w:cs="Arial"/>
          <w:b/>
          <w:sz w:val="24"/>
        </w:rPr>
        <w:t>5</w:t>
      </w:r>
      <w:r w:rsidR="0084779C" w:rsidRPr="0084779C">
        <w:rPr>
          <w:rFonts w:ascii="Times New Roman" w:hAnsi="Times New Roman" w:cs="Arial"/>
          <w:b/>
          <w:sz w:val="24"/>
        </w:rPr>
        <w:t>.</w:t>
      </w:r>
      <w:r w:rsidR="00CB0918">
        <w:rPr>
          <w:rFonts w:ascii="Times New Roman" w:hAnsi="Times New Roman" w:cs="Arial"/>
          <w:b/>
          <w:sz w:val="24"/>
        </w:rPr>
        <w:t xml:space="preserve"> </w:t>
      </w:r>
      <w:r w:rsidRPr="0084779C">
        <w:rPr>
          <w:rFonts w:ascii="Times New Roman" w:hAnsi="Times New Roman" w:cs="Arial"/>
          <w:b/>
          <w:sz w:val="24"/>
        </w:rPr>
        <w:t xml:space="preserve">A interiorização da injustiça   </w:t>
      </w:r>
    </w:p>
    <w:p w:rsidR="009960B6" w:rsidRPr="0084779C" w:rsidRDefault="009960B6" w:rsidP="00102AB7">
      <w:pPr>
        <w:spacing w:before="0" w:line="360" w:lineRule="auto"/>
        <w:ind w:left="0" w:firstLine="708"/>
        <w:rPr>
          <w:rFonts w:ascii="Times New Roman" w:hAnsi="Times New Roman" w:cs="Arial"/>
          <w:color w:val="FF6600"/>
          <w:sz w:val="24"/>
        </w:rPr>
      </w:pPr>
      <w:r w:rsidRPr="00813453">
        <w:rPr>
          <w:rFonts w:ascii="Times New Roman" w:hAnsi="Times New Roman"/>
          <w:sz w:val="24"/>
        </w:rPr>
        <w:t xml:space="preserve">Progressivamente, ao longo do século XVI, a injustiça deixa de ser representada com símbolos visíveis, facilmente identificáveis, e acompanha o mesmo processo de racionalização e de interiorização da justiça. </w:t>
      </w:r>
      <w:r>
        <w:rPr>
          <w:rFonts w:ascii="Times New Roman" w:hAnsi="Times New Roman" w:cs="Arial"/>
          <w:sz w:val="24"/>
        </w:rPr>
        <w:t>P</w:t>
      </w:r>
      <w:r w:rsidRPr="00813453">
        <w:rPr>
          <w:rFonts w:ascii="Times New Roman" w:hAnsi="Times New Roman" w:cs="Arial"/>
          <w:sz w:val="24"/>
        </w:rPr>
        <w:t>ersonifica-se de uma maneira mais abstrata.</w:t>
      </w:r>
      <w:r>
        <w:rPr>
          <w:rFonts w:ascii="Times New Roman" w:hAnsi="Times New Roman" w:cs="Arial"/>
          <w:sz w:val="24"/>
        </w:rPr>
        <w:t xml:space="preserve"> </w:t>
      </w:r>
      <w:r w:rsidRPr="00813453">
        <w:rPr>
          <w:rFonts w:ascii="Times New Roman" w:hAnsi="Times New Roman"/>
          <w:sz w:val="24"/>
        </w:rPr>
        <w:t>Essa tensão constante não desaparece, mas torna-se mais racional, mais humana.</w:t>
      </w:r>
      <w:r w:rsidRPr="00813453">
        <w:rPr>
          <w:rFonts w:ascii="Times New Roman" w:hAnsi="Times New Roman" w:cs="Arial"/>
          <w:sz w:val="24"/>
        </w:rPr>
        <w:t xml:space="preserve"> Como é que da imagem do juiz insensato e de olhos vendados passamos para u</w:t>
      </w:r>
      <w:r>
        <w:rPr>
          <w:rFonts w:ascii="Times New Roman" w:hAnsi="Times New Roman" w:cs="Arial"/>
          <w:sz w:val="24"/>
        </w:rPr>
        <w:t xml:space="preserve">m Jano de mascarilha, </w:t>
      </w:r>
      <w:r w:rsidR="0084779C">
        <w:rPr>
          <w:rFonts w:ascii="Times New Roman" w:hAnsi="Times New Roman" w:cs="Arial"/>
          <w:sz w:val="24"/>
        </w:rPr>
        <w:t>chegando à</w:t>
      </w:r>
      <w:r w:rsidRPr="00813453">
        <w:rPr>
          <w:rFonts w:ascii="Times New Roman" w:hAnsi="Times New Roman" w:cs="Arial"/>
          <w:sz w:val="24"/>
        </w:rPr>
        <w:t xml:space="preserve"> representação da imparcial Justiça moderna?</w:t>
      </w:r>
    </w:p>
    <w:p w:rsidR="009960B6" w:rsidRPr="00813453" w:rsidRDefault="009960B6" w:rsidP="00E703B2">
      <w:pPr>
        <w:spacing w:before="0" w:line="360" w:lineRule="auto"/>
        <w:ind w:left="0" w:firstLine="720"/>
        <w:rPr>
          <w:rFonts w:ascii="Times New Roman" w:hAnsi="Times New Roman" w:cs="Arial"/>
          <w:sz w:val="24"/>
        </w:rPr>
      </w:pPr>
      <w:r>
        <w:rPr>
          <w:rFonts w:ascii="Times New Roman" w:hAnsi="Times New Roman" w:cs="Arial"/>
          <w:sz w:val="24"/>
        </w:rPr>
        <w:t>Concluiremos com</w:t>
      </w:r>
      <w:r w:rsidRPr="00813453">
        <w:rPr>
          <w:rFonts w:ascii="Times New Roman" w:hAnsi="Times New Roman" w:cs="Arial"/>
          <w:sz w:val="24"/>
        </w:rPr>
        <w:t xml:space="preserve"> duas gravuras de duplo rosto, compostas de texto e de imagem: um </w:t>
      </w:r>
      <w:r w:rsidRPr="00813453">
        <w:rPr>
          <w:rFonts w:ascii="Times New Roman" w:hAnsi="Times New Roman"/>
          <w:sz w:val="24"/>
        </w:rPr>
        <w:t xml:space="preserve">panfleto satírico alemão, de 1524, de Oswel Weibel, e </w:t>
      </w:r>
      <w:r w:rsidRPr="00D33C1E">
        <w:rPr>
          <w:rFonts w:ascii="Times New Roman" w:hAnsi="Times New Roman"/>
          <w:i/>
          <w:sz w:val="24"/>
        </w:rPr>
        <w:t>Efigie da Justiça Mundana</w:t>
      </w:r>
      <w:r w:rsidR="00E703B2">
        <w:rPr>
          <w:rFonts w:ascii="Times New Roman" w:hAnsi="Times New Roman"/>
          <w:sz w:val="24"/>
        </w:rPr>
        <w:t>. Esta</w:t>
      </w:r>
      <w:r w:rsidR="00D33C1E">
        <w:rPr>
          <w:rFonts w:ascii="Times New Roman" w:hAnsi="Times New Roman"/>
          <w:sz w:val="24"/>
        </w:rPr>
        <w:t xml:space="preserve"> </w:t>
      </w:r>
      <w:r w:rsidR="00E703B2">
        <w:rPr>
          <w:rFonts w:ascii="Times New Roman" w:hAnsi="Times New Roman"/>
          <w:sz w:val="24"/>
        </w:rPr>
        <w:t>estampa ilustra o</w:t>
      </w:r>
      <w:r w:rsidRPr="00813453">
        <w:rPr>
          <w:rFonts w:ascii="Times New Roman" w:hAnsi="Times New Roman" w:cs="Arial"/>
          <w:sz w:val="24"/>
        </w:rPr>
        <w:t xml:space="preserve"> </w:t>
      </w:r>
      <w:r w:rsidRPr="00813453">
        <w:rPr>
          <w:rFonts w:ascii="Times New Roman" w:hAnsi="Times New Roman"/>
          <w:sz w:val="24"/>
        </w:rPr>
        <w:t>tratado jurídico de Joost Damhoudere</w:t>
      </w:r>
      <w:r w:rsidRPr="00E703B2">
        <w:rPr>
          <w:rFonts w:ascii="Times New Roman" w:hAnsi="Times New Roman"/>
          <w:i/>
          <w:sz w:val="24"/>
        </w:rPr>
        <w:t xml:space="preserve">, </w:t>
      </w:r>
      <w:r w:rsidR="00E703B2">
        <w:rPr>
          <w:rFonts w:ascii="Times New Roman" w:hAnsi="Times New Roman" w:cs="Arial"/>
          <w:i/>
          <w:sz w:val="24"/>
        </w:rPr>
        <w:t>Enchiridion Rerum C</w:t>
      </w:r>
      <w:r w:rsidRPr="00E703B2">
        <w:rPr>
          <w:rFonts w:ascii="Times New Roman" w:hAnsi="Times New Roman" w:cs="Arial"/>
          <w:i/>
          <w:sz w:val="24"/>
        </w:rPr>
        <w:t>riminalium</w:t>
      </w:r>
      <w:r w:rsidRPr="00813453">
        <w:rPr>
          <w:rFonts w:ascii="Times New Roman" w:hAnsi="Times New Roman" w:cs="Arial"/>
          <w:sz w:val="24"/>
        </w:rPr>
        <w:t>,</w:t>
      </w:r>
      <w:r w:rsidRPr="00813453">
        <w:rPr>
          <w:rFonts w:ascii="Times New Roman" w:hAnsi="Times New Roman"/>
          <w:sz w:val="24"/>
        </w:rPr>
        <w:t xml:space="preserve"> de 1554, várias vezes aumentado, reeditado e traduzido</w:t>
      </w:r>
      <w:r w:rsidR="00E703B2">
        <w:rPr>
          <w:rFonts w:ascii="Times New Roman" w:hAnsi="Times New Roman"/>
          <w:sz w:val="24"/>
        </w:rPr>
        <w:t>,</w:t>
      </w:r>
      <w:r w:rsidRPr="00813453">
        <w:rPr>
          <w:rFonts w:ascii="Times New Roman" w:hAnsi="Times New Roman"/>
          <w:sz w:val="24"/>
        </w:rPr>
        <w:t xml:space="preserve"> ao longo dos séculos XVI e XVII.</w:t>
      </w:r>
      <w:r w:rsidR="00102AB7">
        <w:rPr>
          <w:rFonts w:ascii="Times New Roman" w:hAnsi="Times New Roman" w:cs="Arial"/>
          <w:sz w:val="24"/>
        </w:rPr>
        <w:t xml:space="preserve"> </w:t>
      </w:r>
      <w:r w:rsidR="00E703B2">
        <w:rPr>
          <w:rFonts w:ascii="Times New Roman" w:hAnsi="Times New Roman" w:cs="Arial"/>
          <w:sz w:val="24"/>
        </w:rPr>
        <w:t xml:space="preserve">As imagens revelam a </w:t>
      </w:r>
      <w:r w:rsidRPr="00813453">
        <w:rPr>
          <w:rFonts w:ascii="Times New Roman" w:hAnsi="Times New Roman" w:cs="Arial"/>
          <w:sz w:val="24"/>
        </w:rPr>
        <w:t xml:space="preserve">evolução e a complexidade da </w:t>
      </w:r>
      <w:r w:rsidR="00E703B2">
        <w:rPr>
          <w:rFonts w:ascii="Times New Roman" w:hAnsi="Times New Roman" w:cs="Arial"/>
          <w:sz w:val="24"/>
        </w:rPr>
        <w:t>representação</w:t>
      </w:r>
      <w:r w:rsidRPr="00813453">
        <w:rPr>
          <w:rFonts w:ascii="Times New Roman" w:hAnsi="Times New Roman" w:cs="Arial"/>
          <w:sz w:val="24"/>
        </w:rPr>
        <w:t xml:space="preserve"> da injustiça, agora denominada “justiça mundana”. Uma conceção mais humana e imanente da dualidade da justiça acaba por substituir a terminologia tomista-cristã da injustiça, enquanto vício. Em ambas as gravuras a justiça mundana sobrepõe-se à justiça, retira-lhe a dimensão divina e desenvolve-a enquanto qualidade humana e natural. A lei da justiça está agora fundamentada nos mesmos valores de verdade e de esperança. Mas as virtudes teologais tornaram-se conselheiras humanizadas.</w:t>
      </w:r>
    </w:p>
    <w:p w:rsidR="009960B6" w:rsidRPr="00813453" w:rsidRDefault="009960B6" w:rsidP="00E703B2">
      <w:pPr>
        <w:spacing w:before="0" w:line="360" w:lineRule="auto"/>
        <w:ind w:left="0" w:firstLine="720"/>
        <w:rPr>
          <w:rFonts w:ascii="Times New Roman" w:hAnsi="Times New Roman" w:cs="Arial"/>
          <w:sz w:val="24"/>
        </w:rPr>
      </w:pPr>
      <w:r w:rsidRPr="00813453">
        <w:rPr>
          <w:rFonts w:ascii="Times New Roman" w:hAnsi="Times New Roman" w:cs="Arial"/>
          <w:sz w:val="24"/>
        </w:rPr>
        <w:t xml:space="preserve">É de realçar ainda um elemento novo, próprio da conceção moderna de lei natural e de justiça, que vai alterar a tradicional perspetiva de direito divino. A noção de bem comum surge canalizada para o conceito de Povo, Comunidade, Individuo a quem se destina o direito. Esta nova personagem, na base inferior das imagens, é o agente e moralizador atento, em diálogo com o juiz. O triângulo sustentador do direito e da prática da justiça fundamenta-se a partir do eixo central juiz – Povo. O juiz Criador, a razão de ser, que, num plano superior, orientava e dava sentido à ação judicial, transcende aqui a imagem, permitindo a focalização no diálogo humano. </w:t>
      </w:r>
    </w:p>
    <w:p w:rsidR="009960B6" w:rsidRPr="00813453" w:rsidRDefault="009960B6" w:rsidP="00E703B2">
      <w:pPr>
        <w:spacing w:before="0" w:line="360" w:lineRule="auto"/>
        <w:ind w:left="0" w:firstLine="720"/>
        <w:rPr>
          <w:rFonts w:ascii="Times New Roman" w:hAnsi="Times New Roman" w:cs="Arial"/>
          <w:sz w:val="24"/>
        </w:rPr>
      </w:pPr>
      <w:r w:rsidRPr="00813453">
        <w:rPr>
          <w:rFonts w:ascii="Times New Roman" w:hAnsi="Times New Roman" w:cs="Arial"/>
          <w:sz w:val="24"/>
        </w:rPr>
        <w:t>Comparando estas duas gravuras, o juiz, ou a justiça enquanto símbolo, tem faces iguais, cuja diferença está apenas na mascarilha que lhe cobre a visão, o lado da não-equidade.</w:t>
      </w:r>
      <w:r w:rsidR="00E703B2">
        <w:rPr>
          <w:rFonts w:ascii="Times New Roman" w:hAnsi="Times New Roman" w:cs="Arial"/>
          <w:sz w:val="24"/>
        </w:rPr>
        <w:t xml:space="preserve"> </w:t>
      </w:r>
      <w:r w:rsidRPr="00813453">
        <w:rPr>
          <w:rFonts w:ascii="Times New Roman" w:hAnsi="Times New Roman" w:cs="Arial"/>
          <w:sz w:val="24"/>
        </w:rPr>
        <w:t xml:space="preserve">A figura do juiz-Justiça é um sincretismo uniformizado dos dois juízes do fresco de Monsaraz: uma face pertence ao Bom juiz, a outra retrata o mau. </w:t>
      </w:r>
    </w:p>
    <w:p w:rsidR="009960B6" w:rsidRPr="00813453" w:rsidRDefault="009960B6" w:rsidP="00E703B2">
      <w:pPr>
        <w:spacing w:before="0" w:line="360" w:lineRule="auto"/>
        <w:ind w:left="0" w:firstLine="720"/>
        <w:rPr>
          <w:rFonts w:ascii="Times New Roman" w:hAnsi="Times New Roman" w:cs="Arial"/>
          <w:sz w:val="24"/>
        </w:rPr>
      </w:pPr>
      <w:r w:rsidRPr="00813453">
        <w:rPr>
          <w:rFonts w:ascii="Times New Roman" w:hAnsi="Times New Roman" w:cs="Arial"/>
          <w:sz w:val="24"/>
        </w:rPr>
        <w:t xml:space="preserve">No mural de Monsaraz, o Bom juiz tem um rosto </w:t>
      </w:r>
      <w:r w:rsidR="0084779C" w:rsidRPr="00813453">
        <w:rPr>
          <w:rFonts w:ascii="Times New Roman" w:hAnsi="Times New Roman" w:cs="Arial"/>
          <w:sz w:val="24"/>
        </w:rPr>
        <w:t>icónico</w:t>
      </w:r>
      <w:r w:rsidRPr="00813453">
        <w:rPr>
          <w:rFonts w:ascii="Times New Roman" w:hAnsi="Times New Roman" w:cs="Arial"/>
          <w:sz w:val="24"/>
        </w:rPr>
        <w:t xml:space="preserve">, enquanto o mau apresenta duplo rosto, de expressão farsante, em que sobressai o lado da máscara. Assim, a justiça e a injustiça caminham para o interior da personagem. </w:t>
      </w:r>
    </w:p>
    <w:p w:rsidR="004012BE" w:rsidRDefault="009960B6" w:rsidP="00E703B2">
      <w:pPr>
        <w:spacing w:before="0" w:line="360" w:lineRule="auto"/>
        <w:ind w:left="0" w:firstLine="360"/>
        <w:rPr>
          <w:rFonts w:ascii="Times New Roman" w:hAnsi="Times New Roman" w:cs="Arial"/>
          <w:sz w:val="24"/>
        </w:rPr>
      </w:pPr>
      <w:r w:rsidRPr="00813453">
        <w:rPr>
          <w:rFonts w:ascii="Times New Roman" w:hAnsi="Times New Roman" w:cs="Arial"/>
          <w:sz w:val="24"/>
        </w:rPr>
        <w:t>Como é que esta linguagem visual neutra traduz essa interiorização e consegue transmitir a mensagem?</w:t>
      </w:r>
      <w:r>
        <w:rPr>
          <w:rFonts w:ascii="Times New Roman" w:hAnsi="Times New Roman" w:cs="Arial"/>
          <w:sz w:val="24"/>
        </w:rPr>
        <w:t xml:space="preserve"> </w:t>
      </w:r>
      <w:r w:rsidRPr="00813453">
        <w:rPr>
          <w:rFonts w:ascii="Times New Roman" w:hAnsi="Times New Roman" w:cs="Arial"/>
          <w:sz w:val="24"/>
        </w:rPr>
        <w:t>Perante a indiferenciação imagética, os autores têm de recorrer à linguagem verbal, que sublima a imagem. É um primeiro passo na valorização da linguagem conceptual. A imagem enquanto linguagem visual empática, sensorial, perde parte da sua funcionalidade, adquirindo características próprias da abstração, aproximando-se das formas de expressão racional moderna. Por isso, torna-se implícita a necessidade de recorrer ao texto e ao jogo entre os vários níveis da linguagem.</w:t>
      </w:r>
    </w:p>
    <w:p w:rsidR="001B5DF0" w:rsidRPr="0084779C" w:rsidRDefault="004012BE" w:rsidP="0084779C">
      <w:pPr>
        <w:pStyle w:val="ListParagraph"/>
        <w:numPr>
          <w:ilvl w:val="0"/>
          <w:numId w:val="24"/>
        </w:numPr>
        <w:spacing w:before="0" w:line="360" w:lineRule="auto"/>
        <w:rPr>
          <w:rFonts w:ascii="Times New Roman" w:hAnsi="Times New Roman" w:cs="Arial"/>
          <w:i/>
          <w:sz w:val="24"/>
        </w:rPr>
      </w:pPr>
      <w:r w:rsidRPr="0084779C">
        <w:rPr>
          <w:rFonts w:ascii="Times New Roman" w:hAnsi="Times New Roman" w:cs="Arial"/>
          <w:i/>
          <w:sz w:val="24"/>
        </w:rPr>
        <w:t>O duplo rosto e a mascarilha</w:t>
      </w:r>
    </w:p>
    <w:p w:rsidR="0084779C" w:rsidRPr="00AF3F82" w:rsidRDefault="009960B6" w:rsidP="00AF3F82">
      <w:pPr>
        <w:spacing w:line="360" w:lineRule="auto"/>
        <w:ind w:left="0"/>
        <w:rPr>
          <w:rFonts w:ascii="Times New Roman" w:hAnsi="Times New Roman" w:cstheme="minorHAnsi"/>
          <w:sz w:val="24"/>
        </w:rPr>
      </w:pPr>
      <w:r>
        <w:rPr>
          <w:rFonts w:ascii="Times New Roman" w:hAnsi="Times New Roman"/>
          <w:noProof/>
          <w:sz w:val="24"/>
          <w:szCs w:val="28"/>
          <w:lang w:eastAsia="pt-PT"/>
        </w:rPr>
        <w:t>O</w:t>
      </w:r>
      <w:r w:rsidRPr="00813453">
        <w:rPr>
          <w:rFonts w:ascii="Times New Roman" w:hAnsi="Times New Roman"/>
          <w:noProof/>
          <w:sz w:val="24"/>
          <w:szCs w:val="28"/>
          <w:lang w:eastAsia="pt-PT"/>
        </w:rPr>
        <w:t xml:space="preserve"> panfleto de advertência ironica</w:t>
      </w:r>
      <w:r w:rsidR="00E703B2">
        <w:rPr>
          <w:rFonts w:ascii="Times New Roman" w:hAnsi="Times New Roman"/>
          <w:noProof/>
          <w:sz w:val="24"/>
          <w:szCs w:val="28"/>
          <w:lang w:eastAsia="pt-PT"/>
        </w:rPr>
        <w:t xml:space="preserve"> </w:t>
      </w:r>
      <w:r w:rsidRPr="00743CFB">
        <w:rPr>
          <w:rFonts w:ascii="Times New Roman" w:hAnsi="Times New Roman"/>
          <w:i/>
          <w:noProof/>
          <w:sz w:val="24"/>
          <w:szCs w:val="28"/>
          <w:lang w:eastAsia="pt-PT"/>
        </w:rPr>
        <w:t>Os bons juizes parecem justos por natureza</w:t>
      </w:r>
      <w:r w:rsidRPr="00813453">
        <w:rPr>
          <w:rFonts w:ascii="Times New Roman" w:hAnsi="Times New Roman"/>
          <w:noProof/>
          <w:sz w:val="24"/>
          <w:szCs w:val="28"/>
          <w:lang w:eastAsia="pt-PT"/>
        </w:rPr>
        <w:t xml:space="preserve"> foi escrito por </w:t>
      </w:r>
      <w:r w:rsidR="00743CFB">
        <w:rPr>
          <w:rFonts w:ascii="Times New Roman" w:hAnsi="Times New Roman"/>
          <w:noProof/>
          <w:sz w:val="24"/>
          <w:szCs w:val="28"/>
          <w:lang w:eastAsia="pt-PT"/>
        </w:rPr>
        <w:t xml:space="preserve">O. </w:t>
      </w:r>
      <w:r w:rsidRPr="00813453">
        <w:rPr>
          <w:rFonts w:ascii="Times New Roman" w:hAnsi="Times New Roman"/>
          <w:noProof/>
          <w:sz w:val="24"/>
          <w:szCs w:val="28"/>
          <w:lang w:eastAsia="pt-PT"/>
        </w:rPr>
        <w:t>Weibel e gravado por Michel Wolgemut em 1524. Sendo o retrato de um juiz corrupto que lembra os caracteres próprios do teatro vicentino, é, no entanto, já uma alegoria. O juiz no plano central, no topo de uma pirâmide, sentado no seu cadeiral, sem olhar para os seus conselheiros, pondera internamente sobre a honestidade e as vantagens das suas possiveis decisões. O juiz, com a cara escondida atrás de uma mascarilha, do lado da conselheira Verdade, e com os simbolos da balança desequilibrada e da vara quebrada surge ladeado por mais três conselheiros, agora claramente personificações humanas das virtudes e dos vicios:Verdade e Esperança em movimento de ligação pela postura e pelos gestos de braços, e Finança e  Abuso, isoladas entre si.</w:t>
      </w:r>
      <w:r w:rsidR="00743CFB">
        <w:rPr>
          <w:rFonts w:ascii="Times New Roman" w:hAnsi="Times New Roman"/>
          <w:noProof/>
          <w:sz w:val="24"/>
          <w:szCs w:val="28"/>
          <w:lang w:eastAsia="pt-PT"/>
        </w:rPr>
        <w:t xml:space="preserve"> Face à</w:t>
      </w:r>
      <w:r w:rsidR="00743CFB" w:rsidRPr="00813453">
        <w:rPr>
          <w:rFonts w:ascii="Times New Roman" w:hAnsi="Times New Roman"/>
          <w:noProof/>
          <w:sz w:val="24"/>
          <w:szCs w:val="28"/>
          <w:lang w:eastAsia="pt-PT"/>
        </w:rPr>
        <w:t xml:space="preserve"> simpatia do juiz pela Senhora Finança “que arranja dinheiro e um futuro melhor” </w:t>
      </w:r>
      <w:r w:rsidR="00743CFB" w:rsidRPr="00813453">
        <w:rPr>
          <w:rStyle w:val="FootnoteReference"/>
          <w:rFonts w:ascii="Times New Roman" w:hAnsi="Times New Roman"/>
          <w:noProof/>
          <w:sz w:val="24"/>
          <w:szCs w:val="28"/>
          <w:lang w:eastAsia="pt-PT"/>
        </w:rPr>
        <w:footnoteReference w:id="27"/>
      </w:r>
      <w:r w:rsidR="00743CFB" w:rsidRPr="00813453">
        <w:rPr>
          <w:rFonts w:ascii="Times New Roman" w:hAnsi="Times New Roman"/>
          <w:noProof/>
          <w:sz w:val="24"/>
          <w:szCs w:val="28"/>
          <w:lang w:eastAsia="pt-PT"/>
        </w:rPr>
        <w:t xml:space="preserve">e pelo todo poderoso Abuso, que “liga muito pouco à verdade”, a Verdade, enquanto </w:t>
      </w:r>
      <w:r w:rsidR="00743CFB" w:rsidRPr="00813453">
        <w:rPr>
          <w:rFonts w:ascii="Times New Roman" w:hAnsi="Times New Roman"/>
          <w:sz w:val="24"/>
          <w:szCs w:val="28"/>
          <w:lang w:eastAsia="pt-PT"/>
        </w:rPr>
        <w:t>emissária</w:t>
      </w:r>
      <w:r w:rsidR="00743CFB" w:rsidRPr="00813453">
        <w:rPr>
          <w:rFonts w:ascii="Times New Roman" w:hAnsi="Times New Roman"/>
          <w:noProof/>
          <w:sz w:val="24"/>
          <w:szCs w:val="28"/>
          <w:lang w:eastAsia="pt-PT"/>
        </w:rPr>
        <w:t xml:space="preserve"> da justiça, adverte: “siga o meu juizo” e a Esperança insiste: “dê-me o seu bom conselho”. O homem simples, o Povo  previne: “</w:t>
      </w:r>
      <w:r w:rsidR="00743CFB" w:rsidRPr="00813453">
        <w:rPr>
          <w:rFonts w:ascii="Times New Roman" w:hAnsi="Times New Roman" w:cstheme="minorHAnsi"/>
          <w:sz w:val="24"/>
        </w:rPr>
        <w:t>o abuso, a deslealdade e a finança… falsos inimigos, te aprontam outro futuro. Os sentidos e a razão ficam cegos.”</w:t>
      </w:r>
      <w:r w:rsidR="00743CFB">
        <w:rPr>
          <w:rFonts w:ascii="Times New Roman" w:hAnsi="Times New Roman" w:cstheme="minorHAnsi"/>
          <w:sz w:val="24"/>
        </w:rPr>
        <w:t xml:space="preserve"> </w:t>
      </w:r>
      <w:r w:rsidR="00743CFB" w:rsidRPr="00813453">
        <w:rPr>
          <w:rFonts w:ascii="Times New Roman" w:hAnsi="Times New Roman" w:cstheme="minorHAnsi"/>
          <w:sz w:val="24"/>
        </w:rPr>
        <w:t xml:space="preserve">Perante esta antecipação de uma decisão injusta, o autor-comentador do panfleto, vem como Paráclito, em auxílio do Povo que “está oprimido em sofrimento e chora”. </w:t>
      </w:r>
      <w:r w:rsidR="00743CFB" w:rsidRPr="00813453">
        <w:rPr>
          <w:rFonts w:ascii="Times New Roman" w:hAnsi="Times New Roman"/>
          <w:noProof/>
          <w:sz w:val="24"/>
          <w:szCs w:val="28"/>
          <w:lang w:eastAsia="pt-PT"/>
        </w:rPr>
        <w:t>A justiça é sinónimo da verdade; p</w:t>
      </w:r>
      <w:r w:rsidR="00743CFB">
        <w:rPr>
          <w:rFonts w:ascii="Times New Roman" w:hAnsi="Times New Roman" w:cstheme="minorHAnsi"/>
          <w:sz w:val="24"/>
        </w:rPr>
        <w:t>raticá</w:t>
      </w:r>
      <w:r w:rsidR="00743CFB" w:rsidRPr="00813453">
        <w:rPr>
          <w:rFonts w:ascii="Times New Roman" w:hAnsi="Times New Roman" w:cstheme="minorHAnsi"/>
          <w:sz w:val="24"/>
        </w:rPr>
        <w:t>-la é da sua própria natureza.</w:t>
      </w:r>
      <w:r w:rsidR="00743CFB">
        <w:rPr>
          <w:rFonts w:ascii="Times New Roman" w:hAnsi="Times New Roman" w:cstheme="minorHAnsi"/>
          <w:sz w:val="24"/>
        </w:rPr>
        <w:t xml:space="preserve"> </w:t>
      </w:r>
      <w:r w:rsidR="00743CFB" w:rsidRPr="00813453">
        <w:rPr>
          <w:rFonts w:ascii="Times New Roman" w:hAnsi="Times New Roman" w:cstheme="minorHAnsi"/>
          <w:sz w:val="24"/>
        </w:rPr>
        <w:t xml:space="preserve">“Dar veredictos justos deve ser a vossa obrigação!”. Não o fazer é aproximar-se da Fraude, é o oposto da justiça; </w:t>
      </w:r>
      <w:r w:rsidR="00743CFB" w:rsidRPr="00813453">
        <w:rPr>
          <w:rFonts w:ascii="Times New Roman" w:hAnsi="Times New Roman"/>
          <w:noProof/>
          <w:sz w:val="24"/>
          <w:szCs w:val="28"/>
          <w:lang w:eastAsia="pt-PT"/>
        </w:rPr>
        <w:t>por isso, um juiz não pode ser por natureza corrupto, é negar a ordem natural.</w:t>
      </w:r>
    </w:p>
    <w:p w:rsidR="0084779C" w:rsidRPr="0084779C" w:rsidRDefault="0084779C" w:rsidP="0084779C">
      <w:pPr>
        <w:pStyle w:val="ListParagraph"/>
        <w:rPr>
          <w:noProof/>
          <w:sz w:val="24"/>
          <w:szCs w:val="28"/>
          <w:lang w:eastAsia="pt-PT"/>
        </w:rPr>
      </w:pPr>
      <w:r w:rsidRPr="00E237ED">
        <w:rPr>
          <w:noProof/>
          <w:lang w:val="en-US"/>
        </w:rPr>
        <w:drawing>
          <wp:inline distT="0" distB="0" distL="0" distR="0">
            <wp:extent cx="4273550" cy="3109180"/>
            <wp:effectExtent l="25400" t="0" r="0" b="0"/>
            <wp:docPr id="5" name="Picture 75" descr="Weibel, Hogen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bel, Hogenau.jpg"/>
                    <pic:cNvPicPr/>
                  </pic:nvPicPr>
                  <pic:blipFill>
                    <a:blip r:embed="rId18" cstate="print"/>
                    <a:stretch>
                      <a:fillRect/>
                    </a:stretch>
                  </pic:blipFill>
                  <pic:spPr>
                    <a:xfrm>
                      <a:off x="0" y="0"/>
                      <a:ext cx="4276037" cy="3110989"/>
                    </a:xfrm>
                    <a:prstGeom prst="rect">
                      <a:avLst/>
                    </a:prstGeom>
                  </pic:spPr>
                </pic:pic>
              </a:graphicData>
            </a:graphic>
          </wp:inline>
        </w:drawing>
      </w:r>
    </w:p>
    <w:p w:rsidR="006B72A2" w:rsidRPr="006B72A2" w:rsidRDefault="006B72A2" w:rsidP="00B20457">
      <w:pPr>
        <w:ind w:left="0"/>
        <w:outlineLvl w:val="0"/>
        <w:rPr>
          <w:rFonts w:ascii="Times New Roman" w:hAnsi="Times New Roman"/>
          <w:sz w:val="20"/>
        </w:rPr>
      </w:pPr>
      <w:r>
        <w:rPr>
          <w:rFonts w:ascii="Times New Roman" w:hAnsi="Times New Roman"/>
          <w:noProof/>
          <w:sz w:val="20"/>
          <w:szCs w:val="28"/>
          <w:lang w:eastAsia="pt-PT"/>
        </w:rPr>
        <w:t>Fig.13</w:t>
      </w:r>
      <w:r w:rsidR="0084779C" w:rsidRPr="0084779C">
        <w:rPr>
          <w:rFonts w:ascii="Times New Roman" w:hAnsi="Times New Roman"/>
          <w:noProof/>
          <w:sz w:val="20"/>
          <w:szCs w:val="28"/>
          <w:lang w:eastAsia="pt-PT"/>
        </w:rPr>
        <w:t xml:space="preserve">:  </w:t>
      </w:r>
      <w:r>
        <w:rPr>
          <w:rFonts w:ascii="Times New Roman" w:hAnsi="Times New Roman"/>
          <w:noProof/>
          <w:sz w:val="20"/>
          <w:szCs w:val="28"/>
          <w:lang w:eastAsia="pt-PT"/>
        </w:rPr>
        <w:t>[</w:t>
      </w:r>
      <w:r w:rsidR="0084779C" w:rsidRPr="006B72A2">
        <w:rPr>
          <w:rFonts w:ascii="Times New Roman" w:hAnsi="Times New Roman"/>
          <w:noProof/>
          <w:sz w:val="20"/>
          <w:szCs w:val="28"/>
          <w:lang w:eastAsia="pt-PT"/>
        </w:rPr>
        <w:t>Juiz de duas caras</w:t>
      </w:r>
      <w:r>
        <w:rPr>
          <w:rFonts w:ascii="Times New Roman" w:hAnsi="Times New Roman"/>
          <w:noProof/>
          <w:sz w:val="20"/>
          <w:szCs w:val="28"/>
          <w:lang w:eastAsia="pt-PT"/>
        </w:rPr>
        <w:t>]</w:t>
      </w:r>
      <w:r w:rsidR="0084779C" w:rsidRPr="006B72A2">
        <w:rPr>
          <w:rFonts w:ascii="Times New Roman" w:hAnsi="Times New Roman"/>
          <w:noProof/>
          <w:sz w:val="20"/>
          <w:szCs w:val="28"/>
          <w:lang w:eastAsia="pt-PT"/>
        </w:rPr>
        <w:t xml:space="preserve"> / Oswel Weibel,1524</w:t>
      </w:r>
      <w:r w:rsidRPr="006B72A2">
        <w:rPr>
          <w:rFonts w:ascii="Times New Roman" w:hAnsi="Times New Roman"/>
          <w:noProof/>
          <w:sz w:val="20"/>
          <w:szCs w:val="28"/>
          <w:lang w:eastAsia="pt-PT"/>
        </w:rPr>
        <w:t xml:space="preserve"> </w:t>
      </w:r>
      <w:r w:rsidRPr="006B72A2">
        <w:rPr>
          <w:rFonts w:ascii="Times New Roman" w:hAnsi="Times New Roman"/>
          <w:sz w:val="20"/>
        </w:rPr>
        <w:t>© The Trustees of the British Museum.</w:t>
      </w:r>
    </w:p>
    <w:p w:rsidR="0084779C" w:rsidRPr="0084779C" w:rsidRDefault="0084779C" w:rsidP="0084779C">
      <w:pPr>
        <w:spacing w:before="0" w:line="360" w:lineRule="auto"/>
        <w:ind w:left="0"/>
        <w:outlineLvl w:val="0"/>
        <w:rPr>
          <w:rFonts w:ascii="Times New Roman" w:hAnsi="Times New Roman"/>
          <w:noProof/>
          <w:sz w:val="20"/>
          <w:szCs w:val="28"/>
          <w:lang w:eastAsia="pt-PT"/>
        </w:rPr>
      </w:pPr>
    </w:p>
    <w:p w:rsidR="009960B6" w:rsidRPr="00813453" w:rsidRDefault="007E08B3" w:rsidP="00743CFB">
      <w:pPr>
        <w:spacing w:line="360" w:lineRule="auto"/>
        <w:ind w:left="0" w:firstLine="720"/>
        <w:rPr>
          <w:rFonts w:ascii="Times New Roman" w:hAnsi="Times New Roman"/>
          <w:noProof/>
          <w:sz w:val="24"/>
          <w:szCs w:val="28"/>
          <w:lang w:eastAsia="pt-PT"/>
        </w:rPr>
      </w:pPr>
      <w:r>
        <w:rPr>
          <w:rFonts w:ascii="Times New Roman" w:hAnsi="Times New Roman"/>
          <w:noProof/>
          <w:sz w:val="24"/>
          <w:szCs w:val="28"/>
          <w:lang w:eastAsia="pt-PT"/>
        </w:rPr>
        <w:t xml:space="preserve"> </w:t>
      </w:r>
      <w:r w:rsidR="009960B6" w:rsidRPr="00813453">
        <w:rPr>
          <w:rFonts w:ascii="Times New Roman" w:hAnsi="Times New Roman"/>
          <w:noProof/>
          <w:sz w:val="24"/>
          <w:szCs w:val="28"/>
          <w:lang w:eastAsia="pt-PT"/>
        </w:rPr>
        <w:t>Esta defesa de uma ordem natural e de um povo como entidade própria é visível não apenas no texto, mas na representação das personificações. Todas elas surgem com uma figuração homogénea e poucos traços de distinção - sem atributos de prestígio social, político ou económico, sugerindo a pertença aos homens bons do poder municipal. Graficamente, o panfleto apresenta essa visão alargada da justiça que tem como primeiro interlocutor o Povo-comunidade.</w:t>
      </w:r>
    </w:p>
    <w:p w:rsidR="0084779C" w:rsidRDefault="009960B6" w:rsidP="0084779C">
      <w:pPr>
        <w:spacing w:before="0" w:after="0" w:line="360" w:lineRule="auto"/>
        <w:ind w:left="0" w:firstLine="720"/>
        <w:rPr>
          <w:rFonts w:ascii="Times New Roman" w:hAnsi="Times New Roman" w:cs="Arial"/>
          <w:sz w:val="24"/>
        </w:rPr>
      </w:pPr>
      <w:r>
        <w:rPr>
          <w:rStyle w:val="addmd"/>
          <w:rFonts w:ascii="Times New Roman" w:hAnsi="Times New Roman"/>
          <w:sz w:val="24"/>
          <w:szCs w:val="21"/>
          <w:shd w:val="clear" w:color="auto" w:fill="FFFFFF"/>
        </w:rPr>
        <w:t xml:space="preserve">Finalmente, </w:t>
      </w:r>
      <w:r w:rsidRPr="00813453">
        <w:rPr>
          <w:rStyle w:val="addmd"/>
          <w:rFonts w:ascii="Times New Roman" w:hAnsi="Times New Roman"/>
          <w:sz w:val="24"/>
          <w:szCs w:val="21"/>
          <w:shd w:val="clear" w:color="auto" w:fill="FFFFFF"/>
        </w:rPr>
        <w:t xml:space="preserve">Joost de Damhoudere, um importante jurista do século XVI, termina a sua pequena obra, </w:t>
      </w:r>
      <w:r w:rsidRPr="0084779C">
        <w:rPr>
          <w:rFonts w:ascii="Times New Roman" w:hAnsi="Times New Roman" w:cs="Arial"/>
          <w:i/>
          <w:sz w:val="24"/>
        </w:rPr>
        <w:t>Enchiridion rerum criminalium</w:t>
      </w:r>
      <w:r w:rsidRPr="00813453">
        <w:rPr>
          <w:rFonts w:ascii="Times New Roman" w:hAnsi="Times New Roman" w:cs="Arial"/>
          <w:sz w:val="24"/>
        </w:rPr>
        <w:t xml:space="preserve"> (</w:t>
      </w:r>
      <w:r w:rsidRPr="00813453">
        <w:rPr>
          <w:rFonts w:ascii="Times New Roman" w:hAnsi="Times New Roman"/>
          <w:sz w:val="24"/>
        </w:rPr>
        <w:t>Louvain,1544</w:t>
      </w:r>
      <w:r w:rsidRPr="00813453">
        <w:rPr>
          <w:rFonts w:ascii="Times New Roman" w:hAnsi="Times New Roman" w:cs="Arial"/>
          <w:sz w:val="24"/>
        </w:rPr>
        <w:t xml:space="preserve">), com a imagem da justiça </w:t>
      </w:r>
      <w:r w:rsidRPr="0084779C">
        <w:rPr>
          <w:rFonts w:ascii="Times New Roman" w:hAnsi="Times New Roman" w:cs="Arial"/>
          <w:sz w:val="24"/>
        </w:rPr>
        <w:t>mundana</w:t>
      </w:r>
      <w:r w:rsidR="0084779C" w:rsidRPr="0084779C">
        <w:rPr>
          <w:rFonts w:ascii="Times New Roman" w:hAnsi="Times New Roman" w:cs="Arial"/>
          <w:sz w:val="24"/>
        </w:rPr>
        <w:t xml:space="preserve">, </w:t>
      </w:r>
      <w:r w:rsidR="0084779C" w:rsidRPr="0084779C">
        <w:rPr>
          <w:rFonts w:ascii="Times New Roman" w:hAnsi="Times New Roman"/>
          <w:sz w:val="24"/>
        </w:rPr>
        <w:t xml:space="preserve">consultado em 4 Julho 2015, e </w:t>
      </w:r>
      <w:r w:rsidR="0084779C" w:rsidRPr="0084779C">
        <w:rPr>
          <w:rFonts w:ascii="Times New Roman" w:hAnsi="Times New Roman" w:cs="Arial"/>
          <w:sz w:val="24"/>
        </w:rPr>
        <w:t>disponível</w:t>
      </w:r>
      <w:r w:rsidR="0084779C">
        <w:rPr>
          <w:rFonts w:ascii="Times New Roman" w:hAnsi="Times New Roman" w:cs="Arial"/>
          <w:sz w:val="24"/>
        </w:rPr>
        <w:t xml:space="preserve"> em:</w:t>
      </w:r>
    </w:p>
    <w:p w:rsidR="0084779C" w:rsidRDefault="00403401" w:rsidP="0084779C">
      <w:pPr>
        <w:spacing w:before="0" w:after="0" w:line="360" w:lineRule="auto"/>
        <w:ind w:left="0" w:firstLine="720"/>
        <w:rPr>
          <w:rFonts w:ascii="Times New Roman" w:hAnsi="Times New Roman" w:cs="Arial"/>
          <w:sz w:val="24"/>
        </w:rPr>
      </w:pPr>
      <w:hyperlink r:id="rId19" w:history="1">
        <w:r w:rsidR="0052365C">
          <w:rPr>
            <w:rStyle w:val="Hyperlink"/>
            <w:rFonts w:ascii="Times New Roman" w:hAnsi="Times New Roman" w:cs="Arial"/>
            <w:sz w:val="24"/>
          </w:rPr>
          <w:t>http://library.law.yale.edu/sites/default/files/images/Damhoudere 1572.jpg</w:t>
        </w:r>
      </w:hyperlink>
      <w:r w:rsidR="0052365C">
        <w:rPr>
          <w:rFonts w:ascii="Times New Roman" w:hAnsi="Times New Roman" w:cs="Arial"/>
          <w:sz w:val="24"/>
        </w:rPr>
        <w:t xml:space="preserve">. </w:t>
      </w:r>
    </w:p>
    <w:p w:rsidR="0084779C" w:rsidRDefault="0084779C" w:rsidP="0084779C">
      <w:pPr>
        <w:spacing w:before="0" w:after="0" w:line="360" w:lineRule="auto"/>
        <w:ind w:left="0" w:firstLine="720"/>
        <w:rPr>
          <w:rFonts w:ascii="Times New Roman" w:hAnsi="Times New Roman" w:cs="Arial"/>
          <w:sz w:val="24"/>
        </w:rPr>
      </w:pPr>
      <w:r w:rsidRPr="0084779C">
        <w:rPr>
          <w:rFonts w:ascii="Times New Roman" w:hAnsi="Times New Roman" w:cs="Arial"/>
          <w:noProof/>
          <w:sz w:val="24"/>
          <w:lang w:val="en-US"/>
        </w:rPr>
        <w:drawing>
          <wp:inline distT="0" distB="0" distL="0" distR="0">
            <wp:extent cx="901576" cy="1460500"/>
            <wp:effectExtent l="25400" t="0" r="0" b="0"/>
            <wp:docPr id="6" name="Picture 83" descr="1Damhoud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amhoudere.jpg"/>
                    <pic:cNvPicPr/>
                  </pic:nvPicPr>
                  <pic:blipFill>
                    <a:blip r:embed="rId20" cstate="print"/>
                    <a:stretch>
                      <a:fillRect/>
                    </a:stretch>
                  </pic:blipFill>
                  <pic:spPr>
                    <a:xfrm>
                      <a:off x="0" y="0"/>
                      <a:ext cx="905448" cy="1466773"/>
                    </a:xfrm>
                    <a:prstGeom prst="rect">
                      <a:avLst/>
                    </a:prstGeom>
                  </pic:spPr>
                </pic:pic>
              </a:graphicData>
            </a:graphic>
          </wp:inline>
        </w:drawing>
      </w:r>
    </w:p>
    <w:p w:rsidR="00BA750D" w:rsidRDefault="0084779C" w:rsidP="00BA750D">
      <w:pPr>
        <w:spacing w:before="0" w:after="0" w:line="360" w:lineRule="auto"/>
        <w:ind w:left="0" w:firstLine="720"/>
        <w:rPr>
          <w:rFonts w:ascii="Times New Roman" w:hAnsi="Times New Roman" w:cs="Arial"/>
          <w:sz w:val="24"/>
        </w:rPr>
      </w:pPr>
      <w:r>
        <w:rPr>
          <w:rFonts w:ascii="Times New Roman" w:hAnsi="Times New Roman" w:cs="Arial"/>
          <w:sz w:val="24"/>
        </w:rPr>
        <w:t>A</w:t>
      </w:r>
      <w:r w:rsidR="009960B6" w:rsidRPr="00813453">
        <w:rPr>
          <w:rFonts w:ascii="Times New Roman" w:hAnsi="Times New Roman" w:cs="Arial"/>
          <w:sz w:val="24"/>
        </w:rPr>
        <w:t xml:space="preserve"> gravura passará a ser frontispício dos seus posteriores tratados</w:t>
      </w:r>
      <w:r w:rsidR="009960B6" w:rsidRPr="00813453">
        <w:rPr>
          <w:rStyle w:val="FootnoteReference"/>
          <w:rFonts w:ascii="Times New Roman" w:hAnsi="Times New Roman" w:cs="Arial"/>
          <w:sz w:val="24"/>
        </w:rPr>
        <w:footnoteReference w:id="28"/>
      </w:r>
      <w:r w:rsidR="009960B6" w:rsidRPr="00813453">
        <w:rPr>
          <w:rFonts w:ascii="Times New Roman" w:hAnsi="Times New Roman" w:cs="Arial"/>
          <w:sz w:val="24"/>
        </w:rPr>
        <w:t>, em que ele, nas sucessivas introduções, explica detalhadamente o sentido da imagem. Ela orienta e explicita a filosofia jurídica que está subjacente nos códigos judiciais. A imagem tem a vantagem de beneficiar de uma extensa explicação dada pelo autor. Só por si, é merecedora de uma investigação e de um estudo próprio.</w:t>
      </w:r>
      <w:r w:rsidR="00BA750D">
        <w:rPr>
          <w:rFonts w:ascii="Times New Roman" w:hAnsi="Times New Roman" w:cs="Arial"/>
          <w:sz w:val="24"/>
        </w:rPr>
        <w:t xml:space="preserve"> </w:t>
      </w:r>
    </w:p>
    <w:p w:rsidR="009960B6" w:rsidRPr="00813453" w:rsidRDefault="009960B6" w:rsidP="00BA750D">
      <w:pPr>
        <w:spacing w:before="0" w:after="0" w:line="360" w:lineRule="auto"/>
        <w:ind w:left="0" w:firstLine="720"/>
        <w:rPr>
          <w:rFonts w:ascii="Times New Roman" w:hAnsi="Times New Roman" w:cs="Arial"/>
          <w:sz w:val="24"/>
        </w:rPr>
      </w:pPr>
      <w:r w:rsidRPr="00813453">
        <w:rPr>
          <w:rFonts w:ascii="Times New Roman" w:hAnsi="Times New Roman" w:cs="Arial"/>
          <w:sz w:val="24"/>
        </w:rPr>
        <w:t>Relacionando-a com a figura do Mau juiz do fresco de Monsaraz e comparando-a com todas as imagens da justiça até agora referidas, ela é a mais original e complexa, quer do ponto de vista doutrinário, quer do ponto de vista visual.</w:t>
      </w:r>
    </w:p>
    <w:p w:rsidR="009960B6" w:rsidRPr="00813453" w:rsidRDefault="009960B6" w:rsidP="009960B6">
      <w:pPr>
        <w:spacing w:before="0" w:after="0" w:line="360" w:lineRule="auto"/>
        <w:ind w:left="0"/>
        <w:rPr>
          <w:rFonts w:ascii="Times New Roman" w:hAnsi="Times New Roman" w:cs="Arial"/>
          <w:sz w:val="24"/>
        </w:rPr>
      </w:pPr>
      <w:r w:rsidRPr="00813453">
        <w:rPr>
          <w:rFonts w:ascii="Times New Roman" w:hAnsi="Times New Roman" w:cs="Arial"/>
          <w:sz w:val="24"/>
        </w:rPr>
        <w:t xml:space="preserve">O autor retrata a simbologia da justiça e intitula-a </w:t>
      </w:r>
      <w:r w:rsidRPr="00BA750D">
        <w:rPr>
          <w:rFonts w:ascii="Times New Roman" w:hAnsi="Times New Roman" w:cs="Arial"/>
          <w:i/>
          <w:sz w:val="24"/>
        </w:rPr>
        <w:t>Efigie da justiça mundana</w:t>
      </w:r>
      <w:r w:rsidRPr="00813453">
        <w:rPr>
          <w:rFonts w:ascii="Times New Roman" w:hAnsi="Times New Roman" w:cs="Arial"/>
          <w:sz w:val="24"/>
        </w:rPr>
        <w:t>. O seu duplo rosto e a mascarilha aproximam-na do juiz de duas caras de Weibel, mas, enquanto neste o juiz é um individuo, em Damhoudere é representada a figura da Justiça enquanto Poder.</w:t>
      </w:r>
      <w:r>
        <w:rPr>
          <w:rFonts w:ascii="Times New Roman" w:hAnsi="Times New Roman" w:cs="Arial"/>
          <w:sz w:val="24"/>
        </w:rPr>
        <w:t xml:space="preserve"> </w:t>
      </w:r>
      <w:r w:rsidRPr="00813453">
        <w:rPr>
          <w:rFonts w:ascii="Times New Roman" w:hAnsi="Times New Roman" w:cs="Arial"/>
          <w:sz w:val="24"/>
        </w:rPr>
        <w:t xml:space="preserve">Esta </w:t>
      </w:r>
      <w:r w:rsidRPr="00481C58">
        <w:rPr>
          <w:rFonts w:ascii="Times New Roman" w:hAnsi="Times New Roman" w:cs="Arial"/>
          <w:i/>
          <w:sz w:val="24"/>
        </w:rPr>
        <w:t>justiça mundana</w:t>
      </w:r>
      <w:r w:rsidRPr="00813453">
        <w:rPr>
          <w:rFonts w:ascii="Times New Roman" w:hAnsi="Times New Roman" w:cs="Arial"/>
          <w:sz w:val="24"/>
        </w:rPr>
        <w:t xml:space="preserve"> personifica a injustiça. Que leituras pode dar à presença deste “ícone” ora no fim, ora no princípio de tão divulgados e traduzidos Códigos? O autor afasta-se da tradicional simbologia da justiça, ladeada por justos reis e juízes (como Salomão e Trajano) e subverte-a. </w:t>
      </w:r>
    </w:p>
    <w:p w:rsidR="009960B6" w:rsidRPr="00813453" w:rsidRDefault="009960B6" w:rsidP="00BA750D">
      <w:pPr>
        <w:spacing w:before="0" w:after="0" w:line="360" w:lineRule="auto"/>
        <w:ind w:left="0" w:firstLine="720"/>
        <w:rPr>
          <w:rFonts w:ascii="Times New Roman" w:hAnsi="Times New Roman" w:cs="Arial"/>
          <w:sz w:val="24"/>
        </w:rPr>
      </w:pPr>
      <w:r w:rsidRPr="00813453">
        <w:rPr>
          <w:rFonts w:ascii="Times New Roman" w:hAnsi="Times New Roman" w:cs="Arial"/>
          <w:sz w:val="24"/>
        </w:rPr>
        <w:t xml:space="preserve">Numa subtil composição e organização narrativa, encontramos os detalhes familiares da justiça: um sumptuoso trono elevado aos céus, espada na mão e cão branco aos pés. Simultaneamente, esta personagem tem duplo rosto, mascarilha e balança em desequilíbrio. Tal como na imagem de Weibel, a sua frente e em primeiro plano, está o Povo-Zé-Ninguém, comunidade. É uma estrutura triangular com a “justiça” no topo, em que o Povo surge ladeado por dois grupos de personagens bem definidas e em campos opostos, segundo o modelo de Cícero. Na perspetiva da “justiça”, à sua direita estão o Favor, o Abuso, o Dinheiro, o Médico, o Advogado, o Tutor e o Recetor. À esquerda estão o Desrespeito, a Pobreza, a Miséria, a Inocência, a Verdade, a Viúva e o Órfão. </w:t>
      </w:r>
    </w:p>
    <w:p w:rsidR="009960B6" w:rsidRPr="00813453" w:rsidRDefault="009960B6" w:rsidP="00BA750D">
      <w:pPr>
        <w:spacing w:before="0" w:after="0" w:line="360" w:lineRule="auto"/>
        <w:ind w:left="0" w:firstLine="720"/>
        <w:rPr>
          <w:rFonts w:ascii="Times New Roman" w:hAnsi="Times New Roman" w:cs="Arial"/>
          <w:sz w:val="24"/>
        </w:rPr>
      </w:pPr>
      <w:r w:rsidRPr="00813453">
        <w:rPr>
          <w:rFonts w:ascii="Times New Roman" w:hAnsi="Times New Roman" w:cs="Arial"/>
          <w:sz w:val="24"/>
        </w:rPr>
        <w:t xml:space="preserve">Esta “justiça” poderosa e mundana assume espacialmente a posição do juiz final, mas julga segundo critérios mundanos. À sua direita estão os ricos e os vícios que ela favorece, à sua esquerda os pobres e desprotegidos, que ela não vê, por causa da mascarilha, e que condena, carregando o braço da balança do lado deles. Longe de ser simples, esta sequência narrativa, vista da perspetiva da justiça mundana, é intercalada por duas sequências, que dão origem a um outro nível de leitura. Na parte inferior da imagem, o fogo devorador do Inferno atinge os ricos favorecidos, enquanto os desfavorecidos sobem as escadas do Paraíso. Este nível de leitura é a visão da justiça de Deus. </w:t>
      </w:r>
    </w:p>
    <w:p w:rsidR="009960B6" w:rsidRPr="00813453" w:rsidRDefault="009960B6" w:rsidP="00BA750D">
      <w:pPr>
        <w:spacing w:before="0" w:after="0" w:line="360" w:lineRule="auto"/>
        <w:ind w:left="0" w:firstLine="720"/>
        <w:rPr>
          <w:rFonts w:ascii="Times New Roman" w:hAnsi="Times New Roman" w:cs="Arial"/>
          <w:sz w:val="24"/>
        </w:rPr>
      </w:pPr>
      <w:r w:rsidRPr="00813453">
        <w:rPr>
          <w:rFonts w:ascii="Times New Roman" w:hAnsi="Times New Roman" w:cs="Arial"/>
          <w:sz w:val="24"/>
        </w:rPr>
        <w:t>A parte superior da imagem aproxima-se da representação dos efeitos da justiça e da injustiça em Giotto. Do lado dos desfavorecidos, da inocência e da verdade concretizam-se os efeitos do bom governo na vida da cidade, com urbanidade, harmonia, abundância e paz, todo isso sob a proteção da Trindade. Do lado dos ricos favorecidos concretizam-se os efeitos políticos do mau governo: guerras e fuga.</w:t>
      </w:r>
    </w:p>
    <w:p w:rsidR="009960B6" w:rsidRPr="00813453" w:rsidRDefault="009960B6" w:rsidP="00BA750D">
      <w:pPr>
        <w:spacing w:before="0" w:after="0" w:line="360" w:lineRule="auto"/>
        <w:ind w:left="0" w:firstLine="720"/>
        <w:rPr>
          <w:rFonts w:ascii="Times New Roman" w:hAnsi="Times New Roman" w:cs="Arial"/>
          <w:sz w:val="24"/>
        </w:rPr>
      </w:pPr>
      <w:r w:rsidRPr="00813453">
        <w:rPr>
          <w:rFonts w:ascii="Times New Roman" w:hAnsi="Times New Roman" w:cs="Arial"/>
          <w:sz w:val="24"/>
        </w:rPr>
        <w:t>A atuação da justiça mundana tem efeitos individuais e coletivos. Para além de não respeitar “o oprimido e a causa da viúva”</w:t>
      </w:r>
      <w:r w:rsidRPr="00813453">
        <w:rPr>
          <w:rStyle w:val="FootnoteReference"/>
          <w:rFonts w:ascii="Times New Roman" w:hAnsi="Times New Roman" w:cs="Arial"/>
          <w:sz w:val="24"/>
        </w:rPr>
        <w:footnoteReference w:id="29"/>
      </w:r>
      <w:r w:rsidRPr="00813453">
        <w:rPr>
          <w:rFonts w:ascii="Times New Roman" w:hAnsi="Times New Roman" w:cs="Arial"/>
          <w:sz w:val="24"/>
        </w:rPr>
        <w:t xml:space="preserve"> provoca a destruição político-institucional da cidade. Ao introduzir na imagem a visão de Deus, o autor está a repor no imaginário dos homens do tribunal os valores de ordem, harmonia, abundância e paz. Chama assim, pela negativa, a atenção sobre os perigos e as dificuldades da aplicação equitativa das normas legais e dos códigos por ele apresentados. </w:t>
      </w:r>
    </w:p>
    <w:p w:rsidR="00E43CDC" w:rsidRDefault="009960B6" w:rsidP="009960B6">
      <w:pPr>
        <w:spacing w:before="0" w:after="200" w:line="360" w:lineRule="auto"/>
        <w:ind w:left="0"/>
        <w:rPr>
          <w:rFonts w:ascii="Times New Roman" w:hAnsi="Times New Roman" w:cs="Arial"/>
          <w:sz w:val="24"/>
        </w:rPr>
      </w:pPr>
      <w:r w:rsidRPr="00813453">
        <w:rPr>
          <w:rFonts w:ascii="Times New Roman" w:hAnsi="Times New Roman" w:cs="Arial"/>
          <w:sz w:val="24"/>
        </w:rPr>
        <w:t>Estamos fora do direito tomista e a um passo do direito natural moderno.</w:t>
      </w:r>
    </w:p>
    <w:p w:rsidR="003256A5" w:rsidRDefault="008F7E18" w:rsidP="00B20457">
      <w:pPr>
        <w:spacing w:before="0" w:line="360" w:lineRule="auto"/>
        <w:ind w:left="0"/>
        <w:outlineLvl w:val="0"/>
        <w:rPr>
          <w:rFonts w:ascii="Times New Roman" w:hAnsi="Times New Roman" w:cs="Arial"/>
          <w:b/>
          <w:sz w:val="24"/>
        </w:rPr>
      </w:pPr>
      <w:r w:rsidRPr="0084779C">
        <w:rPr>
          <w:rFonts w:ascii="Times New Roman" w:hAnsi="Times New Roman" w:cs="Arial"/>
          <w:b/>
          <w:sz w:val="24"/>
        </w:rPr>
        <w:t>Conclusão</w:t>
      </w:r>
      <w:r w:rsidR="003256A5">
        <w:rPr>
          <w:rFonts w:ascii="Times New Roman" w:hAnsi="Times New Roman" w:cs="Arial"/>
          <w:b/>
          <w:sz w:val="24"/>
        </w:rPr>
        <w:t xml:space="preserve"> </w:t>
      </w:r>
    </w:p>
    <w:p w:rsidR="0044766C" w:rsidRPr="003256A5" w:rsidRDefault="0044766C" w:rsidP="00BA750D">
      <w:pPr>
        <w:spacing w:before="0" w:line="360" w:lineRule="auto"/>
        <w:ind w:left="0" w:firstLine="720"/>
        <w:outlineLvl w:val="0"/>
        <w:rPr>
          <w:rFonts w:ascii="Times New Roman" w:hAnsi="Times New Roman" w:cs="Arial"/>
          <w:b/>
          <w:sz w:val="24"/>
        </w:rPr>
      </w:pPr>
      <w:r w:rsidRPr="00F11707">
        <w:rPr>
          <w:rFonts w:ascii="Times New Roman" w:hAnsi="Times New Roman"/>
          <w:sz w:val="24"/>
        </w:rPr>
        <w:t>Olhando de novo para o fresco de Monsaraz, torna-se  agora mais claro perceber como ele se organiza a partir de três fortes núcleos bem diferenciados iconograficamente. Com ex</w:t>
      </w:r>
      <w:r w:rsidR="006A72C6" w:rsidRPr="00F11707">
        <w:rPr>
          <w:rFonts w:ascii="Times New Roman" w:hAnsi="Times New Roman"/>
          <w:sz w:val="24"/>
        </w:rPr>
        <w:t>pressividades plásticas distintas</w:t>
      </w:r>
      <w:r w:rsidRPr="00F11707">
        <w:rPr>
          <w:rFonts w:ascii="Times New Roman" w:hAnsi="Times New Roman"/>
          <w:sz w:val="24"/>
        </w:rPr>
        <w:t xml:space="preserve">, eles geram tensão e confronto: o Bom juiz, o Mau juiz e o julgamento final. A figura do  Bom juiz é a mais simples e a mais comum; a do Mau juiz é de maior originalidade e complexidade narrativa e expressiva; e o julgamento final tem caraterísticas </w:t>
      </w:r>
      <w:r w:rsidR="006A72C6" w:rsidRPr="00F11707">
        <w:rPr>
          <w:rFonts w:ascii="Times New Roman" w:hAnsi="Times New Roman"/>
          <w:sz w:val="24"/>
        </w:rPr>
        <w:t>peculiares</w:t>
      </w:r>
      <w:r w:rsidRPr="00F11707">
        <w:rPr>
          <w:rFonts w:ascii="Times New Roman" w:hAnsi="Times New Roman"/>
          <w:sz w:val="24"/>
        </w:rPr>
        <w:t>, com a sobrevalorização da figura central de Cristo e a ausência dos elementos tradicionais.</w:t>
      </w:r>
      <w:r w:rsidR="00CB0918">
        <w:rPr>
          <w:rFonts w:ascii="Times New Roman" w:hAnsi="Times New Roman"/>
          <w:sz w:val="24"/>
        </w:rPr>
        <w:t xml:space="preserve"> </w:t>
      </w:r>
      <w:r w:rsidRPr="00F11707">
        <w:rPr>
          <w:rFonts w:ascii="Times New Roman" w:hAnsi="Times New Roman"/>
          <w:sz w:val="24"/>
        </w:rPr>
        <w:t>Un</w:t>
      </w:r>
      <w:r w:rsidR="00F11707">
        <w:rPr>
          <w:rFonts w:ascii="Times New Roman" w:hAnsi="Times New Roman"/>
          <w:sz w:val="24"/>
        </w:rPr>
        <w:t>itariamente</w:t>
      </w:r>
      <w:r w:rsidR="00617C1C">
        <w:rPr>
          <w:rFonts w:ascii="Times New Roman" w:hAnsi="Times New Roman"/>
          <w:sz w:val="24"/>
        </w:rPr>
        <w:t xml:space="preserve"> o fresco</w:t>
      </w:r>
      <w:r w:rsidR="00F11707">
        <w:rPr>
          <w:rFonts w:ascii="Times New Roman" w:hAnsi="Times New Roman"/>
          <w:sz w:val="24"/>
        </w:rPr>
        <w:t xml:space="preserve"> a composição revela</w:t>
      </w:r>
      <w:r w:rsidRPr="00F11707">
        <w:rPr>
          <w:rFonts w:ascii="Times New Roman" w:hAnsi="Times New Roman"/>
          <w:sz w:val="24"/>
        </w:rPr>
        <w:t xml:space="preserve">-se original e com um sentido próprio: não se descobriu ainda a gravura ou desenho que tenha servido de base direta ao mural. </w:t>
      </w:r>
    </w:p>
    <w:p w:rsidR="0044766C" w:rsidRPr="00F11707" w:rsidRDefault="0044766C" w:rsidP="00BA750D">
      <w:pPr>
        <w:pStyle w:val="BodyText"/>
        <w:spacing w:before="0" w:line="360" w:lineRule="auto"/>
        <w:ind w:left="0" w:firstLine="720"/>
        <w:rPr>
          <w:rFonts w:ascii="Times New Roman" w:hAnsi="Times New Roman"/>
          <w:sz w:val="24"/>
        </w:rPr>
      </w:pPr>
      <w:r w:rsidRPr="00F11707">
        <w:rPr>
          <w:rFonts w:ascii="Times New Roman" w:hAnsi="Times New Roman"/>
          <w:sz w:val="24"/>
        </w:rPr>
        <w:t xml:space="preserve">Ao longo do </w:t>
      </w:r>
      <w:r w:rsidR="006A72C6" w:rsidRPr="00F11707">
        <w:rPr>
          <w:rFonts w:ascii="Times New Roman" w:hAnsi="Times New Roman"/>
          <w:sz w:val="24"/>
        </w:rPr>
        <w:t>artigo os modelos e as fontes do</w:t>
      </w:r>
      <w:r w:rsidRPr="00F11707">
        <w:rPr>
          <w:rFonts w:ascii="Times New Roman" w:hAnsi="Times New Roman"/>
          <w:sz w:val="24"/>
        </w:rPr>
        <w:t xml:space="preserve"> </w:t>
      </w:r>
      <w:r w:rsidRPr="00F11707">
        <w:rPr>
          <w:rFonts w:ascii="Times New Roman" w:hAnsi="Times New Roman"/>
          <w:i/>
          <w:sz w:val="24"/>
        </w:rPr>
        <w:t>juiz de duplo rosto</w:t>
      </w:r>
      <w:r w:rsidRPr="00F11707">
        <w:rPr>
          <w:rFonts w:ascii="Times New Roman" w:hAnsi="Times New Roman"/>
          <w:sz w:val="24"/>
        </w:rPr>
        <w:t xml:space="preserve"> foram identificados, ligando a iconografia do fresco ao universo de produção e de circulação da iluminura e da gravura europeia</w:t>
      </w:r>
      <w:r w:rsidR="006A72C6" w:rsidRPr="00F11707">
        <w:rPr>
          <w:rFonts w:ascii="Times New Roman" w:hAnsi="Times New Roman"/>
          <w:sz w:val="24"/>
        </w:rPr>
        <w:t xml:space="preserve"> do final da Idade Média e do Renascimento</w:t>
      </w:r>
      <w:r w:rsidRPr="00F11707">
        <w:rPr>
          <w:rFonts w:ascii="Times New Roman" w:hAnsi="Times New Roman"/>
          <w:sz w:val="24"/>
        </w:rPr>
        <w:t>.</w:t>
      </w:r>
    </w:p>
    <w:p w:rsidR="0044766C" w:rsidRPr="00F11707" w:rsidRDefault="0044766C" w:rsidP="00BA750D">
      <w:pPr>
        <w:pStyle w:val="BodyText"/>
        <w:spacing w:before="0" w:line="360" w:lineRule="auto"/>
        <w:ind w:left="0" w:firstLine="720"/>
        <w:rPr>
          <w:rFonts w:ascii="Times New Roman" w:hAnsi="Times New Roman"/>
          <w:sz w:val="24"/>
        </w:rPr>
      </w:pPr>
      <w:r w:rsidRPr="00F11707">
        <w:rPr>
          <w:rFonts w:ascii="Times New Roman" w:hAnsi="Times New Roman"/>
          <w:sz w:val="24"/>
        </w:rPr>
        <w:t>A singularidade conceptual da pintura mural dá-lhe particular relevância, quer em termos portugueses, quer europeus. Sabe-se por documentação escrita que, também no espaço mais alargado europeu, a maior parte dos frescos e pinturas desapareceram (RESNIK,2011).</w:t>
      </w:r>
    </w:p>
    <w:p w:rsidR="006A72C6" w:rsidRPr="00F11707" w:rsidRDefault="006F3194" w:rsidP="00617C1C">
      <w:pPr>
        <w:pStyle w:val="BodyText"/>
        <w:spacing w:before="0" w:line="360" w:lineRule="auto"/>
        <w:ind w:left="0" w:firstLine="720"/>
        <w:rPr>
          <w:rFonts w:ascii="Times New Roman" w:hAnsi="Times New Roman"/>
          <w:sz w:val="24"/>
        </w:rPr>
      </w:pPr>
      <w:r w:rsidRPr="00F11707">
        <w:rPr>
          <w:rFonts w:ascii="Times New Roman" w:hAnsi="Times New Roman"/>
          <w:sz w:val="24"/>
        </w:rPr>
        <w:t>É</w:t>
      </w:r>
      <w:r w:rsidR="0044766C" w:rsidRPr="00F11707">
        <w:rPr>
          <w:rFonts w:ascii="Times New Roman" w:hAnsi="Times New Roman"/>
          <w:sz w:val="24"/>
        </w:rPr>
        <w:t xml:space="preserve"> plausível, pela discrepância entre o valor artístico e técnico do fresco</w:t>
      </w:r>
      <w:r w:rsidR="00847D35" w:rsidRPr="00F11707">
        <w:rPr>
          <w:rFonts w:ascii="Times New Roman" w:hAnsi="Times New Roman"/>
          <w:sz w:val="24"/>
        </w:rPr>
        <w:t xml:space="preserve"> </w:t>
      </w:r>
      <w:r w:rsidR="0044766C" w:rsidRPr="00F11707">
        <w:rPr>
          <w:rFonts w:ascii="Times New Roman" w:hAnsi="Times New Roman"/>
          <w:sz w:val="24"/>
        </w:rPr>
        <w:t xml:space="preserve">e o seu interesse semântico enquanto imagem, distinguir entre a autoria do desenho e a oficina executora do mural. </w:t>
      </w:r>
      <w:r w:rsidRPr="00F11707">
        <w:rPr>
          <w:rFonts w:ascii="Times New Roman" w:hAnsi="Times New Roman"/>
          <w:sz w:val="24"/>
        </w:rPr>
        <w:t>Parece</w:t>
      </w:r>
      <w:r w:rsidR="00847D35" w:rsidRPr="00F11707">
        <w:rPr>
          <w:rFonts w:ascii="Times New Roman" w:hAnsi="Times New Roman"/>
          <w:sz w:val="24"/>
        </w:rPr>
        <w:t xml:space="preserve"> altamente improvável que qu</w:t>
      </w:r>
      <w:r w:rsidR="00F11707">
        <w:rPr>
          <w:rFonts w:ascii="Times New Roman" w:hAnsi="Times New Roman"/>
          <w:sz w:val="24"/>
        </w:rPr>
        <w:t>em concebeu o desenho e o soube</w:t>
      </w:r>
      <w:r w:rsidR="00847D35" w:rsidRPr="00F11707">
        <w:rPr>
          <w:rFonts w:ascii="Times New Roman" w:hAnsi="Times New Roman"/>
          <w:sz w:val="24"/>
        </w:rPr>
        <w:t xml:space="preserve"> </w:t>
      </w:r>
      <w:r w:rsidR="00F11707">
        <w:rPr>
          <w:rFonts w:ascii="Times New Roman" w:hAnsi="Times New Roman"/>
          <w:sz w:val="24"/>
        </w:rPr>
        <w:t xml:space="preserve">convenientemente </w:t>
      </w:r>
      <w:r w:rsidR="00F11707" w:rsidRPr="00F11707">
        <w:rPr>
          <w:rFonts w:ascii="Times New Roman" w:hAnsi="Times New Roman"/>
          <w:sz w:val="24"/>
        </w:rPr>
        <w:t>adequar</w:t>
      </w:r>
      <w:r w:rsidR="00F11707">
        <w:rPr>
          <w:rFonts w:ascii="Times New Roman" w:hAnsi="Times New Roman"/>
          <w:sz w:val="24"/>
        </w:rPr>
        <w:t xml:space="preserve"> </w:t>
      </w:r>
      <w:r w:rsidR="00847D35" w:rsidRPr="00F11707">
        <w:rPr>
          <w:rFonts w:ascii="Times New Roman" w:hAnsi="Times New Roman"/>
          <w:sz w:val="24"/>
        </w:rPr>
        <w:t xml:space="preserve">ao espaço judicial e à função, fosse a mesma pessoa que o pintou de uma maneira tão rudimentar.  </w:t>
      </w:r>
      <w:r w:rsidRPr="00F11707">
        <w:rPr>
          <w:rFonts w:ascii="Times New Roman" w:hAnsi="Times New Roman"/>
          <w:sz w:val="24"/>
        </w:rPr>
        <w:t xml:space="preserve">Assim, consideramos </w:t>
      </w:r>
      <w:r w:rsidR="00F11707" w:rsidRPr="00F11707">
        <w:rPr>
          <w:rFonts w:ascii="Times New Roman" w:hAnsi="Times New Roman"/>
          <w:sz w:val="24"/>
        </w:rPr>
        <w:t>terem existido</w:t>
      </w:r>
      <w:r w:rsidR="00847D35" w:rsidRPr="00F11707">
        <w:rPr>
          <w:rFonts w:ascii="Times New Roman" w:hAnsi="Times New Roman"/>
          <w:sz w:val="24"/>
        </w:rPr>
        <w:t xml:space="preserve"> dois autores: a oficina que executou a obra e o autor que concebeu o desenho. </w:t>
      </w:r>
    </w:p>
    <w:p w:rsidR="0044766C" w:rsidRPr="00F11707" w:rsidRDefault="0044766C" w:rsidP="00BA750D">
      <w:pPr>
        <w:pStyle w:val="BodyText"/>
        <w:spacing w:before="0" w:line="360" w:lineRule="auto"/>
        <w:ind w:left="0" w:firstLine="720"/>
        <w:rPr>
          <w:rFonts w:ascii="Times New Roman" w:hAnsi="Times New Roman"/>
          <w:sz w:val="24"/>
        </w:rPr>
      </w:pPr>
      <w:r w:rsidRPr="00F11707">
        <w:rPr>
          <w:rFonts w:ascii="Times New Roman" w:hAnsi="Times New Roman"/>
          <w:sz w:val="24"/>
        </w:rPr>
        <w:t>Realça-se o papel do encom</w:t>
      </w:r>
      <w:r w:rsidR="00847D35" w:rsidRPr="00F11707">
        <w:rPr>
          <w:rFonts w:ascii="Times New Roman" w:hAnsi="Times New Roman"/>
          <w:sz w:val="24"/>
        </w:rPr>
        <w:t xml:space="preserve">endador da obra, provavelmente </w:t>
      </w:r>
      <w:r w:rsidR="003256A5">
        <w:rPr>
          <w:rFonts w:ascii="Times New Roman" w:hAnsi="Times New Roman"/>
          <w:sz w:val="24"/>
        </w:rPr>
        <w:t>a Casa de Bragança. P</w:t>
      </w:r>
      <w:r w:rsidR="00F11707">
        <w:rPr>
          <w:rFonts w:ascii="Times New Roman" w:hAnsi="Times New Roman"/>
          <w:sz w:val="24"/>
        </w:rPr>
        <w:t>ela análise da</w:t>
      </w:r>
      <w:r w:rsidR="003256A5">
        <w:rPr>
          <w:rFonts w:ascii="Times New Roman" w:hAnsi="Times New Roman"/>
          <w:sz w:val="24"/>
        </w:rPr>
        <w:t xml:space="preserve"> iconografia,</w:t>
      </w:r>
      <w:r w:rsidR="00F11707">
        <w:rPr>
          <w:rFonts w:ascii="Times New Roman" w:hAnsi="Times New Roman"/>
          <w:sz w:val="24"/>
        </w:rPr>
        <w:t xml:space="preserve"> </w:t>
      </w:r>
      <w:r w:rsidR="003256A5" w:rsidRPr="00F11707">
        <w:rPr>
          <w:rFonts w:ascii="Times New Roman" w:hAnsi="Times New Roman"/>
          <w:sz w:val="24"/>
        </w:rPr>
        <w:t>não parece provável</w:t>
      </w:r>
      <w:r w:rsidR="003256A5">
        <w:rPr>
          <w:rFonts w:ascii="Times New Roman" w:hAnsi="Times New Roman"/>
          <w:sz w:val="24"/>
        </w:rPr>
        <w:t xml:space="preserve"> que o fresco tivesse</w:t>
      </w:r>
      <w:r w:rsidRPr="00F11707">
        <w:rPr>
          <w:rFonts w:ascii="Times New Roman" w:hAnsi="Times New Roman"/>
          <w:sz w:val="24"/>
        </w:rPr>
        <w:t xml:space="preserve"> </w:t>
      </w:r>
      <w:r w:rsidR="003256A5">
        <w:rPr>
          <w:rFonts w:ascii="Times New Roman" w:hAnsi="Times New Roman"/>
          <w:sz w:val="24"/>
        </w:rPr>
        <w:t>sido uma encomenda do poder régio, ou d</w:t>
      </w:r>
      <w:r w:rsidR="00847D35" w:rsidRPr="00F11707">
        <w:rPr>
          <w:rFonts w:ascii="Times New Roman" w:hAnsi="Times New Roman"/>
          <w:sz w:val="24"/>
        </w:rPr>
        <w:t>o</w:t>
      </w:r>
      <w:r w:rsidRPr="00F11707">
        <w:rPr>
          <w:rFonts w:ascii="Times New Roman" w:hAnsi="Times New Roman"/>
          <w:sz w:val="24"/>
        </w:rPr>
        <w:t xml:space="preserve"> poder municipal. No entanto, o reinado de D. Manuel é o período provável da realização do Fresco.</w:t>
      </w:r>
    </w:p>
    <w:p w:rsidR="0044766C" w:rsidRPr="00F11707" w:rsidRDefault="0044766C" w:rsidP="00BA750D">
      <w:pPr>
        <w:pStyle w:val="BodyText"/>
        <w:spacing w:before="0" w:line="360" w:lineRule="auto"/>
        <w:ind w:left="0" w:firstLine="720"/>
        <w:rPr>
          <w:rFonts w:ascii="Times New Roman" w:hAnsi="Times New Roman"/>
          <w:sz w:val="24"/>
        </w:rPr>
      </w:pPr>
      <w:r w:rsidRPr="00F11707">
        <w:rPr>
          <w:rFonts w:ascii="Times New Roman" w:hAnsi="Times New Roman"/>
          <w:sz w:val="24"/>
        </w:rPr>
        <w:t>O autor do cartão do fresco idealiza o juiz, aquele que concretiza a verdade, o direito, e a justiça, pelo confronto imediato com o vício. Vício da injustiça que se vai abrindo a outros hábitos, contrários à dignidade humana, e ao dar a cada um o que é seu. Ao personalizar a Injustiça com a máscara da fraude (a mãe dos vícios)  o autor está a exprimir a força arquetípica da animalidade, iniquidade, imoralidade. Estas características, fixadas no Antigo Testamento e na literatura grega, foram posteriormente cristianizadas no modelo de vícios e virtudes medievais. Tradição finalmente vinculada no Renascimento pela permanência do direito e da mundividência tomista.</w:t>
      </w:r>
    </w:p>
    <w:p w:rsidR="0044766C" w:rsidRPr="00F11707" w:rsidRDefault="0044766C" w:rsidP="00BA750D">
      <w:pPr>
        <w:pStyle w:val="BodyText"/>
        <w:spacing w:before="0" w:line="360" w:lineRule="auto"/>
        <w:ind w:left="0" w:firstLine="720"/>
        <w:rPr>
          <w:rFonts w:ascii="Times New Roman" w:hAnsi="Times New Roman"/>
          <w:sz w:val="24"/>
        </w:rPr>
      </w:pPr>
      <w:r w:rsidRPr="00F11707">
        <w:rPr>
          <w:rFonts w:ascii="Times New Roman" w:hAnsi="Times New Roman"/>
          <w:sz w:val="24"/>
        </w:rPr>
        <w:t>No fresco de Monsaraz, à fraude, enquanto roda dos vícios com grande expressividade, mas fechada sobre ela, opõe-se a roda da fortuna, em que o Bom juiz, em direta dependência dos anjos e de Cristo, concretiza, pela sua atuação, a Lei. Este confronto visual entre o isolamento da fraude e a interligação Bom juiz - Coroa - Cristo reforça o valor moral e individual das virtudes. A ação política e a ação judicial são atividades (virtudes práticas) alargadas desse hábito pessoal, integrado na ordem cósmica, como defende S. Tomás de Aquino. E o fresco dá preeminência a uma reflexão moral do direito.</w:t>
      </w:r>
    </w:p>
    <w:p w:rsidR="00A06FC8" w:rsidRPr="00F11707" w:rsidRDefault="00617C1C" w:rsidP="00AF3F82">
      <w:pPr>
        <w:pStyle w:val="BodyText"/>
        <w:spacing w:before="0" w:line="360" w:lineRule="auto"/>
        <w:ind w:left="0" w:firstLine="720"/>
        <w:rPr>
          <w:rFonts w:ascii="Times New Roman" w:hAnsi="Times New Roman"/>
          <w:sz w:val="24"/>
        </w:rPr>
      </w:pPr>
      <w:r>
        <w:rPr>
          <w:rFonts w:ascii="Times New Roman" w:hAnsi="Times New Roman"/>
          <w:sz w:val="24"/>
        </w:rPr>
        <w:t>No F</w:t>
      </w:r>
      <w:r w:rsidR="0044766C" w:rsidRPr="00F11707">
        <w:rPr>
          <w:rFonts w:ascii="Times New Roman" w:hAnsi="Times New Roman"/>
          <w:sz w:val="24"/>
        </w:rPr>
        <w:t>resco</w:t>
      </w:r>
      <w:r>
        <w:rPr>
          <w:rFonts w:ascii="Times New Roman" w:hAnsi="Times New Roman"/>
          <w:sz w:val="24"/>
        </w:rPr>
        <w:t xml:space="preserve"> de Monsaraz</w:t>
      </w:r>
      <w:r w:rsidR="0044766C" w:rsidRPr="00F11707">
        <w:rPr>
          <w:rFonts w:ascii="Times New Roman" w:hAnsi="Times New Roman"/>
          <w:sz w:val="24"/>
        </w:rPr>
        <w:t>, o direito humano, dependente do direito e da justiça divina, é concretizado pela justiça régia, devido à sua natural e legítima ligação com a realeza divina. A justiça, enquanto virtude e hábito moral, é sobrevalorizada através das relações de confronto do Bom juiz com o vício e com a justiça divina. Desta tensão resulta ainda uma valorização ambígua da virtude do juiz/monarca/sacerdote. O poder régio recorre a este sincretismo imagético para se legitimar enquanto Coroa e, simultaneamente, para se fortalecer política, administrativa e judicialmente.</w:t>
      </w:r>
    </w:p>
    <w:p w:rsidR="00A06FC8" w:rsidRPr="00F11707" w:rsidRDefault="00A06FC8" w:rsidP="00B20457">
      <w:pPr>
        <w:pStyle w:val="BodyText"/>
        <w:spacing w:before="0"/>
        <w:ind w:left="0"/>
        <w:outlineLvl w:val="0"/>
        <w:rPr>
          <w:rFonts w:ascii="Times New Roman" w:hAnsi="Times New Roman"/>
          <w:b/>
          <w:sz w:val="24"/>
        </w:rPr>
      </w:pPr>
      <w:r w:rsidRPr="00F11707">
        <w:rPr>
          <w:rFonts w:ascii="Times New Roman" w:hAnsi="Times New Roman"/>
          <w:b/>
          <w:sz w:val="24"/>
        </w:rPr>
        <w:t xml:space="preserve">Índice de Ilustrações e créditos. </w:t>
      </w:r>
    </w:p>
    <w:p w:rsidR="00A06FC8" w:rsidRPr="00A06FC8" w:rsidRDefault="00A06FC8" w:rsidP="008E67D1">
      <w:pPr>
        <w:pStyle w:val="BodyText"/>
        <w:spacing w:before="0"/>
        <w:ind w:left="0"/>
        <w:rPr>
          <w:rFonts w:ascii="Times New Roman" w:hAnsi="Times New Roman"/>
          <w:sz w:val="24"/>
        </w:rPr>
      </w:pPr>
      <w:r w:rsidRPr="00A06FC8">
        <w:rPr>
          <w:rFonts w:ascii="Times New Roman" w:hAnsi="Times New Roman" w:cs="Arial"/>
          <w:sz w:val="24"/>
        </w:rPr>
        <w:t xml:space="preserve">Agradeço ao British Museum, </w:t>
      </w:r>
      <w:r w:rsidR="008E67D1">
        <w:rPr>
          <w:rFonts w:ascii="Times New Roman" w:hAnsi="Times New Roman" w:cs="Arial"/>
          <w:sz w:val="24"/>
        </w:rPr>
        <w:t xml:space="preserve">à Biblioteca Nacional de França, </w:t>
      </w:r>
      <w:r w:rsidRPr="00A06FC8">
        <w:rPr>
          <w:rFonts w:ascii="Times New Roman" w:hAnsi="Times New Roman" w:cs="Arial"/>
          <w:sz w:val="24"/>
        </w:rPr>
        <w:t xml:space="preserve">ao </w:t>
      </w:r>
      <w:r w:rsidRPr="00A06FC8">
        <w:rPr>
          <w:rFonts w:ascii="Times New Roman" w:hAnsi="Times New Roman"/>
          <w:sz w:val="24"/>
        </w:rPr>
        <w:t>Museu Cívico da Comuna de Siena</w:t>
      </w:r>
      <w:r w:rsidR="008E67D1">
        <w:rPr>
          <w:rFonts w:ascii="Times New Roman" w:hAnsi="Times New Roman"/>
          <w:sz w:val="24"/>
        </w:rPr>
        <w:t>, b</w:t>
      </w:r>
      <w:r w:rsidRPr="00A06FC8">
        <w:rPr>
          <w:rFonts w:ascii="Times New Roman" w:hAnsi="Times New Roman" w:cs="Arial"/>
          <w:sz w:val="24"/>
        </w:rPr>
        <w:t>e</w:t>
      </w:r>
      <w:r w:rsidR="008E67D1">
        <w:rPr>
          <w:rFonts w:ascii="Times New Roman" w:hAnsi="Times New Roman" w:cs="Arial"/>
          <w:sz w:val="24"/>
        </w:rPr>
        <w:t>m como</w:t>
      </w:r>
      <w:r w:rsidRPr="00A06FC8">
        <w:rPr>
          <w:rFonts w:ascii="Times New Roman" w:hAnsi="Times New Roman" w:cs="Arial"/>
          <w:sz w:val="24"/>
        </w:rPr>
        <w:t xml:space="preserve"> ao Laboratório Hércules a amável autorização da reprodução das imagens:</w:t>
      </w:r>
    </w:p>
    <w:p w:rsidR="00A06FC8" w:rsidRPr="00A06FC8" w:rsidRDefault="00A06FC8" w:rsidP="00A06FC8">
      <w:pPr>
        <w:spacing w:before="0"/>
        <w:ind w:left="0"/>
        <w:rPr>
          <w:rFonts w:ascii="Times New Roman" w:hAnsi="Times New Roman" w:cs="Arial"/>
          <w:sz w:val="24"/>
        </w:rPr>
      </w:pPr>
      <w:r w:rsidRPr="00A06FC8">
        <w:rPr>
          <w:rFonts w:ascii="Times New Roman" w:hAnsi="Times New Roman"/>
          <w:sz w:val="24"/>
        </w:rPr>
        <w:t xml:space="preserve">FIG.1: [O bom e o mau juiz]. Neste artigo designado por Fresco de Monsaraz. Pintura mural, atribuída por Luís Afonso ao Mestre de Monsaraz-Beja, séc. XIV?-XVI?, na sala de Audiência do Antigo do Paço do Concelho de Monsaraz/ Museu do Fresco, Monsaraz. Fotos M.Gil © Hercules 2012. </w:t>
      </w:r>
    </w:p>
    <w:p w:rsidR="00A06FC8" w:rsidRPr="00A06FC8" w:rsidRDefault="006B72A2" w:rsidP="00A06FC8">
      <w:pPr>
        <w:spacing w:before="0"/>
        <w:ind w:left="0"/>
        <w:rPr>
          <w:rFonts w:ascii="Times New Roman" w:hAnsi="Times New Roman" w:cs="Arial"/>
          <w:sz w:val="24"/>
        </w:rPr>
      </w:pPr>
      <w:r>
        <w:rPr>
          <w:rFonts w:ascii="Times New Roman" w:hAnsi="Times New Roman"/>
          <w:sz w:val="24"/>
        </w:rPr>
        <w:t>FIG.2</w:t>
      </w:r>
      <w:r w:rsidR="00A06FC8" w:rsidRPr="00A06FC8">
        <w:rPr>
          <w:rFonts w:ascii="Times New Roman" w:hAnsi="Times New Roman"/>
          <w:sz w:val="24"/>
        </w:rPr>
        <w:t>: Fresco de Monsaraz. P</w:t>
      </w:r>
      <w:r w:rsidR="00A06FC8" w:rsidRPr="00A06FC8">
        <w:rPr>
          <w:rFonts w:ascii="Times New Roman" w:hAnsi="Times New Roman" w:cs="Arial"/>
          <w:sz w:val="24"/>
        </w:rPr>
        <w:t xml:space="preserve">ainel inferior do </w:t>
      </w:r>
      <w:r w:rsidR="00A06FC8" w:rsidRPr="00A06FC8">
        <w:rPr>
          <w:rFonts w:ascii="Times New Roman" w:hAnsi="Times New Roman"/>
          <w:sz w:val="24"/>
        </w:rPr>
        <w:t>Bom e do Mau juiz.</w:t>
      </w:r>
      <w:r w:rsidR="00A06FC8" w:rsidRPr="00A06FC8">
        <w:rPr>
          <w:rFonts w:ascii="Times New Roman" w:hAnsi="Times New Roman" w:cs="Arial"/>
          <w:sz w:val="24"/>
        </w:rPr>
        <w:t xml:space="preserve"> </w:t>
      </w:r>
      <w:r w:rsidR="00A06FC8" w:rsidRPr="00A06FC8">
        <w:rPr>
          <w:rFonts w:ascii="Times New Roman" w:hAnsi="Times New Roman"/>
          <w:sz w:val="24"/>
        </w:rPr>
        <w:t xml:space="preserve">Fotos M.Gil © Hercules 2012. </w:t>
      </w:r>
    </w:p>
    <w:p w:rsidR="00A06FC8" w:rsidRPr="00A06FC8" w:rsidRDefault="006B72A2" w:rsidP="00A06FC8">
      <w:pPr>
        <w:spacing w:before="0"/>
        <w:ind w:left="0"/>
        <w:rPr>
          <w:rFonts w:ascii="Times New Roman" w:hAnsi="Times New Roman" w:cs="Arial"/>
          <w:sz w:val="24"/>
        </w:rPr>
      </w:pPr>
      <w:r>
        <w:rPr>
          <w:rFonts w:ascii="Times New Roman" w:hAnsi="Times New Roman"/>
          <w:sz w:val="24"/>
        </w:rPr>
        <w:t>FIG.3</w:t>
      </w:r>
      <w:r w:rsidR="00A06FC8" w:rsidRPr="00A06FC8">
        <w:rPr>
          <w:rFonts w:ascii="Times New Roman" w:hAnsi="Times New Roman"/>
          <w:sz w:val="24"/>
        </w:rPr>
        <w:t xml:space="preserve">: </w:t>
      </w:r>
      <w:r w:rsidR="00A06FC8" w:rsidRPr="00A06FC8">
        <w:rPr>
          <w:rFonts w:ascii="Times New Roman" w:hAnsi="Times New Roman"/>
          <w:sz w:val="24"/>
          <w:shd w:val="clear" w:color="auto" w:fill="FAF9F5"/>
        </w:rPr>
        <w:t xml:space="preserve">Bocaccio, </w:t>
      </w:r>
      <w:r w:rsidR="00A06FC8" w:rsidRPr="00A06FC8">
        <w:rPr>
          <w:rFonts w:ascii="Times New Roman" w:hAnsi="Times New Roman" w:cs="Arial"/>
          <w:sz w:val="24"/>
        </w:rPr>
        <w:t>Julgamento de Sempronia,</w:t>
      </w:r>
      <w:r w:rsidR="00A06FC8" w:rsidRPr="00A06FC8">
        <w:rPr>
          <w:rFonts w:ascii="Times New Roman" w:hAnsi="Times New Roman"/>
          <w:sz w:val="24"/>
          <w:shd w:val="clear" w:color="auto" w:fill="FAF9F5"/>
        </w:rPr>
        <w:t xml:space="preserve"> Mulieribus Claris,1400.</w:t>
      </w:r>
      <w:r w:rsidR="00A06FC8" w:rsidRPr="00A06FC8">
        <w:rPr>
          <w:rFonts w:ascii="Times New Roman" w:hAnsi="Times New Roman" w:cs="Arial"/>
          <w:sz w:val="24"/>
        </w:rPr>
        <w:t xml:space="preserve"> </w:t>
      </w:r>
      <w:r w:rsidR="00A06FC8" w:rsidRPr="00A06FC8">
        <w:rPr>
          <w:rFonts w:ascii="Times New Roman" w:hAnsi="Times New Roman"/>
          <w:sz w:val="24"/>
          <w:shd w:val="clear" w:color="auto" w:fill="FAF9F5"/>
          <w:lang w:val="fr-FR"/>
        </w:rPr>
        <w:t xml:space="preserve">Trad. anónima, BnF, Mss. Français 598, fl. 114 © </w:t>
      </w:r>
      <w:r w:rsidR="00A06FC8" w:rsidRPr="00A06FC8">
        <w:rPr>
          <w:rFonts w:ascii="Times New Roman" w:hAnsi="Times New Roman"/>
          <w:sz w:val="24"/>
          <w:lang w:val="fr-FR"/>
        </w:rPr>
        <w:t>BnF.fr.</w:t>
      </w:r>
    </w:p>
    <w:p w:rsidR="00A06FC8" w:rsidRPr="00A06FC8" w:rsidRDefault="00A06FC8" w:rsidP="00A06FC8">
      <w:pPr>
        <w:ind w:left="0"/>
        <w:rPr>
          <w:rFonts w:ascii="Times New Roman" w:hAnsi="Times New Roman" w:cs="Arial"/>
          <w:sz w:val="24"/>
        </w:rPr>
      </w:pPr>
      <w:r w:rsidRPr="00A06FC8">
        <w:rPr>
          <w:rFonts w:ascii="Times New Roman" w:hAnsi="Times New Roman"/>
          <w:sz w:val="24"/>
        </w:rPr>
        <w:t>FIG.4:</w:t>
      </w:r>
      <w:r w:rsidRPr="00A06FC8">
        <w:rPr>
          <w:rFonts w:ascii="Times New Roman" w:hAnsi="Times New Roman" w:cs="Arial"/>
          <w:sz w:val="24"/>
        </w:rPr>
        <w:t xml:space="preserve"> </w:t>
      </w:r>
      <w:r w:rsidRPr="00A06FC8">
        <w:rPr>
          <w:rFonts w:ascii="Times New Roman" w:hAnsi="Times New Roman"/>
          <w:sz w:val="24"/>
          <w:shd w:val="clear" w:color="auto" w:fill="FAF9F5"/>
        </w:rPr>
        <w:t>Valerius Maximus,</w:t>
      </w:r>
      <w:r w:rsidRPr="00A06FC8">
        <w:rPr>
          <w:rFonts w:ascii="Times New Roman" w:hAnsi="Times New Roman" w:cs="Arial"/>
          <w:sz w:val="24"/>
        </w:rPr>
        <w:t xml:space="preserve"> Dois julgamentos</w:t>
      </w:r>
      <w:r w:rsidRPr="00A06FC8">
        <w:rPr>
          <w:rFonts w:ascii="Times New Roman" w:hAnsi="Times New Roman"/>
          <w:sz w:val="24"/>
          <w:shd w:val="clear" w:color="auto" w:fill="FAF9F5"/>
        </w:rPr>
        <w:t>,</w:t>
      </w:r>
      <w:r w:rsidRPr="00A06FC8">
        <w:rPr>
          <w:rFonts w:ascii="Times New Roman" w:hAnsi="Times New Roman" w:cs="Arial"/>
          <w:sz w:val="24"/>
        </w:rPr>
        <w:t xml:space="preserve"> </w:t>
      </w:r>
      <w:r w:rsidRPr="00A06FC8">
        <w:rPr>
          <w:rFonts w:ascii="Times New Roman" w:hAnsi="Times New Roman"/>
          <w:sz w:val="24"/>
          <w:shd w:val="clear" w:color="auto" w:fill="FAF9F5"/>
        </w:rPr>
        <w:t>Facta et Dicta Memorabilia, 1401.</w:t>
      </w:r>
      <w:r w:rsidRPr="00A06FC8">
        <w:rPr>
          <w:rFonts w:ascii="Times New Roman" w:hAnsi="Times New Roman"/>
          <w:sz w:val="24"/>
        </w:rPr>
        <w:t>Iluminura de</w:t>
      </w:r>
      <w:r w:rsidRPr="00A06FC8">
        <w:rPr>
          <w:rFonts w:ascii="Times New Roman" w:hAnsi="Times New Roman"/>
          <w:sz w:val="24"/>
          <w:shd w:val="clear" w:color="auto" w:fill="FAF9F5"/>
        </w:rPr>
        <w:t xml:space="preserve"> Mestre Virgílio, trad. de Simon de Hesdin et Nicolas de Gonesse, BnF, Mss. Français 282, fl1, cota: RC_A_52158 © </w:t>
      </w:r>
      <w:r w:rsidRPr="00A06FC8">
        <w:rPr>
          <w:rFonts w:ascii="Times New Roman" w:hAnsi="Times New Roman"/>
          <w:sz w:val="24"/>
        </w:rPr>
        <w:t>BnF.fr.</w:t>
      </w:r>
    </w:p>
    <w:p w:rsidR="00A06FC8" w:rsidRDefault="00A06FC8" w:rsidP="00A06FC8">
      <w:pPr>
        <w:spacing w:before="0"/>
        <w:ind w:left="0"/>
        <w:outlineLvl w:val="0"/>
        <w:rPr>
          <w:rFonts w:ascii="Times New Roman" w:hAnsi="Times New Roman"/>
          <w:sz w:val="24"/>
        </w:rPr>
      </w:pPr>
      <w:r w:rsidRPr="00A06FC8">
        <w:rPr>
          <w:rFonts w:ascii="Times New Roman" w:hAnsi="Times New Roman"/>
          <w:sz w:val="24"/>
        </w:rPr>
        <w:t>FIG.5:</w:t>
      </w:r>
      <w:r w:rsidRPr="00A06FC8">
        <w:rPr>
          <w:rFonts w:ascii="Times New Roman" w:hAnsi="Times New Roman" w:cs="Arial"/>
          <w:sz w:val="24"/>
        </w:rPr>
        <w:t xml:space="preserve"> </w:t>
      </w:r>
      <w:r w:rsidRPr="00A06FC8">
        <w:rPr>
          <w:rFonts w:ascii="Times New Roman" w:hAnsi="Times New Roman"/>
          <w:sz w:val="24"/>
        </w:rPr>
        <w:t xml:space="preserve">Fresco de Monsaraz. </w:t>
      </w:r>
      <w:r w:rsidRPr="00A06FC8">
        <w:rPr>
          <w:rFonts w:ascii="Times New Roman" w:hAnsi="Times New Roman" w:cs="Arial"/>
          <w:sz w:val="24"/>
        </w:rPr>
        <w:t xml:space="preserve">O </w:t>
      </w:r>
      <w:r w:rsidRPr="00A06FC8">
        <w:rPr>
          <w:rFonts w:ascii="Times New Roman" w:hAnsi="Times New Roman"/>
          <w:sz w:val="24"/>
        </w:rPr>
        <w:t xml:space="preserve">Mau juiz (detalhe). Fotos M.Gil © Hercules 2012. </w:t>
      </w:r>
    </w:p>
    <w:p w:rsidR="00A06FC8" w:rsidRPr="00A06FC8" w:rsidRDefault="00A06FC8" w:rsidP="00A06FC8">
      <w:pPr>
        <w:spacing w:before="0"/>
        <w:ind w:left="0"/>
        <w:rPr>
          <w:rFonts w:ascii="Times New Roman" w:hAnsi="Times New Roman" w:cs="Arial"/>
          <w:sz w:val="24"/>
          <w:lang w:val="fr-FR"/>
        </w:rPr>
      </w:pPr>
      <w:r w:rsidRPr="00A06FC8">
        <w:rPr>
          <w:rFonts w:ascii="Times New Roman" w:hAnsi="Times New Roman"/>
          <w:sz w:val="24"/>
        </w:rPr>
        <w:t>FIG.6</w:t>
      </w:r>
      <w:r w:rsidR="006B72A2">
        <w:rPr>
          <w:rFonts w:ascii="Times New Roman" w:hAnsi="Times New Roman"/>
          <w:sz w:val="24"/>
        </w:rPr>
        <w:t xml:space="preserve"> e 7</w:t>
      </w:r>
      <w:r w:rsidRPr="00A06FC8">
        <w:rPr>
          <w:rFonts w:ascii="Times New Roman" w:hAnsi="Times New Roman"/>
          <w:sz w:val="24"/>
        </w:rPr>
        <w:t xml:space="preserve">: Comparação entre o mau juiz de Holbein e o Fresco de Monsaraz. </w:t>
      </w:r>
      <w:r w:rsidRPr="00A06FC8">
        <w:rPr>
          <w:rFonts w:ascii="Times New Roman" w:hAnsi="Times New Roman"/>
          <w:sz w:val="24"/>
          <w:lang w:val="fr-FR"/>
        </w:rPr>
        <w:t xml:space="preserve">Fotos M.Gil © Hercules 2012. </w:t>
      </w:r>
    </w:p>
    <w:p w:rsidR="006B72A2" w:rsidRDefault="00A06FC8" w:rsidP="00A06FC8">
      <w:pPr>
        <w:spacing w:before="0" w:after="200"/>
        <w:ind w:left="0"/>
        <w:rPr>
          <w:rFonts w:ascii="Times New Roman" w:hAnsi="Times New Roman"/>
          <w:sz w:val="24"/>
          <w:lang w:val="en-US"/>
        </w:rPr>
      </w:pPr>
      <w:r w:rsidRPr="00A06FC8">
        <w:rPr>
          <w:rFonts w:ascii="Times New Roman" w:hAnsi="Times New Roman"/>
          <w:sz w:val="24"/>
        </w:rPr>
        <w:t xml:space="preserve">FIG. </w:t>
      </w:r>
      <w:r w:rsidR="006B72A2">
        <w:rPr>
          <w:rFonts w:ascii="Times New Roman" w:hAnsi="Times New Roman"/>
          <w:sz w:val="24"/>
        </w:rPr>
        <w:t>8</w:t>
      </w:r>
      <w:r w:rsidRPr="00A06FC8">
        <w:rPr>
          <w:rFonts w:ascii="Times New Roman" w:hAnsi="Times New Roman"/>
          <w:sz w:val="24"/>
        </w:rPr>
        <w:t>:</w:t>
      </w:r>
      <w:r w:rsidRPr="00A06FC8">
        <w:rPr>
          <w:rFonts w:ascii="Times New Roman" w:hAnsi="Times New Roman" w:cs="Arial"/>
          <w:sz w:val="24"/>
        </w:rPr>
        <w:t xml:space="preserve"> Atribuída a Andrea Mantegna, Prudência. Integrada numa serie de 16 cartas de Tarot, sobre vícios e virtudes, ca.1465. </w:t>
      </w:r>
      <w:r w:rsidRPr="00A06FC8">
        <w:rPr>
          <w:rFonts w:ascii="Times New Roman" w:hAnsi="Times New Roman" w:cs="Arial"/>
          <w:sz w:val="24"/>
          <w:lang w:val="en-US"/>
        </w:rPr>
        <w:t xml:space="preserve">Gravura, </w:t>
      </w:r>
      <w:r w:rsidRPr="00A06FC8">
        <w:rPr>
          <w:rFonts w:ascii="Times New Roman" w:hAnsi="Times New Roman"/>
          <w:sz w:val="24"/>
          <w:lang w:val="en-US"/>
        </w:rPr>
        <w:t xml:space="preserve">British Museum, cota: 1895, 0915.35,1465 </w:t>
      </w:r>
      <w:r w:rsidRPr="00A06FC8">
        <w:rPr>
          <w:rFonts w:ascii="Times New Roman" w:hAnsi="Times New Roman" w:cs="Arial"/>
          <w:sz w:val="24"/>
          <w:lang w:val="en-US"/>
        </w:rPr>
        <w:t xml:space="preserve"> </w:t>
      </w:r>
      <w:r w:rsidRPr="00A06FC8">
        <w:rPr>
          <w:rFonts w:ascii="Times New Roman" w:hAnsi="Times New Roman"/>
          <w:sz w:val="24"/>
          <w:lang w:val="en-US"/>
        </w:rPr>
        <w:t>© The Trustees of the British Museum.</w:t>
      </w:r>
    </w:p>
    <w:p w:rsidR="00A06FC8" w:rsidRPr="006B72A2" w:rsidRDefault="006B72A2" w:rsidP="006B72A2">
      <w:pPr>
        <w:spacing w:before="0"/>
        <w:ind w:left="0"/>
        <w:outlineLvl w:val="0"/>
        <w:rPr>
          <w:rFonts w:ascii="Times New Roman" w:hAnsi="Times New Roman" w:cs="Arial"/>
          <w:sz w:val="24"/>
        </w:rPr>
      </w:pPr>
      <w:r>
        <w:rPr>
          <w:rFonts w:ascii="Times New Roman" w:hAnsi="Times New Roman"/>
          <w:sz w:val="24"/>
        </w:rPr>
        <w:t>FIG.9</w:t>
      </w:r>
      <w:r w:rsidRPr="00A06FC8">
        <w:rPr>
          <w:rFonts w:ascii="Times New Roman" w:hAnsi="Times New Roman"/>
          <w:sz w:val="24"/>
        </w:rPr>
        <w:t>:</w:t>
      </w:r>
      <w:r w:rsidRPr="00A06FC8">
        <w:rPr>
          <w:rFonts w:ascii="Times New Roman" w:hAnsi="Times New Roman" w:cs="Arial"/>
          <w:sz w:val="24"/>
        </w:rPr>
        <w:t xml:space="preserve"> </w:t>
      </w:r>
      <w:r w:rsidRPr="00A06FC8">
        <w:rPr>
          <w:rFonts w:ascii="Times New Roman" w:hAnsi="Times New Roman"/>
          <w:sz w:val="24"/>
        </w:rPr>
        <w:t xml:space="preserve">Fresco de Monsaraz. </w:t>
      </w:r>
      <w:r w:rsidRPr="00A06FC8">
        <w:rPr>
          <w:rFonts w:ascii="Times New Roman" w:hAnsi="Times New Roman" w:cs="Arial"/>
          <w:sz w:val="24"/>
        </w:rPr>
        <w:t xml:space="preserve">O </w:t>
      </w:r>
      <w:r>
        <w:rPr>
          <w:rFonts w:ascii="Times New Roman" w:hAnsi="Times New Roman"/>
          <w:sz w:val="24"/>
        </w:rPr>
        <w:t>Bom</w:t>
      </w:r>
      <w:r w:rsidRPr="00A06FC8">
        <w:rPr>
          <w:rFonts w:ascii="Times New Roman" w:hAnsi="Times New Roman"/>
          <w:sz w:val="24"/>
        </w:rPr>
        <w:t xml:space="preserve"> juiz (detalhe). Fotos M.Gil © Hercules 2012. </w:t>
      </w:r>
    </w:p>
    <w:p w:rsidR="00A06FC8" w:rsidRPr="008E67D1" w:rsidRDefault="00A06FC8" w:rsidP="008E67D1">
      <w:pPr>
        <w:pStyle w:val="BodyText"/>
        <w:spacing w:before="0"/>
        <w:ind w:left="0"/>
        <w:outlineLvl w:val="0"/>
        <w:rPr>
          <w:rFonts w:ascii="Times New Roman" w:hAnsi="Times New Roman"/>
          <w:sz w:val="24"/>
        </w:rPr>
      </w:pPr>
      <w:r w:rsidRPr="00A06FC8">
        <w:rPr>
          <w:rFonts w:ascii="Times New Roman" w:hAnsi="Times New Roman"/>
          <w:sz w:val="24"/>
        </w:rPr>
        <w:t xml:space="preserve">Fig. </w:t>
      </w:r>
      <w:r w:rsidR="006B72A2">
        <w:rPr>
          <w:rFonts w:ascii="Times New Roman" w:hAnsi="Times New Roman"/>
          <w:sz w:val="24"/>
        </w:rPr>
        <w:t>10</w:t>
      </w:r>
      <w:r w:rsidR="008E67D1">
        <w:rPr>
          <w:rFonts w:ascii="Times New Roman" w:hAnsi="Times New Roman"/>
          <w:sz w:val="24"/>
        </w:rPr>
        <w:t xml:space="preserve"> e 11</w:t>
      </w:r>
      <w:r w:rsidRPr="00A06FC8">
        <w:rPr>
          <w:rFonts w:ascii="Times New Roman" w:hAnsi="Times New Roman"/>
          <w:sz w:val="24"/>
        </w:rPr>
        <w:t>: Cesare</w:t>
      </w:r>
      <w:r w:rsidR="008E67D1">
        <w:rPr>
          <w:rFonts w:ascii="Times New Roman" w:hAnsi="Times New Roman"/>
          <w:sz w:val="24"/>
        </w:rPr>
        <w:t xml:space="preserve"> Ripa, Fraude, Iconologia, 1613 e o</w:t>
      </w:r>
      <w:r w:rsidR="00617C1C">
        <w:rPr>
          <w:rFonts w:ascii="Times New Roman" w:hAnsi="Times New Roman"/>
          <w:sz w:val="24"/>
        </w:rPr>
        <w:t xml:space="preserve"> d</w:t>
      </w:r>
      <w:r w:rsidRPr="00A06FC8">
        <w:rPr>
          <w:rFonts w:ascii="Times New Roman" w:hAnsi="Times New Roman"/>
          <w:sz w:val="24"/>
        </w:rPr>
        <w:t xml:space="preserve">uplo rosto do Mau juiz © Fotos M.Gil © Hercules 2012. </w:t>
      </w:r>
    </w:p>
    <w:p w:rsidR="00A06FC8" w:rsidRPr="00A06FC8" w:rsidRDefault="006B72A2" w:rsidP="00A06FC8">
      <w:pPr>
        <w:pStyle w:val="BodyText"/>
        <w:spacing w:before="0"/>
        <w:ind w:left="0"/>
        <w:rPr>
          <w:rFonts w:ascii="Times New Roman" w:hAnsi="Times New Roman"/>
          <w:sz w:val="24"/>
        </w:rPr>
      </w:pPr>
      <w:r>
        <w:rPr>
          <w:rFonts w:ascii="Times New Roman" w:hAnsi="Times New Roman"/>
          <w:sz w:val="24"/>
        </w:rPr>
        <w:t>FIG.12</w:t>
      </w:r>
      <w:r w:rsidR="00A06FC8" w:rsidRPr="00A06FC8">
        <w:rPr>
          <w:rFonts w:ascii="Times New Roman" w:hAnsi="Times New Roman"/>
          <w:sz w:val="24"/>
        </w:rPr>
        <w:t xml:space="preserve">: Ambrozio Lorenzetti, Painel do Mau Governo. Alegoria do Bom Governo, 1337-39. Fresco do Palácio Público de Siena © </w:t>
      </w:r>
      <w:r w:rsidR="00A06FC8" w:rsidRPr="00A06FC8">
        <w:rPr>
          <w:rFonts w:ascii="Times New Roman" w:hAnsi="Times New Roman"/>
          <w:sz w:val="24"/>
          <w:shd w:val="clear" w:color="auto" w:fill="FFFFFF"/>
        </w:rPr>
        <w:t xml:space="preserve">Concedido pelo </w:t>
      </w:r>
      <w:r w:rsidR="00A06FC8" w:rsidRPr="00A06FC8">
        <w:rPr>
          <w:rFonts w:ascii="Times New Roman" w:hAnsi="Times New Roman"/>
          <w:sz w:val="24"/>
        </w:rPr>
        <w:t>Museu Cívico da Comuna de Siena</w:t>
      </w:r>
    </w:p>
    <w:p w:rsidR="00A06FC8" w:rsidRPr="00A06FC8" w:rsidRDefault="006B72A2" w:rsidP="00A06FC8">
      <w:pPr>
        <w:ind w:left="0"/>
        <w:rPr>
          <w:rFonts w:ascii="Times New Roman" w:hAnsi="Times New Roman"/>
          <w:sz w:val="24"/>
        </w:rPr>
      </w:pPr>
      <w:r>
        <w:rPr>
          <w:rFonts w:ascii="Times New Roman" w:hAnsi="Times New Roman"/>
          <w:sz w:val="24"/>
        </w:rPr>
        <w:t>FIG.13</w:t>
      </w:r>
      <w:r w:rsidR="00A06FC8" w:rsidRPr="00A06FC8">
        <w:rPr>
          <w:rFonts w:ascii="Times New Roman" w:hAnsi="Times New Roman"/>
          <w:sz w:val="24"/>
        </w:rPr>
        <w:t>:</w:t>
      </w:r>
      <w:r w:rsidR="00A06FC8" w:rsidRPr="00A06FC8">
        <w:rPr>
          <w:rFonts w:ascii="Times New Roman" w:hAnsi="Times New Roman"/>
          <w:noProof/>
          <w:sz w:val="24"/>
          <w:szCs w:val="28"/>
          <w:lang w:eastAsia="pt-PT"/>
        </w:rPr>
        <w:t xml:space="preserve"> Oswel Weibel, folha</w:t>
      </w:r>
      <w:r w:rsidR="00A06FC8" w:rsidRPr="00A06FC8">
        <w:rPr>
          <w:rFonts w:ascii="Times New Roman" w:hAnsi="Times New Roman"/>
          <w:sz w:val="24"/>
        </w:rPr>
        <w:t xml:space="preserve"> sem título em alemão, 1524.G</w:t>
      </w:r>
      <w:r w:rsidR="00A06FC8" w:rsidRPr="00A06FC8">
        <w:rPr>
          <w:rFonts w:ascii="Times New Roman" w:hAnsi="Times New Roman"/>
          <w:noProof/>
          <w:sz w:val="24"/>
          <w:szCs w:val="28"/>
          <w:lang w:eastAsia="pt-PT"/>
        </w:rPr>
        <w:t>ravura de Michel Wolgemut, Hogenau,</w:t>
      </w:r>
      <w:r w:rsidR="00A06FC8" w:rsidRPr="00A06FC8">
        <w:rPr>
          <w:rFonts w:ascii="Times New Roman" w:hAnsi="Times New Roman"/>
          <w:sz w:val="24"/>
        </w:rPr>
        <w:t xml:space="preserve"> British Museum, cota:1880,0710.810 © The Trustees of the British Museum.</w:t>
      </w:r>
    </w:p>
    <w:p w:rsidR="00FA0A79" w:rsidRPr="00925713" w:rsidRDefault="00FA0A79" w:rsidP="00132006">
      <w:pPr>
        <w:pStyle w:val="FootnoteText"/>
        <w:spacing w:line="240" w:lineRule="exact"/>
        <w:ind w:left="0"/>
        <w:outlineLvl w:val="0"/>
        <w:rPr>
          <w:rStyle w:val="addmd"/>
          <w:sz w:val="32"/>
        </w:rPr>
      </w:pPr>
    </w:p>
    <w:p w:rsidR="00FA0A79" w:rsidRPr="00925713" w:rsidRDefault="00A06FC8" w:rsidP="00B20457">
      <w:pPr>
        <w:pStyle w:val="BodyText"/>
        <w:spacing w:before="0"/>
        <w:ind w:left="0"/>
        <w:outlineLvl w:val="0"/>
        <w:rPr>
          <w:rFonts w:ascii="Times New Roman" w:hAnsi="Times New Roman"/>
          <w:sz w:val="24"/>
        </w:rPr>
      </w:pPr>
      <w:r>
        <w:rPr>
          <w:rFonts w:ascii="Times New Roman" w:hAnsi="Times New Roman"/>
          <w:sz w:val="24"/>
        </w:rPr>
        <w:t>Bibliografia</w:t>
      </w:r>
    </w:p>
    <w:p w:rsidR="00FA0A79" w:rsidRPr="00925713" w:rsidRDefault="00FA0A79" w:rsidP="00FA0A79">
      <w:pPr>
        <w:pStyle w:val="FootnoteText"/>
        <w:ind w:left="0"/>
        <w:outlineLvl w:val="0"/>
        <w:rPr>
          <w:rStyle w:val="addmd"/>
          <w:sz w:val="32"/>
        </w:rPr>
      </w:pPr>
      <w:r w:rsidRPr="00925713">
        <w:rPr>
          <w:rStyle w:val="addmd"/>
          <w:rFonts w:ascii="Times New Roman" w:hAnsi="Times New Roman"/>
          <w:shd w:val="clear" w:color="auto" w:fill="FFFFFF"/>
        </w:rPr>
        <w:t xml:space="preserve">ALCIATO (1985) - </w:t>
      </w:r>
      <w:r w:rsidRPr="0084779C">
        <w:rPr>
          <w:rStyle w:val="addmd"/>
          <w:rFonts w:ascii="Times New Roman" w:hAnsi="Times New Roman"/>
          <w:i/>
          <w:shd w:val="clear" w:color="auto" w:fill="FFFFFF"/>
        </w:rPr>
        <w:t>Emblemas</w:t>
      </w:r>
      <w:r w:rsidRPr="00925713">
        <w:rPr>
          <w:rStyle w:val="addmd"/>
          <w:rFonts w:ascii="Times New Roman" w:hAnsi="Times New Roman"/>
          <w:shd w:val="clear" w:color="auto" w:fill="FFFFFF"/>
        </w:rPr>
        <w:t>, Ed. Santiago Sebastián, Madrid: Akal.</w:t>
      </w:r>
    </w:p>
    <w:p w:rsidR="00925713" w:rsidRDefault="00FA0A79" w:rsidP="00925713">
      <w:pPr>
        <w:spacing w:before="0" w:after="200"/>
        <w:ind w:left="0"/>
        <w:rPr>
          <w:rFonts w:ascii="Times New Roman" w:hAnsi="Times New Roman"/>
          <w:sz w:val="24"/>
        </w:rPr>
      </w:pPr>
      <w:r w:rsidRPr="00925713">
        <w:rPr>
          <w:rFonts w:ascii="Times New Roman" w:hAnsi="Times New Roman"/>
          <w:sz w:val="24"/>
        </w:rPr>
        <w:t xml:space="preserve">AFONSO, Luís U. (2009) - </w:t>
      </w:r>
      <w:r w:rsidRPr="0084779C">
        <w:rPr>
          <w:rFonts w:ascii="Times New Roman" w:hAnsi="Times New Roman"/>
          <w:i/>
          <w:sz w:val="24"/>
        </w:rPr>
        <w:t>A Pintura Mural Portuguesa entre o Gótico Internacional e o Fim do Renascimento: Formas, Significados, Funções</w:t>
      </w:r>
      <w:r w:rsidRPr="00925713">
        <w:rPr>
          <w:rFonts w:ascii="Times New Roman" w:hAnsi="Times New Roman"/>
          <w:sz w:val="24"/>
        </w:rPr>
        <w:t>. 2 vol., Lisboa: FCT- F.Calouste Gulbenkian.</w:t>
      </w:r>
    </w:p>
    <w:p w:rsidR="009F60D6" w:rsidRDefault="00FA0A79" w:rsidP="009F60D6">
      <w:pPr>
        <w:spacing w:before="0" w:after="200"/>
        <w:ind w:left="0"/>
        <w:rPr>
          <w:rFonts w:ascii="Times New Roman" w:hAnsi="Times New Roman"/>
          <w:sz w:val="24"/>
        </w:rPr>
      </w:pPr>
      <w:r w:rsidRPr="00925713">
        <w:rPr>
          <w:rFonts w:ascii="Times New Roman" w:hAnsi="Times New Roman"/>
          <w:sz w:val="24"/>
        </w:rPr>
        <w:t xml:space="preserve">AFONSO, Luís U. (2009a) – “As representações da Justiça em Gil Vicente e a relação do dramaturgo com a arte manuelina”, in </w:t>
      </w:r>
      <w:r w:rsidRPr="0084779C">
        <w:rPr>
          <w:rFonts w:ascii="Times New Roman" w:hAnsi="Times New Roman"/>
          <w:i/>
          <w:sz w:val="24"/>
        </w:rPr>
        <w:t>Teatro do Mundo</w:t>
      </w:r>
      <w:r w:rsidRPr="00925713">
        <w:rPr>
          <w:rFonts w:ascii="Times New Roman" w:hAnsi="Times New Roman"/>
          <w:sz w:val="24"/>
        </w:rPr>
        <w:t>, vol.4, pp. 127-150. Disponível em:&lt;</w:t>
      </w:r>
      <w:hyperlink r:id="rId21" w:history="1">
        <w:r w:rsidRPr="00925713">
          <w:rPr>
            <w:rStyle w:val="Hyperlink"/>
            <w:rFonts w:ascii="Times New Roman" w:hAnsi="Times New Roman"/>
            <w:sz w:val="24"/>
          </w:rPr>
          <w:t>http://ler.letras.up.pt/uploads/ficheiros/10231.pdf</w:t>
        </w:r>
      </w:hyperlink>
      <w:r w:rsidR="0084779C">
        <w:rPr>
          <w:rFonts w:ascii="Times New Roman" w:hAnsi="Times New Roman"/>
          <w:sz w:val="24"/>
        </w:rPr>
        <w:t xml:space="preserve">. [Consultado em 7 Outubro </w:t>
      </w:r>
      <w:r w:rsidR="00B269CA">
        <w:rPr>
          <w:rFonts w:ascii="Times New Roman" w:hAnsi="Times New Roman"/>
          <w:sz w:val="24"/>
        </w:rPr>
        <w:t>2015</w:t>
      </w:r>
      <w:r w:rsidRPr="00925713">
        <w:rPr>
          <w:rFonts w:ascii="Times New Roman" w:hAnsi="Times New Roman"/>
          <w:sz w:val="24"/>
        </w:rPr>
        <w:t>].</w:t>
      </w:r>
    </w:p>
    <w:p w:rsidR="009F60D6" w:rsidRDefault="00FA0A79" w:rsidP="009F60D6">
      <w:pPr>
        <w:spacing w:before="0" w:after="200"/>
        <w:ind w:left="0"/>
        <w:rPr>
          <w:rFonts w:ascii="Times New Roman" w:hAnsi="Times New Roman"/>
          <w:sz w:val="24"/>
        </w:rPr>
      </w:pPr>
      <w:r w:rsidRPr="0084779C">
        <w:rPr>
          <w:rFonts w:ascii="Times New Roman" w:hAnsi="Times New Roman"/>
          <w:i/>
          <w:sz w:val="24"/>
        </w:rPr>
        <w:t>BÍBLIA DE JERUSALÉM</w:t>
      </w:r>
      <w:r w:rsidRPr="00925713">
        <w:rPr>
          <w:rFonts w:ascii="Times New Roman" w:hAnsi="Times New Roman"/>
          <w:sz w:val="24"/>
        </w:rPr>
        <w:t xml:space="preserve"> (2002) - S.Paulo: Paulus</w:t>
      </w:r>
    </w:p>
    <w:p w:rsidR="00FA0A79" w:rsidRPr="009F60D6" w:rsidRDefault="00FA0A79" w:rsidP="009F60D6">
      <w:pPr>
        <w:spacing w:before="0" w:after="200"/>
        <w:ind w:left="0"/>
        <w:rPr>
          <w:rFonts w:ascii="Times New Roman" w:hAnsi="Times New Roman"/>
          <w:sz w:val="24"/>
        </w:rPr>
      </w:pPr>
      <w:r w:rsidRPr="00925713">
        <w:rPr>
          <w:rFonts w:ascii="Times New Roman" w:hAnsi="Times New Roman"/>
          <w:sz w:val="24"/>
          <w:lang w:val="en-US"/>
        </w:rPr>
        <w:t>BRANT,</w:t>
      </w:r>
      <w:r w:rsidR="0084779C">
        <w:rPr>
          <w:rFonts w:ascii="Times New Roman" w:hAnsi="Times New Roman"/>
          <w:sz w:val="24"/>
          <w:lang w:val="en-US"/>
        </w:rPr>
        <w:t xml:space="preserve"> </w:t>
      </w:r>
      <w:r w:rsidRPr="00925713">
        <w:rPr>
          <w:rFonts w:ascii="Times New Roman" w:hAnsi="Times New Roman"/>
          <w:sz w:val="24"/>
          <w:lang w:val="en-US"/>
        </w:rPr>
        <w:t xml:space="preserve">Sebastián (1944) - </w:t>
      </w:r>
      <w:r w:rsidRPr="0084779C">
        <w:rPr>
          <w:rFonts w:ascii="Times New Roman" w:hAnsi="Times New Roman"/>
          <w:i/>
          <w:sz w:val="24"/>
          <w:lang w:val="en-US"/>
        </w:rPr>
        <w:t>The Ship of Fools.</w:t>
      </w:r>
      <w:r w:rsidRPr="00925713">
        <w:rPr>
          <w:rFonts w:ascii="Times New Roman" w:hAnsi="Times New Roman"/>
          <w:sz w:val="24"/>
          <w:lang w:val="en-US"/>
        </w:rPr>
        <w:t xml:space="preserve"> Ed. Edwin H. Zeydel. N</w:t>
      </w:r>
      <w:r w:rsidR="0084779C">
        <w:rPr>
          <w:rFonts w:ascii="Times New Roman" w:hAnsi="Times New Roman"/>
          <w:sz w:val="24"/>
          <w:lang w:val="en-US"/>
        </w:rPr>
        <w:t>.</w:t>
      </w:r>
      <w:r w:rsidRPr="00925713">
        <w:rPr>
          <w:rFonts w:ascii="Times New Roman" w:hAnsi="Times New Roman"/>
          <w:sz w:val="24"/>
          <w:lang w:val="en-US"/>
        </w:rPr>
        <w:t>Y</w:t>
      </w:r>
      <w:r w:rsidR="0084779C">
        <w:rPr>
          <w:rFonts w:ascii="Times New Roman" w:hAnsi="Times New Roman"/>
          <w:sz w:val="24"/>
          <w:lang w:val="en-US"/>
        </w:rPr>
        <w:t>.</w:t>
      </w:r>
      <w:r w:rsidRPr="00925713">
        <w:rPr>
          <w:rFonts w:ascii="Times New Roman" w:hAnsi="Times New Roman"/>
          <w:sz w:val="24"/>
          <w:lang w:val="en-US"/>
        </w:rPr>
        <w:t>: Dover</w:t>
      </w:r>
    </w:p>
    <w:p w:rsidR="00FA0A79" w:rsidRPr="00925713" w:rsidRDefault="00FA0A79" w:rsidP="00FA0A79">
      <w:pPr>
        <w:ind w:left="0"/>
        <w:rPr>
          <w:rStyle w:val="fn"/>
        </w:rPr>
      </w:pPr>
      <w:r w:rsidRPr="00925713">
        <w:rPr>
          <w:rFonts w:ascii="Times New Roman" w:hAnsi="Times New Roman"/>
          <w:sz w:val="24"/>
        </w:rPr>
        <w:t xml:space="preserve">CAMÕES, José (2012) - </w:t>
      </w:r>
      <w:r w:rsidRPr="0084779C">
        <w:rPr>
          <w:rFonts w:ascii="Times New Roman" w:hAnsi="Times New Roman"/>
          <w:i/>
          <w:sz w:val="24"/>
        </w:rPr>
        <w:t>Centro de Estudos de Teatro. Teatro de Autores Portugueses do Sec. XVI _Base de dados textual</w:t>
      </w:r>
      <w:r w:rsidRPr="00925713">
        <w:rPr>
          <w:rFonts w:ascii="Times New Roman" w:hAnsi="Times New Roman"/>
          <w:sz w:val="24"/>
        </w:rPr>
        <w:t xml:space="preserve"> [on-line]. Disponível em:&lt;</w:t>
      </w:r>
      <w:hyperlink r:id="rId22" w:history="1">
        <w:r w:rsidRPr="00925713">
          <w:rPr>
            <w:rStyle w:val="Hyperlink"/>
            <w:rFonts w:ascii="Times New Roman" w:hAnsi="Times New Roman"/>
            <w:sz w:val="24"/>
          </w:rPr>
          <w:t>http://www.cet-e-quinhentos.com/obras</w:t>
        </w:r>
      </w:hyperlink>
      <w:r w:rsidRPr="00925713">
        <w:rPr>
          <w:rFonts w:ascii="Times New Roman" w:hAnsi="Times New Roman"/>
          <w:sz w:val="24"/>
        </w:rPr>
        <w:t xml:space="preserve">&gt;. </w:t>
      </w:r>
      <w:r w:rsidR="00B269CA">
        <w:rPr>
          <w:rFonts w:ascii="Times New Roman" w:hAnsi="Times New Roman"/>
          <w:sz w:val="24"/>
          <w:lang w:val="en-US"/>
        </w:rPr>
        <w:t>[Consultado em 4Julho 2015</w:t>
      </w:r>
      <w:r w:rsidRPr="00925713">
        <w:rPr>
          <w:rFonts w:ascii="Times New Roman" w:hAnsi="Times New Roman"/>
          <w:sz w:val="24"/>
          <w:lang w:val="en-US"/>
        </w:rPr>
        <w:t>]</w:t>
      </w:r>
    </w:p>
    <w:p w:rsidR="00FA0A79" w:rsidRPr="00925713" w:rsidRDefault="00FA0A79" w:rsidP="00B20457">
      <w:pPr>
        <w:pStyle w:val="Heading1"/>
        <w:spacing w:before="0"/>
        <w:ind w:left="0"/>
        <w:rPr>
          <w:rFonts w:ascii="Times New Roman" w:eastAsiaTheme="minorHAnsi" w:hAnsi="Times New Roman" w:cstheme="minorBidi"/>
          <w:b w:val="0"/>
          <w:bCs w:val="0"/>
          <w:color w:val="auto"/>
          <w:sz w:val="24"/>
          <w:szCs w:val="24"/>
          <w:lang w:val="en-US"/>
        </w:rPr>
      </w:pPr>
      <w:r w:rsidRPr="00925713">
        <w:rPr>
          <w:rStyle w:val="fn"/>
          <w:rFonts w:ascii="Times New Roman" w:hAnsi="Times New Roman"/>
          <w:b w:val="0"/>
          <w:color w:val="auto"/>
          <w:sz w:val="24"/>
          <w:szCs w:val="24"/>
          <w:lang w:val="en-US"/>
        </w:rPr>
        <w:t>CARPENTER, Sarah; TWYCROSS, Meg (2002) – “Masks and Masking” in Medieval and Early Tudor England</w:t>
      </w:r>
      <w:r w:rsidRPr="00925713">
        <w:rPr>
          <w:rStyle w:val="subtitle1"/>
          <w:rFonts w:ascii="Times New Roman" w:hAnsi="Times New Roman"/>
          <w:b w:val="0"/>
          <w:color w:val="auto"/>
          <w:sz w:val="24"/>
          <w:szCs w:val="24"/>
          <w:lang w:val="en-US"/>
        </w:rPr>
        <w:t>.</w:t>
      </w:r>
      <w:r w:rsidRPr="00925713">
        <w:rPr>
          <w:rStyle w:val="apple-converted-space"/>
          <w:rFonts w:ascii="Times New Roman" w:hAnsi="Times New Roman"/>
          <w:b w:val="0"/>
          <w:color w:val="auto"/>
          <w:sz w:val="24"/>
          <w:szCs w:val="24"/>
          <w:lang w:val="en-US"/>
        </w:rPr>
        <w:t> Oxford: Ashgate.</w:t>
      </w:r>
    </w:p>
    <w:p w:rsidR="00FA0A79" w:rsidRPr="00925713" w:rsidRDefault="00FA0A79" w:rsidP="00FA0A79">
      <w:pPr>
        <w:ind w:left="0"/>
        <w:rPr>
          <w:rStyle w:val="addmd"/>
          <w:rFonts w:asciiTheme="majorHAnsi" w:eastAsiaTheme="majorEastAsia" w:hAnsiTheme="majorHAnsi" w:cstheme="majorBidi"/>
          <w:b/>
          <w:bCs/>
          <w:color w:val="345A8A" w:themeColor="accent1" w:themeShade="B5"/>
          <w:szCs w:val="32"/>
        </w:rPr>
      </w:pPr>
      <w:r w:rsidRPr="00925713">
        <w:rPr>
          <w:rFonts w:ascii="Times New Roman" w:hAnsi="Times New Roman"/>
          <w:sz w:val="24"/>
          <w:lang w:val="en-US"/>
        </w:rPr>
        <w:t xml:space="preserve">CARPENTER, Sarah </w:t>
      </w:r>
      <w:r w:rsidRPr="00925713">
        <w:rPr>
          <w:rFonts w:ascii="Times New Roman" w:hAnsi="Times New Roman"/>
          <w:bCs/>
          <w:sz w:val="24"/>
          <w:lang w:val="en-US"/>
        </w:rPr>
        <w:t xml:space="preserve">(2012) </w:t>
      </w:r>
      <w:r w:rsidRPr="00925713">
        <w:rPr>
          <w:rFonts w:ascii="Times New Roman" w:hAnsi="Times New Roman"/>
          <w:sz w:val="24"/>
          <w:lang w:val="en-US"/>
        </w:rPr>
        <w:t>– “</w:t>
      </w:r>
      <w:r w:rsidRPr="00925713">
        <w:rPr>
          <w:rFonts w:ascii="Times New Roman" w:hAnsi="Times New Roman"/>
          <w:bCs/>
          <w:sz w:val="24"/>
          <w:lang w:val="en-US"/>
        </w:rPr>
        <w:t xml:space="preserve">Respublica”, in The Oxford Handbook of Tudor Drama. </w:t>
      </w:r>
      <w:r w:rsidRPr="00925713">
        <w:rPr>
          <w:rStyle w:val="addmd"/>
          <w:rFonts w:ascii="Times New Roman" w:hAnsi="Times New Roman"/>
          <w:sz w:val="24"/>
          <w:shd w:val="clear" w:color="auto" w:fill="FFFFFF"/>
          <w:lang w:val="en-US"/>
        </w:rPr>
        <w:t>Ed. Thomas Betteridge e Greg Walker. Oxford: O.U.Press., pp.514-531.</w:t>
      </w:r>
    </w:p>
    <w:p w:rsidR="00FA0A79" w:rsidRPr="00925713" w:rsidRDefault="00FA0A79" w:rsidP="00FA0A79">
      <w:pPr>
        <w:pStyle w:val="Caption"/>
        <w:ind w:left="-57"/>
        <w:rPr>
          <w:rFonts w:ascii="Times New Roman" w:hAnsi="Times New Roman"/>
          <w:b w:val="0"/>
          <w:color w:val="auto"/>
          <w:sz w:val="24"/>
          <w:szCs w:val="24"/>
        </w:rPr>
      </w:pPr>
      <w:r w:rsidRPr="00925713">
        <w:rPr>
          <w:rFonts w:ascii="Times New Roman" w:hAnsi="Times New Roman"/>
          <w:b w:val="0"/>
          <w:color w:val="auto"/>
          <w:sz w:val="24"/>
          <w:szCs w:val="24"/>
        </w:rPr>
        <w:t>DANTE, A. (1995) - A  A Divina Comédia de Dante Alighieri. Ed. Vasco Graça Moura. Lisboa: Bertrand.</w:t>
      </w:r>
    </w:p>
    <w:p w:rsidR="00FA0A79" w:rsidRPr="00925713" w:rsidRDefault="00FA0A79" w:rsidP="00FA0A79">
      <w:pPr>
        <w:ind w:left="0"/>
        <w:rPr>
          <w:rFonts w:ascii="Times New Roman" w:hAnsi="Times New Roman"/>
          <w:sz w:val="24"/>
        </w:rPr>
      </w:pPr>
      <w:r w:rsidRPr="00925713">
        <w:rPr>
          <w:rFonts w:ascii="Times New Roman" w:hAnsi="Times New Roman"/>
          <w:sz w:val="24"/>
          <w:lang w:val="en-US"/>
        </w:rPr>
        <w:t xml:space="preserve">FROIMOVIC, Eva (1996) - “Giotto’s  Alegories of Justice and the Commune in the Palazzo della Razione in Pádua: A Reconstruction”, in Journal of the Walburg and Courtauld Institute, vol 59, pp.24-47. </w:t>
      </w:r>
      <w:hyperlink r:id="rId23" w:history="1">
        <w:r w:rsidRPr="00925713">
          <w:rPr>
            <w:rFonts w:ascii="Times New Roman" w:hAnsi="Times New Roman"/>
            <w:sz w:val="24"/>
            <w:u w:val="single"/>
          </w:rPr>
          <w:t>The Warburg Institute</w:t>
        </w:r>
      </w:hyperlink>
      <w:r w:rsidRPr="00925713">
        <w:rPr>
          <w:rFonts w:ascii="Times New Roman" w:hAnsi="Times New Roman"/>
          <w:sz w:val="24"/>
        </w:rPr>
        <w:br/>
      </w:r>
      <w:r w:rsidRPr="00925713">
        <w:rPr>
          <w:rFonts w:ascii="Times New Roman" w:hAnsi="Times New Roman" w:cs="Times New Roman"/>
          <w:sz w:val="24"/>
        </w:rPr>
        <w:t>Disponível em: &lt;</w:t>
      </w:r>
      <w:r w:rsidRPr="00925713">
        <w:rPr>
          <w:rFonts w:ascii="Times New Roman" w:hAnsi="Times New Roman"/>
          <w:sz w:val="24"/>
        </w:rPr>
        <w:t xml:space="preserve">URL: </w:t>
      </w:r>
      <w:hyperlink r:id="rId24" w:history="1">
        <w:r w:rsidRPr="00925713">
          <w:rPr>
            <w:rFonts w:ascii="Times New Roman" w:hAnsi="Times New Roman"/>
            <w:sz w:val="24"/>
            <w:u w:val="single"/>
          </w:rPr>
          <w:t>http://www.jstor.org/stable/751396</w:t>
        </w:r>
      </w:hyperlink>
      <w:r w:rsidRPr="00925713">
        <w:rPr>
          <w:rFonts w:ascii="Times New Roman" w:hAnsi="Times New Roman"/>
          <w:sz w:val="24"/>
        </w:rPr>
        <w:t>&gt;.</w:t>
      </w:r>
      <w:r w:rsidR="00B269CA">
        <w:rPr>
          <w:rFonts w:ascii="Times New Roman" w:hAnsi="Times New Roman" w:cs="Times New Roman"/>
          <w:sz w:val="24"/>
        </w:rPr>
        <w:t>[Consultado em 20 Set. 2015</w:t>
      </w:r>
      <w:r w:rsidRPr="00925713">
        <w:rPr>
          <w:rFonts w:ascii="Times New Roman" w:hAnsi="Times New Roman" w:cs="Times New Roman"/>
          <w:sz w:val="24"/>
        </w:rPr>
        <w:t>].</w:t>
      </w:r>
    </w:p>
    <w:p w:rsidR="00FA0A79" w:rsidRPr="009F60D6" w:rsidRDefault="0084779C" w:rsidP="009F60D6">
      <w:pPr>
        <w:spacing w:after="0"/>
        <w:ind w:left="0"/>
        <w:rPr>
          <w:rFonts w:ascii="Times New Roman" w:hAnsi="Times New Roman"/>
          <w:sz w:val="24"/>
          <w:shd w:val="clear" w:color="auto" w:fill="FFFFFF"/>
        </w:rPr>
      </w:pPr>
      <w:r>
        <w:rPr>
          <w:rFonts w:ascii="Times New Roman" w:hAnsi="Times New Roman"/>
          <w:sz w:val="24"/>
          <w:shd w:val="clear" w:color="auto" w:fill="FFFFFF"/>
          <w:lang w:val="en-US"/>
        </w:rPr>
        <w:t>GIL, M., ARAUJO, C.,</w:t>
      </w:r>
      <w:r w:rsidR="00FA0A79" w:rsidRPr="00925713">
        <w:rPr>
          <w:rFonts w:ascii="Times New Roman" w:hAnsi="Times New Roman"/>
          <w:sz w:val="24"/>
          <w:shd w:val="clear" w:color="auto" w:fill="FFFFFF"/>
          <w:lang w:val="en-US"/>
        </w:rPr>
        <w:t xml:space="preserve"> CANDEIAS, A, et al (2013) – “Microanalytical study of the</w:t>
      </w:r>
      <w:r w:rsidR="00FA0A79" w:rsidRPr="00925713">
        <w:rPr>
          <w:rFonts w:ascii="Times New Roman" w:hAnsi="Times New Roman"/>
          <w:sz w:val="24"/>
          <w:lang w:val="en-US"/>
        </w:rPr>
        <w:t> </w:t>
      </w:r>
      <w:r w:rsidR="00FA0A79" w:rsidRPr="00925713">
        <w:rPr>
          <w:rFonts w:ascii="Times New Roman" w:hAnsi="Times New Roman"/>
          <w:iCs/>
          <w:sz w:val="24"/>
          <w:lang w:val="en-US"/>
        </w:rPr>
        <w:t>fresco</w:t>
      </w:r>
      <w:r w:rsidR="00FA0A79" w:rsidRPr="00925713">
        <w:rPr>
          <w:rFonts w:ascii="Times New Roman" w:hAnsi="Times New Roman"/>
          <w:sz w:val="24"/>
          <w:lang w:val="en-US"/>
        </w:rPr>
        <w:t> </w:t>
      </w:r>
      <w:r w:rsidR="00FA0A79" w:rsidRPr="00925713">
        <w:rPr>
          <w:rFonts w:ascii="Times New Roman" w:hAnsi="Times New Roman"/>
          <w:sz w:val="24"/>
          <w:shd w:val="clear" w:color="auto" w:fill="FFFFFF"/>
          <w:lang w:val="en-US"/>
        </w:rPr>
        <w:t xml:space="preserve">‘the good and the bad judge’ in the medieval village of Monsaraz (Southern Portugal)”. </w:t>
      </w:r>
      <w:r w:rsidR="00FA0A79" w:rsidRPr="0084779C">
        <w:rPr>
          <w:rFonts w:ascii="Times New Roman" w:hAnsi="Times New Roman"/>
          <w:i/>
          <w:sz w:val="24"/>
          <w:shd w:val="clear" w:color="auto" w:fill="FFFFFF"/>
        </w:rPr>
        <w:t>X-Ray Spectrom</w:t>
      </w:r>
      <w:r w:rsidR="00FA0A79" w:rsidRPr="00925713">
        <w:rPr>
          <w:rFonts w:ascii="Times New Roman" w:hAnsi="Times New Roman"/>
          <w:sz w:val="24"/>
          <w:shd w:val="clear" w:color="auto" w:fill="FFFFFF"/>
        </w:rPr>
        <w:t>, 42: 4, 24 Abril 2013, 242–250.</w:t>
      </w:r>
      <w:r w:rsidR="00FA0A79" w:rsidRPr="00925713">
        <w:rPr>
          <w:rFonts w:ascii="Times New Roman" w:hAnsi="Times New Roman" w:cs="Times New Roman"/>
          <w:sz w:val="24"/>
        </w:rPr>
        <w:t>Disponível em:</w:t>
      </w:r>
      <w:r w:rsidR="00FA0A79" w:rsidRPr="00925713">
        <w:rPr>
          <w:rFonts w:ascii="Times New Roman" w:hAnsi="Times New Roman"/>
          <w:sz w:val="24"/>
        </w:rPr>
        <w:t>&lt;</w:t>
      </w:r>
      <w:hyperlink r:id="rId25" w:history="1">
        <w:r w:rsidR="00FA0A79" w:rsidRPr="00925713">
          <w:rPr>
            <w:rStyle w:val="Hyperlink"/>
            <w:rFonts w:ascii="Times New Roman" w:hAnsi="Times New Roman" w:cs="Times New Roman"/>
            <w:sz w:val="24"/>
          </w:rPr>
          <w:t>http://onlinelibrary.wiley.com/doi/10.1002/xrs.2476/pdf</w:t>
        </w:r>
      </w:hyperlink>
      <w:r w:rsidR="00FA0A79" w:rsidRPr="00925713">
        <w:rPr>
          <w:rFonts w:ascii="Times New Roman" w:hAnsi="Times New Roman"/>
          <w:sz w:val="24"/>
        </w:rPr>
        <w:t>&gt;.</w:t>
      </w:r>
      <w:r w:rsidR="00B269CA">
        <w:rPr>
          <w:rFonts w:ascii="Times New Roman" w:hAnsi="Times New Roman" w:cs="Times New Roman"/>
          <w:sz w:val="24"/>
        </w:rPr>
        <w:t>[Consultado em: 20Set. 2015</w:t>
      </w:r>
      <w:r w:rsidR="00FA0A79" w:rsidRPr="00925713">
        <w:rPr>
          <w:rFonts w:ascii="Times New Roman" w:hAnsi="Times New Roman" w:cs="Times New Roman"/>
          <w:sz w:val="24"/>
        </w:rPr>
        <w:t>].</w:t>
      </w:r>
    </w:p>
    <w:p w:rsidR="00FA0A79" w:rsidRPr="00925713" w:rsidRDefault="00FA0A79" w:rsidP="00FA0A79">
      <w:pPr>
        <w:pStyle w:val="FootnoteText"/>
        <w:ind w:left="0"/>
        <w:rPr>
          <w:rFonts w:ascii="Times New Roman" w:hAnsi="Times New Roman"/>
        </w:rPr>
      </w:pPr>
      <w:r w:rsidRPr="00925713">
        <w:rPr>
          <w:rFonts w:ascii="Times New Roman" w:hAnsi="Times New Roman" w:cs="Arial"/>
        </w:rPr>
        <w:t xml:space="preserve">GIL, Milene et.al.(2014) - “A ciência ao serviço da Arte”, in </w:t>
      </w:r>
      <w:r w:rsidRPr="0084779C">
        <w:rPr>
          <w:rFonts w:ascii="Times New Roman" w:hAnsi="Times New Roman" w:cs="Arial"/>
          <w:i/>
        </w:rPr>
        <w:t>As Casas pintadas em Évora</w:t>
      </w:r>
      <w:r w:rsidRPr="00925713">
        <w:rPr>
          <w:rFonts w:ascii="Times New Roman" w:hAnsi="Times New Roman" w:cs="Arial"/>
        </w:rPr>
        <w:t>. Évora: F. Eugénio de Almeida, pp.54-63.</w:t>
      </w:r>
    </w:p>
    <w:p w:rsidR="0084779C" w:rsidRDefault="00FA0A79" w:rsidP="0084779C">
      <w:pPr>
        <w:pStyle w:val="FootnoteText"/>
        <w:spacing w:after="240"/>
        <w:ind w:left="0"/>
        <w:rPr>
          <w:rFonts w:ascii="Times New Roman" w:hAnsi="Times New Roman"/>
        </w:rPr>
      </w:pPr>
      <w:r w:rsidRPr="00925713">
        <w:rPr>
          <w:rFonts w:ascii="Times New Roman" w:hAnsi="Times New Roman"/>
          <w:bCs/>
        </w:rPr>
        <w:t xml:space="preserve">GONÇALVES, José P. (1964) – “O Fresco dos Paços de Audiência de Monsaraz”, </w:t>
      </w:r>
      <w:r w:rsidRPr="0084779C">
        <w:rPr>
          <w:rFonts w:ascii="Times New Roman" w:hAnsi="Times New Roman"/>
          <w:bCs/>
          <w:i/>
        </w:rPr>
        <w:t>Junta Distrital de Évora: Boletim Anual de Cultura</w:t>
      </w:r>
      <w:r w:rsidRPr="00925713">
        <w:rPr>
          <w:rFonts w:ascii="Times New Roman" w:hAnsi="Times New Roman"/>
          <w:bCs/>
        </w:rPr>
        <w:t>, n.º 5, s.l. pp. 113-136.</w:t>
      </w:r>
      <w:r w:rsidRPr="00925713">
        <w:rPr>
          <w:rFonts w:ascii="Times New Roman" w:hAnsi="Times New Roman"/>
        </w:rPr>
        <w:t xml:space="preserve"> </w:t>
      </w:r>
    </w:p>
    <w:p w:rsidR="00FA0A79" w:rsidRPr="00925713" w:rsidRDefault="00FA0A79" w:rsidP="0084779C">
      <w:pPr>
        <w:pStyle w:val="FootnoteText"/>
        <w:spacing w:after="240"/>
        <w:ind w:left="0"/>
        <w:rPr>
          <w:rFonts w:ascii="Times New Roman" w:hAnsi="Times New Roman"/>
        </w:rPr>
      </w:pPr>
      <w:r w:rsidRPr="00925713">
        <w:rPr>
          <w:rFonts w:ascii="Times New Roman" w:hAnsi="Times New Roman" w:cs="TimesNewRoman"/>
        </w:rPr>
        <w:t xml:space="preserve">GONZÁLEZ ZYMLA, Herbert (2014) - </w:t>
      </w:r>
      <w:r w:rsidRPr="00925713">
        <w:rPr>
          <w:rFonts w:ascii="Times New Roman" w:hAnsi="Times New Roman" w:cs="Arial"/>
        </w:rPr>
        <w:t xml:space="preserve"> “</w:t>
      </w:r>
      <w:r w:rsidRPr="00925713">
        <w:rPr>
          <w:rFonts w:ascii="Times New Roman" w:hAnsi="Times New Roman" w:cs="TimesNewRoman"/>
          <w:bCs/>
        </w:rPr>
        <w:t xml:space="preserve">La Danza Macabra”, </w:t>
      </w:r>
      <w:r w:rsidRPr="0084779C">
        <w:rPr>
          <w:rFonts w:ascii="Times New Roman" w:hAnsi="Times New Roman" w:cs="TimesNewRoman"/>
          <w:i/>
          <w:iCs/>
        </w:rPr>
        <w:t>Revista Digital de Iconografía Medieval</w:t>
      </w:r>
      <w:r w:rsidRPr="00925713">
        <w:rPr>
          <w:rFonts w:ascii="Times New Roman" w:hAnsi="Times New Roman" w:cs="TimesNewRoman"/>
        </w:rPr>
        <w:t xml:space="preserve">, vol. VI, nº 11, pp. 23-51. </w:t>
      </w:r>
      <w:r w:rsidRPr="00925713">
        <w:rPr>
          <w:rFonts w:ascii="Times New Roman" w:hAnsi="Times New Roman"/>
        </w:rPr>
        <w:t>Disponível em WWW:&lt;</w:t>
      </w:r>
      <w:hyperlink r:id="rId26" w:history="1">
        <w:r w:rsidRPr="00925713">
          <w:rPr>
            <w:rStyle w:val="Hyperlink"/>
            <w:rFonts w:ascii="Times New Roman" w:hAnsi="Times New Roman" w:cs="TimesNewRoman"/>
          </w:rPr>
          <w:t>https://www.ucm.es/data/cont/docs/621-2014-06-11-Danza macabra.pdf</w:t>
        </w:r>
      </w:hyperlink>
      <w:r w:rsidRPr="00925713">
        <w:rPr>
          <w:rFonts w:ascii="Times New Roman" w:hAnsi="Times New Roman"/>
        </w:rPr>
        <w:t>&gt;.[Consultado em 7 Out</w:t>
      </w:r>
      <w:r w:rsidR="0084779C">
        <w:rPr>
          <w:rFonts w:ascii="Times New Roman" w:hAnsi="Times New Roman"/>
        </w:rPr>
        <w:t xml:space="preserve">ubro </w:t>
      </w:r>
      <w:r w:rsidR="00B269CA">
        <w:rPr>
          <w:rFonts w:ascii="Times New Roman" w:hAnsi="Times New Roman"/>
        </w:rPr>
        <w:t>2015</w:t>
      </w:r>
      <w:r w:rsidRPr="00925713">
        <w:rPr>
          <w:rFonts w:ascii="Times New Roman" w:hAnsi="Times New Roman"/>
        </w:rPr>
        <w:t>].</w:t>
      </w:r>
    </w:p>
    <w:p w:rsidR="00FA0A79" w:rsidRPr="00925713" w:rsidRDefault="00FA0A79" w:rsidP="00FA0A79">
      <w:pPr>
        <w:spacing w:before="0" w:after="200" w:line="276" w:lineRule="auto"/>
        <w:ind w:left="0"/>
        <w:rPr>
          <w:rFonts w:ascii="Times New Roman" w:hAnsi="Times New Roman"/>
          <w:sz w:val="24"/>
        </w:rPr>
      </w:pPr>
      <w:r w:rsidRPr="00925713">
        <w:rPr>
          <w:rFonts w:ascii="Times New Roman" w:hAnsi="Times New Roman"/>
          <w:sz w:val="24"/>
        </w:rPr>
        <w:t xml:space="preserve">HESPANHA, A. (1982) - </w:t>
      </w:r>
      <w:r w:rsidRPr="0084779C">
        <w:rPr>
          <w:rFonts w:ascii="Times New Roman" w:hAnsi="Times New Roman"/>
          <w:i/>
          <w:sz w:val="24"/>
          <w:shd w:val="clear" w:color="auto" w:fill="FFFFFF"/>
        </w:rPr>
        <w:t>História das Instituições. Épocas medieval e moderna</w:t>
      </w:r>
      <w:r w:rsidRPr="00925713">
        <w:rPr>
          <w:rFonts w:ascii="Times New Roman" w:hAnsi="Times New Roman"/>
          <w:sz w:val="24"/>
          <w:shd w:val="clear" w:color="auto" w:fill="FFFFFF"/>
        </w:rPr>
        <w:t>. Coimbra: Almedina.</w:t>
      </w:r>
    </w:p>
    <w:p w:rsidR="00FA0A79" w:rsidRPr="00925713" w:rsidRDefault="00FA0A79" w:rsidP="00FA0A79">
      <w:pPr>
        <w:spacing w:after="0"/>
        <w:ind w:left="0"/>
        <w:rPr>
          <w:rFonts w:ascii="Times New Roman" w:hAnsi="Times New Roman"/>
          <w:sz w:val="24"/>
        </w:rPr>
      </w:pPr>
      <w:r w:rsidRPr="00925713">
        <w:rPr>
          <w:rFonts w:ascii="Times New Roman" w:hAnsi="Times New Roman"/>
          <w:sz w:val="24"/>
          <w:lang w:val="en-US"/>
        </w:rPr>
        <w:t>KANTOROWICZ, E. H. (1985) -</w:t>
      </w:r>
      <w:r w:rsidRPr="0084779C">
        <w:rPr>
          <w:rFonts w:ascii="Times New Roman" w:hAnsi="Times New Roman"/>
          <w:i/>
          <w:sz w:val="24"/>
          <w:lang w:val="en-US"/>
        </w:rPr>
        <w:t>The King’s two Bodies</w:t>
      </w:r>
      <w:r w:rsidRPr="00925713">
        <w:rPr>
          <w:rFonts w:ascii="Times New Roman" w:hAnsi="Times New Roman"/>
          <w:sz w:val="24"/>
          <w:lang w:val="en-US"/>
        </w:rPr>
        <w:t xml:space="preserve">. </w:t>
      </w:r>
      <w:r w:rsidRPr="00925713">
        <w:rPr>
          <w:rFonts w:ascii="Times New Roman" w:hAnsi="Times New Roman"/>
          <w:sz w:val="24"/>
        </w:rPr>
        <w:t>Princeton: University Press.</w:t>
      </w:r>
    </w:p>
    <w:p w:rsidR="00FA0A79" w:rsidRPr="00925713" w:rsidRDefault="00FA0A79" w:rsidP="00FA0A79">
      <w:pPr>
        <w:ind w:left="0"/>
        <w:rPr>
          <w:rFonts w:ascii="Times New Roman" w:hAnsi="Times New Roman"/>
          <w:sz w:val="24"/>
        </w:rPr>
      </w:pPr>
      <w:r w:rsidRPr="00925713">
        <w:rPr>
          <w:rFonts w:ascii="Times New Roman" w:hAnsi="Times New Roman"/>
          <w:sz w:val="24"/>
          <w:lang w:val="en-GB"/>
        </w:rPr>
        <w:t xml:space="preserve">LINK, Luther (1995) - </w:t>
      </w:r>
      <w:r w:rsidRPr="0084779C">
        <w:rPr>
          <w:rFonts w:ascii="Times New Roman" w:hAnsi="Times New Roman"/>
          <w:i/>
          <w:sz w:val="24"/>
          <w:lang w:val="en-GB"/>
        </w:rPr>
        <w:t>The Devil: a Mask Without a Face</w:t>
      </w:r>
      <w:r w:rsidRPr="00925713">
        <w:rPr>
          <w:rFonts w:ascii="Times New Roman" w:hAnsi="Times New Roman"/>
          <w:sz w:val="24"/>
          <w:lang w:val="en-GB"/>
        </w:rPr>
        <w:t xml:space="preserve">. </w:t>
      </w:r>
      <w:r w:rsidRPr="00925713">
        <w:rPr>
          <w:rFonts w:ascii="Times New Roman" w:hAnsi="Times New Roman"/>
          <w:sz w:val="24"/>
        </w:rPr>
        <w:t>London: Reaktion Books.</w:t>
      </w:r>
    </w:p>
    <w:p w:rsidR="00FA0A79" w:rsidRPr="00925713" w:rsidRDefault="00FA0A79" w:rsidP="00FA0A79">
      <w:pPr>
        <w:ind w:left="0"/>
        <w:rPr>
          <w:rFonts w:ascii="Times New Roman" w:hAnsi="Times New Roman"/>
          <w:sz w:val="24"/>
        </w:rPr>
      </w:pPr>
      <w:r w:rsidRPr="00925713">
        <w:rPr>
          <w:rFonts w:ascii="Times New Roman" w:hAnsi="Times New Roman"/>
          <w:sz w:val="24"/>
        </w:rPr>
        <w:t>MARKL, Dagoberto</w:t>
      </w:r>
      <w:r w:rsidR="0084779C">
        <w:rPr>
          <w:rFonts w:ascii="Times New Roman" w:hAnsi="Times New Roman"/>
          <w:sz w:val="24"/>
        </w:rPr>
        <w:t>, CABRAL, Teresa Sarsfield,</w:t>
      </w:r>
      <w:r w:rsidRPr="00925713">
        <w:rPr>
          <w:rFonts w:ascii="Times New Roman" w:hAnsi="Times New Roman"/>
          <w:sz w:val="24"/>
        </w:rPr>
        <w:t xml:space="preserve"> FRAZÃO, Irene (1999) – </w:t>
      </w:r>
    </w:p>
    <w:p w:rsidR="00FA0A79" w:rsidRPr="00925713" w:rsidRDefault="00FA0A79" w:rsidP="00FA0A79">
      <w:pPr>
        <w:ind w:left="0"/>
        <w:rPr>
          <w:rFonts w:ascii="Times New Roman" w:hAnsi="Times New Roman"/>
          <w:sz w:val="24"/>
        </w:rPr>
      </w:pPr>
      <w:r w:rsidRPr="0084779C">
        <w:rPr>
          <w:rFonts w:ascii="Times New Roman" w:hAnsi="Times New Roman"/>
          <w:i/>
          <w:sz w:val="24"/>
        </w:rPr>
        <w:t>O Fresco do Antigo Tribunal de Monsaraz</w:t>
      </w:r>
      <w:r w:rsidRPr="00925713">
        <w:rPr>
          <w:rFonts w:ascii="Times New Roman" w:hAnsi="Times New Roman"/>
          <w:sz w:val="24"/>
        </w:rPr>
        <w:t>. Lisboa: IPPAR.</w:t>
      </w:r>
    </w:p>
    <w:p w:rsidR="0084779C" w:rsidRDefault="00FA0A79" w:rsidP="00FA0A79">
      <w:pPr>
        <w:ind w:left="0"/>
        <w:rPr>
          <w:rFonts w:ascii="Times New Roman" w:hAnsi="Times New Roman"/>
          <w:bCs/>
          <w:sz w:val="24"/>
        </w:rPr>
      </w:pPr>
      <w:r w:rsidRPr="00925713">
        <w:rPr>
          <w:rFonts w:ascii="Times New Roman" w:hAnsi="Times New Roman"/>
          <w:sz w:val="24"/>
        </w:rPr>
        <w:t xml:space="preserve">MOURÃO, Cátia (1996) – “O Bom e o Mau Juiz: Fresco dos Antigos Paços da Audiência de Monsaraz”, </w:t>
      </w:r>
      <w:r w:rsidRPr="0084779C">
        <w:rPr>
          <w:rFonts w:ascii="Times New Roman" w:hAnsi="Times New Roman"/>
          <w:bCs/>
          <w:i/>
          <w:iCs/>
          <w:sz w:val="24"/>
        </w:rPr>
        <w:t>A Cidade de Évora: Boletim de Cultura da Câmara Municipal</w:t>
      </w:r>
      <w:r w:rsidR="0084779C">
        <w:rPr>
          <w:rFonts w:ascii="Times New Roman" w:hAnsi="Times New Roman"/>
          <w:bCs/>
          <w:iCs/>
          <w:sz w:val="24"/>
        </w:rPr>
        <w:t>(2.ª</w:t>
      </w:r>
      <w:r w:rsidRPr="00925713">
        <w:rPr>
          <w:rFonts w:ascii="Times New Roman" w:hAnsi="Times New Roman"/>
          <w:bCs/>
          <w:iCs/>
          <w:sz w:val="24"/>
        </w:rPr>
        <w:t>Série)</w:t>
      </w:r>
      <w:r w:rsidR="0084779C">
        <w:rPr>
          <w:rFonts w:ascii="Times New Roman" w:hAnsi="Times New Roman"/>
          <w:bCs/>
          <w:sz w:val="24"/>
        </w:rPr>
        <w:t>,n.º2.</w:t>
      </w:r>
    </w:p>
    <w:p w:rsidR="00FA0A79" w:rsidRPr="00925713" w:rsidRDefault="0084779C" w:rsidP="00FA0A79">
      <w:pPr>
        <w:ind w:left="0"/>
        <w:rPr>
          <w:rFonts w:ascii="Times New Roman" w:hAnsi="Times New Roman"/>
          <w:sz w:val="24"/>
        </w:rPr>
      </w:pPr>
      <w:r>
        <w:rPr>
          <w:rFonts w:ascii="Times New Roman" w:hAnsi="Times New Roman"/>
          <w:sz w:val="24"/>
        </w:rPr>
        <w:t xml:space="preserve">Disponível </w:t>
      </w:r>
      <w:r w:rsidR="00FA0A79" w:rsidRPr="00925713">
        <w:rPr>
          <w:rFonts w:ascii="Times New Roman" w:hAnsi="Times New Roman"/>
          <w:sz w:val="24"/>
        </w:rPr>
        <w:t>em :&lt;.http://www.academia.edu/1129867/O_Bom_e_o_Mau_Juiz_-_Fresco_dos_Antigos_Pacos_da_Audiencia_de_Monsaraz&gt;.[Consultado em 7 Out</w:t>
      </w:r>
      <w:r>
        <w:rPr>
          <w:rFonts w:ascii="Times New Roman" w:hAnsi="Times New Roman"/>
          <w:sz w:val="24"/>
        </w:rPr>
        <w:t>ubro</w:t>
      </w:r>
      <w:r w:rsidR="00B269CA">
        <w:rPr>
          <w:rFonts w:ascii="Times New Roman" w:hAnsi="Times New Roman"/>
          <w:sz w:val="24"/>
        </w:rPr>
        <w:t xml:space="preserve"> 2015</w:t>
      </w:r>
      <w:r w:rsidR="00FA0A79" w:rsidRPr="00925713">
        <w:rPr>
          <w:rFonts w:ascii="Times New Roman" w:hAnsi="Times New Roman"/>
          <w:sz w:val="24"/>
        </w:rPr>
        <w:t>].</w:t>
      </w:r>
    </w:p>
    <w:p w:rsidR="00FA0A79" w:rsidRPr="00925713" w:rsidRDefault="00FA0A79" w:rsidP="00FA0A79">
      <w:pPr>
        <w:pStyle w:val="Caption"/>
        <w:ind w:left="-57"/>
        <w:rPr>
          <w:rFonts w:ascii="Times New Roman" w:hAnsi="Times New Roman"/>
          <w:b w:val="0"/>
          <w:color w:val="auto"/>
          <w:sz w:val="24"/>
          <w:szCs w:val="24"/>
          <w:lang w:val="en-US"/>
        </w:rPr>
      </w:pPr>
      <w:r w:rsidRPr="00925713">
        <w:rPr>
          <w:rFonts w:ascii="Times New Roman" w:hAnsi="Times New Roman"/>
          <w:b w:val="0"/>
          <w:color w:val="auto"/>
          <w:sz w:val="24"/>
          <w:szCs w:val="24"/>
        </w:rPr>
        <w:t xml:space="preserve"> </w:t>
      </w:r>
      <w:r w:rsidRPr="00925713">
        <w:rPr>
          <w:rFonts w:ascii="Times New Roman" w:hAnsi="Times New Roman"/>
          <w:b w:val="0"/>
          <w:color w:val="auto"/>
          <w:sz w:val="24"/>
          <w:szCs w:val="24"/>
          <w:lang w:val="en-US"/>
        </w:rPr>
        <w:t xml:space="preserve">NORMAN, Diana (1995) - “Love Justice, you who judge the earth’:the paintings of the Sala dei Nove in the Palazzo Pubblico Siena”, In </w:t>
      </w:r>
      <w:r w:rsidR="00A06FC8" w:rsidRPr="00925713">
        <w:rPr>
          <w:rFonts w:ascii="Times New Roman" w:hAnsi="Times New Roman"/>
          <w:b w:val="0"/>
          <w:color w:val="auto"/>
          <w:sz w:val="24"/>
          <w:szCs w:val="24"/>
          <w:lang w:val="en-US"/>
        </w:rPr>
        <w:t>NORMAN, Diana</w:t>
      </w:r>
      <w:r w:rsidR="00A06FC8">
        <w:rPr>
          <w:rFonts w:ascii="Times New Roman" w:hAnsi="Times New Roman"/>
          <w:b w:val="0"/>
          <w:color w:val="auto"/>
          <w:sz w:val="24"/>
          <w:szCs w:val="24"/>
          <w:lang w:val="en-US"/>
        </w:rPr>
        <w:t xml:space="preserve"> (ed.) ,</w:t>
      </w:r>
      <w:r w:rsidR="00A06FC8" w:rsidRPr="00925713">
        <w:rPr>
          <w:rFonts w:ascii="Times New Roman" w:hAnsi="Times New Roman"/>
          <w:b w:val="0"/>
          <w:color w:val="auto"/>
          <w:sz w:val="24"/>
          <w:szCs w:val="24"/>
          <w:lang w:val="en-US"/>
        </w:rPr>
        <w:t xml:space="preserve"> </w:t>
      </w:r>
      <w:r w:rsidRPr="0084779C">
        <w:rPr>
          <w:rFonts w:ascii="Times New Roman" w:hAnsi="Times New Roman"/>
          <w:b w:val="0"/>
          <w:i/>
          <w:color w:val="auto"/>
          <w:sz w:val="24"/>
          <w:szCs w:val="24"/>
          <w:lang w:val="en-US"/>
        </w:rPr>
        <w:t>Siena, Florence and Pádua. Art, Society and Religion: 1280-1400</w:t>
      </w:r>
      <w:r w:rsidRPr="00925713">
        <w:rPr>
          <w:rFonts w:ascii="Times New Roman" w:hAnsi="Times New Roman"/>
          <w:b w:val="0"/>
          <w:color w:val="auto"/>
          <w:sz w:val="24"/>
          <w:szCs w:val="24"/>
          <w:lang w:val="en-US"/>
        </w:rPr>
        <w:t>. Yale: Yale.Univ.Press, vol.2 , pp.134-163.</w:t>
      </w:r>
    </w:p>
    <w:p w:rsidR="00FA0A79" w:rsidRPr="00925713" w:rsidRDefault="00A06FC8" w:rsidP="00FA0A79">
      <w:pPr>
        <w:ind w:left="0"/>
        <w:rPr>
          <w:rFonts w:ascii="Times New Roman" w:hAnsi="Times New Roman"/>
          <w:sz w:val="24"/>
        </w:rPr>
      </w:pPr>
      <w:r>
        <w:rPr>
          <w:rFonts w:ascii="Times New Roman" w:hAnsi="Times New Roman"/>
          <w:sz w:val="24"/>
        </w:rPr>
        <w:t>NUNES, António Manuel (2003</w:t>
      </w:r>
      <w:r w:rsidR="00FA0A79" w:rsidRPr="00925713">
        <w:rPr>
          <w:rFonts w:ascii="Times New Roman" w:hAnsi="Times New Roman"/>
          <w:sz w:val="24"/>
        </w:rPr>
        <w:t xml:space="preserve">) - </w:t>
      </w:r>
      <w:r w:rsidR="00FA0A79" w:rsidRPr="00A06FC8">
        <w:rPr>
          <w:rFonts w:ascii="Times New Roman" w:hAnsi="Times New Roman"/>
          <w:i/>
          <w:sz w:val="24"/>
        </w:rPr>
        <w:t>Justiça e Arte: tribunais portugueses.</w:t>
      </w:r>
      <w:r w:rsidR="00FA0A79" w:rsidRPr="00925713">
        <w:rPr>
          <w:rFonts w:ascii="Times New Roman" w:hAnsi="Times New Roman"/>
          <w:sz w:val="24"/>
        </w:rPr>
        <w:t xml:space="preserve"> Lisboa: Secretaria de Estado do Ministério da Justiça.</w:t>
      </w:r>
    </w:p>
    <w:p w:rsidR="00FA0A79" w:rsidRPr="00925713" w:rsidRDefault="00FA0A79" w:rsidP="00FA0A79">
      <w:pPr>
        <w:pStyle w:val="BodyText"/>
        <w:ind w:left="0"/>
        <w:rPr>
          <w:rFonts w:ascii="Times New Roman" w:hAnsi="Times New Roman"/>
          <w:sz w:val="24"/>
          <w:lang w:val="en-US"/>
        </w:rPr>
      </w:pPr>
      <w:r w:rsidRPr="00925713">
        <w:rPr>
          <w:rFonts w:ascii="Times New Roman" w:hAnsi="Times New Roman"/>
          <w:sz w:val="24"/>
          <w:lang w:val="en-US"/>
        </w:rPr>
        <w:t xml:space="preserve">RESNIK, Judith; CURTIS, Dennis (2011) - </w:t>
      </w:r>
      <w:r w:rsidRPr="00A06FC8">
        <w:rPr>
          <w:rFonts w:ascii="Times New Roman" w:hAnsi="Times New Roman"/>
          <w:i/>
          <w:sz w:val="24"/>
          <w:lang w:val="en-US"/>
        </w:rPr>
        <w:t>Invention, Controversy, and Rights in City-states and Democratic Courtrooms.</w:t>
      </w:r>
      <w:r w:rsidRPr="00925713">
        <w:rPr>
          <w:rFonts w:ascii="Times New Roman" w:hAnsi="Times New Roman"/>
          <w:sz w:val="24"/>
          <w:lang w:val="en-US"/>
        </w:rPr>
        <w:t xml:space="preserve"> London: Yale U. Press.</w:t>
      </w:r>
    </w:p>
    <w:p w:rsidR="00FA0A79" w:rsidRPr="00925713" w:rsidRDefault="00FA0A79" w:rsidP="00FA0A79">
      <w:pPr>
        <w:ind w:left="0"/>
        <w:rPr>
          <w:rFonts w:ascii="Times New Roman" w:hAnsi="Times New Roman"/>
          <w:sz w:val="24"/>
        </w:rPr>
      </w:pPr>
      <w:r w:rsidRPr="00A06FC8">
        <w:rPr>
          <w:rFonts w:ascii="Times New Roman" w:hAnsi="Times New Roman"/>
          <w:sz w:val="24"/>
          <w:lang w:val="en-US"/>
        </w:rPr>
        <w:t>RESNIK</w:t>
      </w:r>
      <w:r w:rsidR="00A06FC8" w:rsidRPr="00A06FC8">
        <w:rPr>
          <w:rFonts w:ascii="Times New Roman" w:hAnsi="Times New Roman" w:cs="Arial"/>
          <w:sz w:val="24"/>
          <w:lang w:val="en-US"/>
        </w:rPr>
        <w:t>,</w:t>
      </w:r>
      <w:r w:rsidRPr="00925713">
        <w:rPr>
          <w:rFonts w:ascii="Times New Roman" w:hAnsi="Times New Roman" w:cs="Arial"/>
          <w:sz w:val="24"/>
          <w:lang w:val="en-US"/>
        </w:rPr>
        <w:t xml:space="preserve"> </w:t>
      </w:r>
      <w:r w:rsidRPr="00925713">
        <w:rPr>
          <w:rFonts w:ascii="Times New Roman" w:hAnsi="Times New Roman"/>
          <w:sz w:val="24"/>
          <w:lang w:val="en-US"/>
        </w:rPr>
        <w:t>Judith; CURTIS, Dennis</w:t>
      </w:r>
      <w:r w:rsidRPr="00925713">
        <w:rPr>
          <w:rFonts w:ascii="Times New Roman" w:hAnsi="Times New Roman" w:cs="Arial"/>
          <w:sz w:val="24"/>
          <w:lang w:val="en-US"/>
        </w:rPr>
        <w:t xml:space="preserve"> (2011) - </w:t>
      </w:r>
      <w:r w:rsidRPr="00A06FC8">
        <w:rPr>
          <w:rFonts w:ascii="Times New Roman" w:hAnsi="Times New Roman" w:cs="Arial"/>
          <w:i/>
          <w:sz w:val="24"/>
          <w:lang w:val="en-US"/>
        </w:rPr>
        <w:t>Representing Justice</w:t>
      </w:r>
      <w:r w:rsidRPr="00925713">
        <w:rPr>
          <w:rFonts w:ascii="Times New Roman" w:hAnsi="Times New Roman" w:cs="Arial"/>
          <w:sz w:val="24"/>
          <w:lang w:val="en-US"/>
        </w:rPr>
        <w:t>.</w:t>
      </w:r>
      <w:r w:rsidRPr="00925713">
        <w:rPr>
          <w:rFonts w:ascii="Times New Roman" w:hAnsi="Times New Roman"/>
          <w:sz w:val="24"/>
          <w:lang w:val="en-US"/>
        </w:rPr>
        <w:t xml:space="preserve"> </w:t>
      </w:r>
      <w:r w:rsidRPr="00925713">
        <w:rPr>
          <w:rFonts w:ascii="Times New Roman" w:hAnsi="Times New Roman"/>
          <w:sz w:val="24"/>
        </w:rPr>
        <w:t>Yale: U.Press.</w:t>
      </w:r>
    </w:p>
    <w:p w:rsidR="00925713" w:rsidRDefault="00FA0A79" w:rsidP="00925713">
      <w:pPr>
        <w:pStyle w:val="FootnoteText"/>
        <w:ind w:left="0"/>
        <w:rPr>
          <w:rFonts w:ascii="Times New Roman" w:hAnsi="Times New Roman"/>
          <w:lang w:val="fr-FR"/>
        </w:rPr>
      </w:pPr>
      <w:r w:rsidRPr="00925713">
        <w:rPr>
          <w:rFonts w:ascii="Times New Roman" w:hAnsi="Times New Roman"/>
        </w:rPr>
        <w:t>RIPA,</w:t>
      </w:r>
      <w:r w:rsidRPr="00925713">
        <w:rPr>
          <w:rStyle w:val="addmd"/>
          <w:rFonts w:ascii="Times New Roman" w:hAnsi="Times New Roman"/>
          <w:shd w:val="clear" w:color="auto" w:fill="FFFFFF"/>
        </w:rPr>
        <w:t xml:space="preserve"> </w:t>
      </w:r>
      <w:r w:rsidRPr="00925713">
        <w:rPr>
          <w:rFonts w:ascii="Times New Roman" w:hAnsi="Times New Roman"/>
        </w:rPr>
        <w:t xml:space="preserve">Cesare (1987) - </w:t>
      </w:r>
      <w:r w:rsidRPr="00A06FC8">
        <w:rPr>
          <w:rFonts w:ascii="Times New Roman" w:hAnsi="Times New Roman"/>
          <w:i/>
        </w:rPr>
        <w:t>Iconologia</w:t>
      </w:r>
      <w:r w:rsidRPr="00925713">
        <w:rPr>
          <w:rFonts w:ascii="Times New Roman" w:hAnsi="Times New Roman"/>
        </w:rPr>
        <w:t xml:space="preserve"> (tradução da ed. italiana de 1613). </w:t>
      </w:r>
      <w:r w:rsidRPr="00925713">
        <w:rPr>
          <w:rFonts w:ascii="Times New Roman" w:hAnsi="Times New Roman"/>
          <w:lang w:val="fr-FR"/>
        </w:rPr>
        <w:t>Trad. Juan Barja e Yago Barja,  2 Vol. Madrid: Akal.</w:t>
      </w:r>
    </w:p>
    <w:p w:rsidR="00FA0A79" w:rsidRPr="00925713" w:rsidRDefault="00FA0A79" w:rsidP="00FA0A79">
      <w:pPr>
        <w:pStyle w:val="FootnoteText"/>
        <w:spacing w:after="240"/>
        <w:ind w:left="0"/>
        <w:rPr>
          <w:rFonts w:ascii="Times New Roman" w:hAnsi="Times New Roman"/>
          <w:lang w:val="fr-FR"/>
        </w:rPr>
      </w:pPr>
      <w:r w:rsidRPr="00925713">
        <w:rPr>
          <w:rFonts w:ascii="Times New Roman" w:hAnsi="Times New Roman" w:cs="Arial"/>
          <w:lang w:val="fr-FR"/>
        </w:rPr>
        <w:t xml:space="preserve">ROBERT, Jacob (1994) - </w:t>
      </w:r>
      <w:r w:rsidRPr="00A06FC8">
        <w:rPr>
          <w:rFonts w:ascii="Times New Roman" w:hAnsi="Times New Roman" w:cs="Arial"/>
          <w:i/>
          <w:lang w:val="fr-FR"/>
        </w:rPr>
        <w:t>Images de l</w:t>
      </w:r>
      <w:r w:rsidR="00A06FC8" w:rsidRPr="00A06FC8">
        <w:rPr>
          <w:rFonts w:ascii="Times New Roman" w:hAnsi="Times New Roman" w:cs="Arial"/>
          <w:i/>
          <w:lang w:val="fr-FR"/>
        </w:rPr>
        <w:t>a Justice</w:t>
      </w:r>
      <w:r w:rsidR="00A06FC8">
        <w:rPr>
          <w:rFonts w:ascii="Times New Roman" w:hAnsi="Times New Roman" w:cs="Arial"/>
          <w:lang w:val="fr-FR"/>
        </w:rPr>
        <w:t>. Paris: Le Leópard d’o</w:t>
      </w:r>
      <w:r w:rsidRPr="00925713">
        <w:rPr>
          <w:rFonts w:ascii="Times New Roman" w:hAnsi="Times New Roman" w:cs="Arial"/>
          <w:lang w:val="fr-FR"/>
        </w:rPr>
        <w:t>r.</w:t>
      </w:r>
    </w:p>
    <w:p w:rsidR="00FA0A79" w:rsidRPr="00925713" w:rsidRDefault="00FA0A79" w:rsidP="00FA0A79">
      <w:pPr>
        <w:ind w:left="0"/>
        <w:rPr>
          <w:rFonts w:ascii="Times New Roman" w:hAnsi="Times New Roman"/>
          <w:sz w:val="24"/>
          <w:lang w:val="en-US"/>
        </w:rPr>
      </w:pPr>
      <w:r w:rsidRPr="00925713">
        <w:rPr>
          <w:rFonts w:ascii="Times New Roman" w:hAnsi="Times New Roman" w:cs="Arial"/>
          <w:sz w:val="24"/>
          <w:lang w:val="fr-FR"/>
        </w:rPr>
        <w:t xml:space="preserve">ROBERT, </w:t>
      </w:r>
      <w:r w:rsidRPr="00925713">
        <w:rPr>
          <w:rStyle w:val="addmd"/>
          <w:rFonts w:ascii="Times New Roman" w:hAnsi="Times New Roman"/>
          <w:sz w:val="24"/>
          <w:shd w:val="clear" w:color="auto" w:fill="FFFFFF"/>
          <w:lang w:val="fr-FR"/>
        </w:rPr>
        <w:t xml:space="preserve">Christian-Nils (2006) - </w:t>
      </w:r>
      <w:r w:rsidRPr="00A06FC8">
        <w:rPr>
          <w:rFonts w:ascii="Times New Roman" w:hAnsi="Times New Roman"/>
          <w:i/>
          <w:sz w:val="24"/>
          <w:lang w:val="fr-FR"/>
        </w:rPr>
        <w:t>La Justice dans ses Décors (XVe-XVIe siècles)</w:t>
      </w:r>
      <w:r w:rsidRPr="00925713">
        <w:rPr>
          <w:rFonts w:ascii="Times New Roman" w:hAnsi="Times New Roman"/>
          <w:sz w:val="24"/>
          <w:lang w:val="fr-FR"/>
        </w:rPr>
        <w:t xml:space="preserve">. </w:t>
      </w:r>
      <w:r w:rsidRPr="00925713">
        <w:rPr>
          <w:rStyle w:val="addmd"/>
          <w:rFonts w:ascii="Times New Roman" w:hAnsi="Times New Roman"/>
          <w:sz w:val="24"/>
          <w:shd w:val="clear" w:color="auto" w:fill="FFFFFF"/>
          <w:lang w:val="en-US"/>
        </w:rPr>
        <w:t>Geneve: Droz</w:t>
      </w:r>
      <w:r w:rsidRPr="00925713">
        <w:rPr>
          <w:rStyle w:val="addmd"/>
          <w:rFonts w:ascii="Times New Roman" w:hAnsi="Times New Roman" w:cs="Arial"/>
          <w:smallCaps/>
          <w:sz w:val="24"/>
          <w:shd w:val="clear" w:color="auto" w:fill="FFFFFF"/>
          <w:lang w:val="en-US"/>
        </w:rPr>
        <w:t>.</w:t>
      </w:r>
    </w:p>
    <w:p w:rsidR="00FA0A79" w:rsidRPr="00925713" w:rsidRDefault="00FA0A79" w:rsidP="00FA0A79">
      <w:pPr>
        <w:ind w:left="0"/>
        <w:rPr>
          <w:rFonts w:ascii="Times New Roman" w:hAnsi="Times New Roman"/>
          <w:sz w:val="24"/>
          <w:lang w:val="en-US"/>
        </w:rPr>
      </w:pPr>
      <w:r w:rsidRPr="00925713">
        <w:rPr>
          <w:rFonts w:ascii="Times New Roman" w:hAnsi="Times New Roman"/>
          <w:sz w:val="24"/>
          <w:lang w:val="en-US"/>
        </w:rPr>
        <w:t xml:space="preserve">ROSEWELL, Roger (2014) - </w:t>
      </w:r>
      <w:r w:rsidRPr="00A06FC8">
        <w:rPr>
          <w:rFonts w:ascii="Times New Roman" w:hAnsi="Times New Roman"/>
          <w:i/>
          <w:sz w:val="24"/>
          <w:lang w:val="en-US"/>
        </w:rPr>
        <w:t>Medieval Wall Paintings</w:t>
      </w:r>
      <w:r w:rsidRPr="00925713">
        <w:rPr>
          <w:rFonts w:ascii="Times New Roman" w:hAnsi="Times New Roman"/>
          <w:sz w:val="24"/>
          <w:lang w:val="en-US"/>
        </w:rPr>
        <w:t>. Oxford: Shire Publications.</w:t>
      </w:r>
    </w:p>
    <w:p w:rsidR="00FA0A79" w:rsidRPr="00925713" w:rsidRDefault="00FA0A79" w:rsidP="00FA0A79">
      <w:pPr>
        <w:ind w:left="0"/>
        <w:rPr>
          <w:rFonts w:ascii="Times New Roman" w:hAnsi="Times New Roman"/>
          <w:sz w:val="24"/>
          <w:lang w:val="en-US"/>
        </w:rPr>
      </w:pPr>
      <w:r w:rsidRPr="00925713">
        <w:rPr>
          <w:rFonts w:ascii="Times New Roman" w:hAnsi="Times New Roman"/>
          <w:sz w:val="24"/>
          <w:lang w:val="fr-FR"/>
        </w:rPr>
        <w:t xml:space="preserve">SKINNER, Quentin (2003) - </w:t>
      </w:r>
      <w:r w:rsidRPr="00A06FC8">
        <w:rPr>
          <w:rFonts w:ascii="Times New Roman" w:hAnsi="Times New Roman"/>
          <w:i/>
          <w:sz w:val="24"/>
          <w:lang w:val="fr-FR"/>
        </w:rPr>
        <w:t>L’Artiste en Philosophie Politique: Ambrogio Lorenzetti et le Bon Gouvernemen.</w:t>
      </w:r>
      <w:r w:rsidRPr="00925713">
        <w:rPr>
          <w:rFonts w:ascii="Times New Roman" w:hAnsi="Times New Roman"/>
          <w:sz w:val="24"/>
          <w:lang w:val="fr-FR"/>
        </w:rPr>
        <w:t xml:space="preserve"> </w:t>
      </w:r>
      <w:r w:rsidRPr="00925713">
        <w:rPr>
          <w:rFonts w:ascii="Times New Roman" w:hAnsi="Times New Roman"/>
          <w:sz w:val="24"/>
          <w:lang w:val="en-US"/>
        </w:rPr>
        <w:t>Paris: Raison d’Agir.</w:t>
      </w:r>
    </w:p>
    <w:p w:rsidR="00921494" w:rsidRPr="000C6FF3" w:rsidRDefault="00FA0A79" w:rsidP="000C6FF3">
      <w:pPr>
        <w:ind w:left="0"/>
        <w:rPr>
          <w:rFonts w:ascii="Times New Roman" w:hAnsi="Times New Roman"/>
          <w:sz w:val="24"/>
          <w:lang w:val="en-US"/>
        </w:rPr>
      </w:pPr>
      <w:r w:rsidRPr="00925713">
        <w:rPr>
          <w:rFonts w:ascii="Times New Roman" w:hAnsi="Times New Roman"/>
          <w:sz w:val="24"/>
          <w:lang w:val="en-US"/>
        </w:rPr>
        <w:t xml:space="preserve">ZAPALAC, Kristin Eldyss (1990) - </w:t>
      </w:r>
      <w:r w:rsidRPr="00A06FC8">
        <w:rPr>
          <w:rFonts w:ascii="Times New Roman" w:hAnsi="Times New Roman"/>
          <w:i/>
          <w:sz w:val="24"/>
          <w:lang w:val="en-US"/>
        </w:rPr>
        <w:t>His Image and Likeness</w:t>
      </w:r>
      <w:r w:rsidRPr="00925713">
        <w:rPr>
          <w:rFonts w:ascii="Times New Roman" w:hAnsi="Times New Roman"/>
          <w:sz w:val="24"/>
          <w:lang w:val="en-US"/>
        </w:rPr>
        <w:t xml:space="preserve">. London: Cornell U Press. </w:t>
      </w:r>
    </w:p>
    <w:sectPr w:rsidR="00921494" w:rsidRPr="000C6FF3" w:rsidSect="00CF2A03">
      <w:pgSz w:w="11900" w:h="16840"/>
      <w:pgMar w:top="1440" w:right="1800" w:bottom="1440" w:left="1800" w:header="708" w:footer="708" w:gutter="0"/>
      <w:cols w:space="708"/>
    </w:sectPr>
  </w:body>
</w:document>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Lucida Grande">
    <w:panose1 w:val="020F0603020208020904"/>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Tahoma">
    <w:panose1 w:val="020B0604030504040204"/>
    <w:charset w:val="00"/>
    <w:family w:val="swiss"/>
    <w:pitch w:val="variable"/>
    <w:sig w:usb0="E1002AFF" w:usb1="C000605B" w:usb2="00000029" w:usb3="00000000" w:csb0="000101FF" w:csb1="00000000"/>
  </w:font>
  <w:font w:name="Verdana">
    <w:panose1 w:val="020B0604030504040204"/>
    <w:charset w:val="00"/>
    <w:family w:val="auto"/>
    <w:pitch w:val="variable"/>
    <w:sig w:usb0="00000003" w:usb1="00000000" w:usb2="00000000" w:usb3="00000000" w:csb0="00000001" w:csb1="00000000"/>
  </w:font>
  <w:font w:name="MS Gothic">
    <w:altName w:val="ＭＳ ゴシック"/>
    <w:charset w:val="80"/>
    <w:family w:val="modern"/>
    <w:pitch w:val="fixed"/>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TimesNewRoman">
    <w:altName w:val="Cambria"/>
    <w:panose1 w:val="00000000000000000000"/>
    <w:charset w:val="4D"/>
    <w:family w:val="roman"/>
    <w:notTrueType/>
    <w:pitch w:val="default"/>
    <w:sig w:usb0="00000003" w:usb1="00000000" w:usb2="00000000" w:usb3="00000000" w:csb0="00000001" w:csb1="00000000"/>
  </w:font>
</w:fonts>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id="0">
    <w:p w:rsidR="00AF3F82" w:rsidRPr="00A7398F" w:rsidRDefault="00AF3F82" w:rsidP="005B1ADB">
      <w:pPr>
        <w:spacing w:before="0" w:after="0"/>
        <w:ind w:left="0"/>
        <w:rPr>
          <w:rFonts w:ascii="Times New Roman" w:hAnsi="Times New Roman"/>
          <w:sz w:val="20"/>
        </w:rPr>
      </w:pPr>
      <w:r w:rsidRPr="00A7398F">
        <w:rPr>
          <w:rStyle w:val="FootnoteReference"/>
          <w:rFonts w:ascii="Times New Roman" w:hAnsi="Times New Roman"/>
          <w:sz w:val="20"/>
        </w:rPr>
        <w:footnoteRef/>
      </w:r>
      <w:r>
        <w:rPr>
          <w:rFonts w:ascii="Times New Roman" w:hAnsi="Times New Roman"/>
          <w:sz w:val="20"/>
        </w:rPr>
        <w:t xml:space="preserve"> </w:t>
      </w:r>
      <w:r w:rsidRPr="00A7398F">
        <w:rPr>
          <w:rFonts w:ascii="Times New Roman" w:hAnsi="Times New Roman"/>
          <w:sz w:val="20"/>
        </w:rPr>
        <w:t xml:space="preserve">Ignora-se o nome original do Fresco de Monsaraz, desconhecido até 1958. Esta designação foi-lhe atribuída por José Pires Gonçalves o autor da descoberta, por analogia com a </w:t>
      </w:r>
      <w:r w:rsidRPr="00361B36">
        <w:rPr>
          <w:rFonts w:ascii="Times New Roman" w:hAnsi="Times New Roman"/>
          <w:i/>
          <w:sz w:val="20"/>
        </w:rPr>
        <w:t xml:space="preserve">Alegoria do Bom e </w:t>
      </w:r>
      <w:r w:rsidRPr="00361B36">
        <w:rPr>
          <w:rFonts w:ascii="Times New Roman" w:hAnsi="Times New Roman"/>
          <w:i/>
          <w:sz w:val="20"/>
          <w:szCs w:val="20"/>
        </w:rPr>
        <w:t>do</w:t>
      </w:r>
      <w:r w:rsidRPr="00361B36">
        <w:rPr>
          <w:rFonts w:ascii="Times New Roman" w:hAnsi="Times New Roman"/>
          <w:i/>
          <w:sz w:val="20"/>
        </w:rPr>
        <w:t xml:space="preserve"> Mau Governo</w:t>
      </w:r>
      <w:r w:rsidRPr="00A7398F">
        <w:rPr>
          <w:rFonts w:ascii="Times New Roman" w:hAnsi="Times New Roman"/>
          <w:sz w:val="20"/>
        </w:rPr>
        <w:t>, de Ambrósio Lorenzetti, pintada nas três paredes da Sala da Paz, ou dos Nove, do Palácio Público de Siena, na p</w:t>
      </w:r>
      <w:r>
        <w:rPr>
          <w:rFonts w:ascii="Times New Roman" w:hAnsi="Times New Roman"/>
          <w:sz w:val="20"/>
        </w:rPr>
        <w:t>rimeira metade do século XIV (GONÇALVES</w:t>
      </w:r>
      <w:r w:rsidRPr="00A7398F">
        <w:rPr>
          <w:rFonts w:ascii="Times New Roman" w:hAnsi="Times New Roman"/>
          <w:bCs/>
          <w:sz w:val="20"/>
          <w:szCs w:val="22"/>
        </w:rPr>
        <w:t xml:space="preserve">,1964, p.113-136). </w:t>
      </w:r>
      <w:r w:rsidRPr="00A7398F">
        <w:rPr>
          <w:rFonts w:ascii="Times New Roman" w:hAnsi="Times New Roman"/>
          <w:sz w:val="20"/>
        </w:rPr>
        <w:t xml:space="preserve"> </w:t>
      </w:r>
    </w:p>
  </w:footnote>
  <w:footnote w:id="1">
    <w:p w:rsidR="00AF3F82" w:rsidRPr="00A7398F" w:rsidRDefault="00AF3F82" w:rsidP="00A7398F">
      <w:pPr>
        <w:pStyle w:val="BodyText"/>
        <w:spacing w:before="0"/>
        <w:ind w:left="0"/>
        <w:outlineLvl w:val="0"/>
        <w:rPr>
          <w:rFonts w:ascii="Times New Roman" w:hAnsi="Times New Roman"/>
          <w:sz w:val="20"/>
        </w:rPr>
      </w:pPr>
      <w:r w:rsidRPr="00A7398F">
        <w:rPr>
          <w:rStyle w:val="FootnoteReference"/>
          <w:rFonts w:ascii="Times New Roman" w:hAnsi="Times New Roman"/>
          <w:sz w:val="20"/>
        </w:rPr>
        <w:footnoteRef/>
      </w:r>
      <w:r>
        <w:rPr>
          <w:rFonts w:ascii="Times New Roman" w:hAnsi="Times New Roman"/>
          <w:sz w:val="20"/>
        </w:rPr>
        <w:t xml:space="preserve"> </w:t>
      </w:r>
      <w:r w:rsidRPr="00A7398F">
        <w:rPr>
          <w:rFonts w:ascii="Times New Roman" w:hAnsi="Times New Roman"/>
          <w:sz w:val="20"/>
        </w:rPr>
        <w:t>A vila de Monsaraz  situa-se a sul de Portugal, perto do rio Guadiana, fronteira natural com Espanha.  A sua importância remonta ao século XIII (possivelmente 1232), quando foi conquistada por D. Sancho II, auxiliado por cavaleiros templários. Em 1276</w:t>
      </w:r>
      <w:r>
        <w:rPr>
          <w:rFonts w:ascii="Times New Roman" w:hAnsi="Times New Roman"/>
          <w:sz w:val="20"/>
        </w:rPr>
        <w:t>,</w:t>
      </w:r>
      <w:r w:rsidRPr="00A7398F">
        <w:rPr>
          <w:rFonts w:ascii="Times New Roman" w:hAnsi="Times New Roman"/>
          <w:sz w:val="20"/>
        </w:rPr>
        <w:t xml:space="preserve"> D. Afonso III outorga-lhe carta de foral, estabelecendo os limites do termo medieval e das terras reguengas. A vila medieval dispunha de alcaide, alvazil, tabelião e procurador. No século XIV Monsaraz passa a comenda da ordem de Cristo, e em 1412 o condestável D. Nuno Álvares Pereira doa a vila ao neto, D. Fernando, 2º Duque de Bragança. Em 1512</w:t>
      </w:r>
      <w:r>
        <w:rPr>
          <w:rFonts w:ascii="Times New Roman" w:hAnsi="Times New Roman"/>
          <w:sz w:val="20"/>
        </w:rPr>
        <w:t>,</w:t>
      </w:r>
      <w:r w:rsidRPr="00A7398F">
        <w:rPr>
          <w:rFonts w:ascii="Times New Roman" w:hAnsi="Times New Roman"/>
          <w:sz w:val="20"/>
        </w:rPr>
        <w:t xml:space="preserve"> D. Manuel outorga-lhe nova carta de foral, modernizando o regime fiscal e administrativo do Concelho. </w:t>
      </w:r>
    </w:p>
  </w:footnote>
  <w:footnote w:id="2">
    <w:p w:rsidR="00AF3F82" w:rsidRPr="00EA6D05" w:rsidRDefault="00AF3F82" w:rsidP="00A7398F">
      <w:pPr>
        <w:pStyle w:val="FootnoteText"/>
        <w:ind w:left="0"/>
        <w:rPr>
          <w:rFonts w:ascii="Times New Roman" w:hAnsi="Times New Roman"/>
          <w:sz w:val="20"/>
        </w:rPr>
      </w:pPr>
      <w:r w:rsidRPr="00A7398F">
        <w:rPr>
          <w:rStyle w:val="FootnoteReference"/>
          <w:rFonts w:ascii="Times New Roman" w:hAnsi="Times New Roman"/>
          <w:sz w:val="20"/>
        </w:rPr>
        <w:footnoteRef/>
      </w:r>
      <w:r>
        <w:rPr>
          <w:rFonts w:ascii="Times New Roman" w:hAnsi="Times New Roman"/>
          <w:color w:val="FF6600"/>
          <w:sz w:val="20"/>
        </w:rPr>
        <w:t xml:space="preserve"> </w:t>
      </w:r>
      <w:r w:rsidRPr="00EA6D05">
        <w:rPr>
          <w:rFonts w:ascii="Times New Roman" w:hAnsi="Times New Roman"/>
          <w:sz w:val="20"/>
        </w:rPr>
        <w:t>Os aspetos mais nebulosos do Fresco prendem-se com a autoria do desenho e as suas fontes iconográficas, sobretudo em relação à figura do juiz de dois rostos, comummente referida como o Mau juiz, e à representação do juízo final, na parte superior do mural.</w:t>
      </w:r>
    </w:p>
  </w:footnote>
  <w:footnote w:id="3">
    <w:p w:rsidR="00AF3F82" w:rsidRPr="003640AA" w:rsidRDefault="00AF3F82" w:rsidP="005B1ADB">
      <w:pPr>
        <w:spacing w:before="0" w:after="0"/>
        <w:ind w:left="0"/>
        <w:rPr>
          <w:rFonts w:ascii="Times New Roman" w:hAnsi="Times New Roman"/>
          <w:sz w:val="20"/>
        </w:rPr>
      </w:pPr>
      <w:r w:rsidRPr="00A7398F">
        <w:rPr>
          <w:rStyle w:val="FootnoteReference"/>
          <w:rFonts w:ascii="Times New Roman" w:hAnsi="Times New Roman"/>
          <w:sz w:val="20"/>
        </w:rPr>
        <w:footnoteRef/>
      </w:r>
      <w:r>
        <w:rPr>
          <w:rFonts w:ascii="Times New Roman" w:hAnsi="Times New Roman"/>
          <w:sz w:val="20"/>
        </w:rPr>
        <w:t xml:space="preserve"> </w:t>
      </w:r>
      <w:r w:rsidRPr="00A7398F">
        <w:rPr>
          <w:rFonts w:ascii="Times New Roman" w:hAnsi="Times New Roman"/>
          <w:sz w:val="20"/>
        </w:rPr>
        <w:t>Considerando, sobretudo, a estrutura linear e estática da imagem e das personagens, bem como o arcaísmo das suas características técnico-formais, José Pires Gonçalves datou inicialmente o fresco do século XIV (1317-67).</w:t>
      </w:r>
      <w:r w:rsidRPr="003640AA">
        <w:rPr>
          <w:rFonts w:ascii="Times New Roman" w:hAnsi="Times New Roman"/>
          <w:sz w:val="20"/>
        </w:rPr>
        <w:t xml:space="preserve"> Abel Moura, responsável pelas obras de restauro, nos anos 60, assim como Reis dos Santos e Túlio Espanca, identificaram-no como sendo de uma oficina regional de quatrocentos. As análises de pigmentos feitas por Isabel Ribeiro aquando da última intervenção de repintagem e recuperação da pintura mural nos anos 90, apontaram para os inícios de quinhentos como a data provável de realização da (primeira) campanha. Pelas analogias formais com o fresco da ermida de Santo André, na cidade de Beja, Luís Urbano Afonso (AFONSO, 2009) considerou pertencerem ambos à mesma oficina, identificando o seu autor como sendo o Mestre de Monsaraz-Beja. Este artista  terá desenvolvido atividade na região entre finais do século XV e inícios de XVI. Finalmente, os estudos recentemente efetuados pelo Laboratório Hércules dataram genericamente as argamassas e os pigmentos naturais usados no fresco como os habitualmente utilizados no Alentejo nos séculos XVI e XVII. (GIL,</w:t>
      </w:r>
      <w:r>
        <w:rPr>
          <w:rFonts w:ascii="Times New Roman" w:hAnsi="Times New Roman"/>
          <w:sz w:val="20"/>
        </w:rPr>
        <w:t xml:space="preserve"> </w:t>
      </w:r>
      <w:r w:rsidRPr="003640AA">
        <w:rPr>
          <w:rFonts w:ascii="Times New Roman" w:hAnsi="Times New Roman"/>
          <w:sz w:val="20"/>
        </w:rPr>
        <w:t xml:space="preserve">2013). </w:t>
      </w:r>
    </w:p>
  </w:footnote>
  <w:footnote w:id="4">
    <w:p w:rsidR="00AF3F82" w:rsidRPr="003640AA" w:rsidRDefault="00AF3F82" w:rsidP="001B5DF0">
      <w:pPr>
        <w:pStyle w:val="Caption"/>
        <w:spacing w:after="0"/>
        <w:ind w:left="0"/>
        <w:rPr>
          <w:rFonts w:ascii="Times New Roman" w:hAnsi="Times New Roman"/>
          <w:b w:val="0"/>
          <w:color w:val="auto"/>
          <w:sz w:val="20"/>
        </w:rPr>
      </w:pPr>
      <w:r w:rsidRPr="003640AA">
        <w:rPr>
          <w:rStyle w:val="FootnoteReference"/>
          <w:rFonts w:ascii="Times New Roman" w:hAnsi="Times New Roman"/>
          <w:b w:val="0"/>
          <w:color w:val="auto"/>
          <w:sz w:val="20"/>
        </w:rPr>
        <w:footnoteRef/>
      </w:r>
      <w:r w:rsidRPr="003640AA">
        <w:rPr>
          <w:rFonts w:ascii="Times New Roman" w:hAnsi="Times New Roman"/>
          <w:b w:val="0"/>
          <w:color w:val="auto"/>
          <w:sz w:val="20"/>
        </w:rPr>
        <w:t xml:space="preserve"> As técnicas utilizadas pelo Laboratório Hércules foram o registo fotográfico em luz visível e invisível (infravermelho e ultravioleta), a análise com microscopia eletrónica de varrimento, e a espectrometria de absorção de infravermelho. </w:t>
      </w:r>
      <w:r w:rsidRPr="003640AA">
        <w:rPr>
          <w:rFonts w:ascii="Times New Roman" w:hAnsi="Times New Roman" w:cs="Times New Roman"/>
          <w:b w:val="0"/>
          <w:color w:val="auto"/>
          <w:sz w:val="20"/>
        </w:rPr>
        <w:t>Agradeço à Sra. Doutora Milene Gil do Laboratório Hércules ter-me disponibilizado os resultados dos exames. As fotografias do Fresco foram realizadas no  âmbito do Projeto PRIM'ART (TDC/CPC-EAT/4769/2012),financiado por fundos nacionais através da FCT/MEC e co-financiado pelo fundo Europeu de Desenvolvimento Regional (FEDER) através do COMPETE-Programa Operacional Fatores de Competitividade (POCF).</w:t>
      </w:r>
    </w:p>
  </w:footnote>
  <w:footnote w:id="5">
    <w:p w:rsidR="00AF3F82" w:rsidRPr="005B1ADB" w:rsidRDefault="00AF3F82" w:rsidP="00FA0A79">
      <w:pPr>
        <w:spacing w:before="0" w:after="0"/>
        <w:ind w:left="0"/>
        <w:rPr>
          <w:rFonts w:ascii="Times New Roman" w:hAnsi="Times New Roman"/>
          <w:color w:val="FF6600"/>
          <w:sz w:val="20"/>
          <w:highlight w:val="green"/>
        </w:rPr>
      </w:pPr>
      <w:r w:rsidRPr="003640AA">
        <w:rPr>
          <w:rStyle w:val="FootnoteReference"/>
          <w:rFonts w:ascii="Times New Roman" w:hAnsi="Times New Roman"/>
          <w:sz w:val="20"/>
        </w:rPr>
        <w:footnoteRef/>
      </w:r>
      <w:r w:rsidRPr="003640AA">
        <w:rPr>
          <w:rFonts w:ascii="Times New Roman" w:hAnsi="Times New Roman"/>
          <w:sz w:val="20"/>
        </w:rPr>
        <w:t xml:space="preserve">O artigo integra-se num estudo  mais amplo: </w:t>
      </w:r>
      <w:r w:rsidRPr="003640AA">
        <w:rPr>
          <w:rFonts w:ascii="Times New Roman" w:hAnsi="Times New Roman"/>
          <w:i/>
          <w:sz w:val="20"/>
        </w:rPr>
        <w:t>Um</w:t>
      </w:r>
      <w:r w:rsidRPr="003640AA">
        <w:rPr>
          <w:rFonts w:ascii="Times New Roman" w:hAnsi="Times New Roman"/>
          <w:sz w:val="20"/>
        </w:rPr>
        <w:t xml:space="preserve"> </w:t>
      </w:r>
      <w:r w:rsidRPr="003640AA">
        <w:rPr>
          <w:rFonts w:ascii="Times New Roman" w:hAnsi="Times New Roman"/>
          <w:i/>
          <w:sz w:val="20"/>
        </w:rPr>
        <w:t>Tribunal no Renascimentos - O Fresco de Monsaraz</w:t>
      </w:r>
      <w:r w:rsidRPr="003640AA">
        <w:rPr>
          <w:rFonts w:ascii="Times New Roman" w:hAnsi="Times New Roman"/>
          <w:sz w:val="20"/>
        </w:rPr>
        <w:t xml:space="preserve"> (no prelo). A obra descodifica a representação do imaginário jurídico e político-moral do Fresco, integrando-o no âmbito dos espaços judiciais municipais, e contextualizando-o na literatura e na iconologia jurídica ren</w:t>
      </w:r>
      <w:r>
        <w:rPr>
          <w:rFonts w:ascii="Times New Roman" w:hAnsi="Times New Roman"/>
          <w:sz w:val="20"/>
        </w:rPr>
        <w:t>ascentista.</w:t>
      </w:r>
    </w:p>
  </w:footnote>
  <w:footnote w:id="6">
    <w:p w:rsidR="00AF3F82" w:rsidRPr="003640AA" w:rsidRDefault="00AF3F82" w:rsidP="005B1ADB">
      <w:pPr>
        <w:pStyle w:val="Caption"/>
        <w:spacing w:after="0"/>
        <w:ind w:left="-57"/>
        <w:rPr>
          <w:rFonts w:ascii="Times New Roman" w:hAnsi="Times New Roman"/>
          <w:b w:val="0"/>
          <w:color w:val="auto"/>
          <w:sz w:val="20"/>
          <w:szCs w:val="20"/>
        </w:rPr>
      </w:pPr>
      <w:r w:rsidRPr="00A7398F">
        <w:rPr>
          <w:rStyle w:val="FootnoteReference"/>
          <w:rFonts w:ascii="Times New Roman" w:hAnsi="Times New Roman"/>
          <w:b w:val="0"/>
          <w:sz w:val="20"/>
        </w:rPr>
        <w:footnoteRef/>
      </w:r>
      <w:r>
        <w:rPr>
          <w:rFonts w:ascii="Times New Roman" w:hAnsi="Times New Roman"/>
          <w:b w:val="0"/>
          <w:sz w:val="20"/>
        </w:rPr>
        <w:t xml:space="preserve"> </w:t>
      </w:r>
      <w:r w:rsidRPr="003640AA">
        <w:rPr>
          <w:rFonts w:ascii="Times New Roman" w:hAnsi="Times New Roman"/>
          <w:b w:val="0"/>
          <w:color w:val="auto"/>
          <w:sz w:val="20"/>
          <w:szCs w:val="20"/>
        </w:rPr>
        <w:t xml:space="preserve">Weyden pintou em 1439 o Julgamento de Trajano, para a Town Hall de Bruxellas. A pintura, admirada por Dürer, Vasari, e outros maneiristas foi destruída por um incêndio no final do século XVII.  O desenho chegou até nós graças a uma tapeçaria da época, atualmente no Museu de História de Berna. Existem várias gravuras renascentistas, embora a de maior circulação fosse a de </w:t>
      </w:r>
      <w:r>
        <w:rPr>
          <w:rFonts w:ascii="Times New Roman" w:hAnsi="Times New Roman"/>
          <w:b w:val="0"/>
          <w:color w:val="auto"/>
          <w:sz w:val="20"/>
          <w:szCs w:val="20"/>
        </w:rPr>
        <w:t xml:space="preserve">Barthel </w:t>
      </w:r>
      <w:r w:rsidRPr="003640AA">
        <w:rPr>
          <w:rFonts w:ascii="Times New Roman" w:hAnsi="Times New Roman"/>
          <w:b w:val="0"/>
          <w:color w:val="auto"/>
          <w:sz w:val="20"/>
          <w:szCs w:val="20"/>
        </w:rPr>
        <w:t>Beham, de 1490.</w:t>
      </w:r>
      <w:r>
        <w:rPr>
          <w:rFonts w:ascii="Times New Roman" w:hAnsi="Times New Roman"/>
          <w:b w:val="0"/>
          <w:color w:val="auto"/>
          <w:sz w:val="20"/>
          <w:szCs w:val="20"/>
        </w:rPr>
        <w:t xml:space="preserve"> </w:t>
      </w:r>
    </w:p>
  </w:footnote>
  <w:footnote w:id="7">
    <w:p w:rsidR="00AF3F82" w:rsidRPr="003640AA" w:rsidRDefault="00AF3F82" w:rsidP="005B1ADB">
      <w:pPr>
        <w:pStyle w:val="Caption"/>
        <w:spacing w:after="0"/>
        <w:ind w:left="-57"/>
        <w:rPr>
          <w:rFonts w:ascii="Times New Roman" w:hAnsi="Times New Roman"/>
          <w:b w:val="0"/>
          <w:color w:val="auto"/>
          <w:sz w:val="20"/>
          <w:szCs w:val="20"/>
        </w:rPr>
      </w:pPr>
      <w:r w:rsidRPr="00A7398F">
        <w:rPr>
          <w:rStyle w:val="FootnoteReference"/>
          <w:rFonts w:ascii="Times New Roman" w:hAnsi="Times New Roman"/>
          <w:b w:val="0"/>
          <w:sz w:val="20"/>
        </w:rPr>
        <w:footnoteRef/>
      </w:r>
      <w:r w:rsidRPr="00A7398F">
        <w:rPr>
          <w:rFonts w:ascii="Times New Roman" w:hAnsi="Times New Roman"/>
          <w:b w:val="0"/>
          <w:sz w:val="20"/>
        </w:rPr>
        <w:t xml:space="preserve"> </w:t>
      </w:r>
      <w:r w:rsidRPr="003640AA">
        <w:rPr>
          <w:rFonts w:ascii="Times New Roman" w:hAnsi="Times New Roman"/>
          <w:b w:val="0"/>
          <w:color w:val="auto"/>
          <w:sz w:val="20"/>
          <w:szCs w:val="20"/>
        </w:rPr>
        <w:t xml:space="preserve">A exemplaridade de Trajano foi popularizada a partir do inicio do século XIV, com </w:t>
      </w:r>
      <w:r w:rsidRPr="00CE6367">
        <w:rPr>
          <w:rFonts w:ascii="Times New Roman" w:hAnsi="Times New Roman"/>
          <w:b w:val="0"/>
          <w:i/>
          <w:color w:val="auto"/>
          <w:sz w:val="20"/>
          <w:szCs w:val="20"/>
        </w:rPr>
        <w:t>A Divina Comédia</w:t>
      </w:r>
      <w:r w:rsidRPr="003640AA">
        <w:rPr>
          <w:rFonts w:ascii="Times New Roman" w:hAnsi="Times New Roman"/>
          <w:b w:val="0"/>
          <w:color w:val="auto"/>
          <w:sz w:val="20"/>
          <w:szCs w:val="20"/>
        </w:rPr>
        <w:t>, no Livro do Purgatório, Canto X, 72-105, p.391.</w:t>
      </w:r>
    </w:p>
  </w:footnote>
  <w:footnote w:id="8">
    <w:p w:rsidR="00AF3F82" w:rsidRPr="003640AA" w:rsidRDefault="00AF3F82" w:rsidP="005B1ADB">
      <w:pPr>
        <w:pStyle w:val="Caption"/>
        <w:spacing w:after="0"/>
        <w:ind w:left="-57"/>
        <w:rPr>
          <w:rFonts w:ascii="Times New Roman" w:hAnsi="Times New Roman"/>
          <w:b w:val="0"/>
          <w:color w:val="auto"/>
          <w:sz w:val="20"/>
          <w:szCs w:val="20"/>
        </w:rPr>
      </w:pPr>
      <w:r w:rsidRPr="003640AA">
        <w:rPr>
          <w:rStyle w:val="FootnoteReference"/>
          <w:rFonts w:ascii="Times New Roman" w:hAnsi="Times New Roman"/>
          <w:b w:val="0"/>
          <w:color w:val="auto"/>
          <w:sz w:val="20"/>
        </w:rPr>
        <w:footnoteRef/>
      </w:r>
      <w:r w:rsidRPr="003640AA">
        <w:rPr>
          <w:rFonts w:ascii="Times New Roman" w:hAnsi="Times New Roman"/>
          <w:b w:val="0"/>
          <w:color w:val="auto"/>
          <w:sz w:val="20"/>
        </w:rPr>
        <w:t xml:space="preserve"> </w:t>
      </w:r>
      <w:r w:rsidRPr="003640AA">
        <w:rPr>
          <w:rFonts w:ascii="Times New Roman" w:hAnsi="Times New Roman"/>
          <w:b w:val="0"/>
          <w:color w:val="auto"/>
          <w:sz w:val="20"/>
          <w:szCs w:val="20"/>
          <w:shd w:val="clear" w:color="auto" w:fill="F0F6FF"/>
        </w:rPr>
        <w:t xml:space="preserve">Dirck Bouts, no século XV, pintou a justiça de Otão III para a Sala do Conselho do Palácio Municipal de Louvaine. A história era conhecida desde os finais do século XII, pela Crónica de Godefroy. </w:t>
      </w:r>
      <w:r w:rsidRPr="003640AA">
        <w:rPr>
          <w:rFonts w:ascii="Times New Roman" w:hAnsi="Times New Roman"/>
          <w:b w:val="0"/>
          <w:color w:val="auto"/>
          <w:sz w:val="20"/>
          <w:szCs w:val="20"/>
        </w:rPr>
        <w:t>Também na National Gallery, atribuídos a Veronese, existem três painéis narrando a justa e imparcial ação do imperador. As tábuas pertenciam a uma arca de casamento.</w:t>
      </w:r>
    </w:p>
  </w:footnote>
  <w:footnote w:id="9">
    <w:p w:rsidR="00AF3F82" w:rsidRPr="003640AA" w:rsidRDefault="00AF3F82" w:rsidP="00A7398F">
      <w:pPr>
        <w:pStyle w:val="Caption"/>
        <w:ind w:left="-57"/>
        <w:rPr>
          <w:rFonts w:ascii="Times New Roman" w:hAnsi="Times New Roman"/>
          <w:b w:val="0"/>
          <w:color w:val="auto"/>
          <w:sz w:val="20"/>
          <w:szCs w:val="20"/>
        </w:rPr>
      </w:pPr>
      <w:r w:rsidRPr="003640AA">
        <w:rPr>
          <w:rStyle w:val="FootnoteReference"/>
          <w:rFonts w:ascii="Times New Roman" w:hAnsi="Times New Roman"/>
          <w:b w:val="0"/>
          <w:color w:val="auto"/>
          <w:sz w:val="20"/>
        </w:rPr>
        <w:footnoteRef/>
      </w:r>
      <w:r w:rsidRPr="003640AA">
        <w:rPr>
          <w:rFonts w:ascii="Times New Roman" w:hAnsi="Times New Roman"/>
          <w:b w:val="0"/>
          <w:color w:val="auto"/>
          <w:sz w:val="20"/>
        </w:rPr>
        <w:t xml:space="preserve"> </w:t>
      </w:r>
      <w:r w:rsidRPr="003640AA">
        <w:rPr>
          <w:rFonts w:ascii="Times New Roman" w:hAnsi="Times New Roman"/>
          <w:b w:val="0"/>
          <w:color w:val="auto"/>
          <w:sz w:val="20"/>
          <w:szCs w:val="20"/>
        </w:rPr>
        <w:t xml:space="preserve">A mais célebre de toda esta série de pinturas, pela sua qualidade pictórica e pela enorme complexidade narrativa e judicial, é a de Gérard David, executada nos finais do século XV. O rei Cambyses popularizou-se a partir de Heródoto, e a sua representação foi quase tão popular como a de Salomão. Sobretudo a partir de meados do século XVI, com a tragédia de Tomás Preston sobre Cambyses, em que as personagens persas correspondem à personificação das </w:t>
      </w:r>
      <w:r>
        <w:rPr>
          <w:rFonts w:ascii="Times New Roman" w:hAnsi="Times New Roman"/>
          <w:b w:val="0"/>
          <w:color w:val="auto"/>
          <w:sz w:val="20"/>
          <w:szCs w:val="20"/>
        </w:rPr>
        <w:t xml:space="preserve">virtudes e dos vícios cristãos </w:t>
      </w:r>
      <w:r w:rsidRPr="003640AA">
        <w:rPr>
          <w:rFonts w:ascii="Times New Roman" w:hAnsi="Times New Roman"/>
          <w:b w:val="0"/>
          <w:color w:val="auto"/>
          <w:sz w:val="20"/>
          <w:szCs w:val="20"/>
        </w:rPr>
        <w:t>(RESNIK, 2011).</w:t>
      </w:r>
    </w:p>
    <w:p w:rsidR="00AF3F82" w:rsidRPr="003640AA" w:rsidRDefault="00AF3F82" w:rsidP="00A7398F">
      <w:pPr>
        <w:pStyle w:val="FootnoteText"/>
        <w:ind w:left="0"/>
        <w:rPr>
          <w:rFonts w:ascii="Times New Roman" w:hAnsi="Times New Roman"/>
          <w:sz w:val="20"/>
        </w:rPr>
      </w:pPr>
    </w:p>
  </w:footnote>
  <w:footnote w:id="10">
    <w:p w:rsidR="00AF3F82" w:rsidRPr="00A7398F" w:rsidRDefault="00AF3F82" w:rsidP="005336FB">
      <w:pPr>
        <w:pStyle w:val="detailsubtitle"/>
        <w:spacing w:beforeLines="0" w:afterLines="0"/>
        <w:jc w:val="both"/>
        <w:textAlignment w:val="baseline"/>
        <w:outlineLvl w:val="1"/>
        <w:rPr>
          <w:rFonts w:ascii="Times New Roman" w:hAnsi="Times New Roman" w:cs="Times New Roman"/>
          <w:kern w:val="36"/>
          <w:szCs w:val="24"/>
          <w:lang w:val="fr-FR"/>
        </w:rPr>
      </w:pPr>
      <w:r w:rsidRPr="00A7398F">
        <w:rPr>
          <w:rStyle w:val="FootnoteReference"/>
          <w:rFonts w:ascii="Times New Roman" w:hAnsi="Times New Roman"/>
        </w:rPr>
        <w:footnoteRef/>
      </w:r>
      <w:r w:rsidRPr="00A7398F">
        <w:rPr>
          <w:rFonts w:ascii="Times New Roman" w:hAnsi="Times New Roman"/>
        </w:rPr>
        <w:t xml:space="preserve"> O fresco Juízes de Mãos cortadas, no Palácio de Genebra, foi descoberto em 1900, tendo sido recentemente recuperado. </w:t>
      </w:r>
    </w:p>
  </w:footnote>
  <w:footnote w:id="11">
    <w:p w:rsidR="00AF3F82" w:rsidRPr="00A7398F" w:rsidRDefault="00AF3F82" w:rsidP="00A7398F">
      <w:pPr>
        <w:pStyle w:val="FootnoteText"/>
        <w:ind w:left="0"/>
        <w:rPr>
          <w:rFonts w:ascii="Times New Roman" w:hAnsi="Times New Roman"/>
          <w:sz w:val="20"/>
        </w:rPr>
      </w:pPr>
      <w:r w:rsidRPr="00A7398F">
        <w:rPr>
          <w:rStyle w:val="FootnoteReference"/>
          <w:rFonts w:ascii="Times New Roman" w:hAnsi="Times New Roman"/>
          <w:sz w:val="20"/>
        </w:rPr>
        <w:footnoteRef/>
      </w:r>
      <w:r w:rsidRPr="00A7398F">
        <w:rPr>
          <w:rFonts w:ascii="Times New Roman" w:hAnsi="Times New Roman"/>
          <w:sz w:val="20"/>
        </w:rPr>
        <w:t xml:space="preserve"> Alciato, no emblema “Sobre o conselho do bom príncipe”, representa o príncipe com os olhos vendados para, como bom ouvinte, manter a imparcialidade. Os seus conselheiros deliberam sem mãos, para não se corrompe</w:t>
      </w:r>
      <w:r>
        <w:rPr>
          <w:rFonts w:ascii="Times New Roman" w:hAnsi="Times New Roman"/>
          <w:sz w:val="20"/>
        </w:rPr>
        <w:t>rem (AlCIATO, 1985, p.186).</w:t>
      </w:r>
    </w:p>
  </w:footnote>
  <w:footnote w:id="12">
    <w:p w:rsidR="00AF3F82" w:rsidRPr="005B1ADB" w:rsidRDefault="00AF3F82" w:rsidP="005B1ADB">
      <w:pPr>
        <w:pStyle w:val="EndnoteText"/>
        <w:ind w:left="0"/>
        <w:rPr>
          <w:rFonts w:ascii="Times New Roman" w:hAnsi="Times New Roman" w:cs="Times New Roman"/>
        </w:rPr>
      </w:pPr>
      <w:r w:rsidRPr="00A7398F">
        <w:rPr>
          <w:rStyle w:val="FootnoteReference"/>
          <w:rFonts w:ascii="Times New Roman" w:hAnsi="Times New Roman"/>
        </w:rPr>
        <w:footnoteRef/>
      </w:r>
      <w:r w:rsidRPr="00A7398F">
        <w:rPr>
          <w:rFonts w:ascii="Times New Roman" w:hAnsi="Times New Roman"/>
        </w:rPr>
        <w:t xml:space="preserve"> </w:t>
      </w:r>
      <w:r w:rsidRPr="00A7398F">
        <w:rPr>
          <w:rFonts w:ascii="Times New Roman" w:hAnsi="Times New Roman" w:cs="Times New Roman"/>
        </w:rPr>
        <w:t xml:space="preserve">Gil Vicente trata do tópico do juiz incompetente e corrupto, sobretudo nas seguintes peças: </w:t>
      </w:r>
      <w:r w:rsidRPr="00862FF8">
        <w:rPr>
          <w:rFonts w:ascii="Times New Roman" w:hAnsi="Times New Roman" w:cs="Times New Roman"/>
          <w:i/>
        </w:rPr>
        <w:t>Frágua do Amor</w:t>
      </w:r>
      <w:r w:rsidRPr="00A7398F">
        <w:rPr>
          <w:rFonts w:ascii="Times New Roman" w:hAnsi="Times New Roman" w:cs="Times New Roman"/>
        </w:rPr>
        <w:t xml:space="preserve">, </w:t>
      </w:r>
      <w:r w:rsidRPr="00862FF8">
        <w:rPr>
          <w:rFonts w:ascii="Times New Roman" w:hAnsi="Times New Roman" w:cs="Times New Roman"/>
          <w:i/>
        </w:rPr>
        <w:t>Floresta dos Enganos</w:t>
      </w:r>
      <w:r w:rsidRPr="00A7398F">
        <w:rPr>
          <w:rFonts w:ascii="Times New Roman" w:hAnsi="Times New Roman" w:cs="Times New Roman"/>
        </w:rPr>
        <w:t xml:space="preserve">, </w:t>
      </w:r>
      <w:r w:rsidRPr="00862FF8">
        <w:rPr>
          <w:rFonts w:ascii="Times New Roman" w:hAnsi="Times New Roman" w:cs="Times New Roman"/>
          <w:i/>
        </w:rPr>
        <w:t>Auto da Festa</w:t>
      </w:r>
      <w:r w:rsidRPr="00A7398F">
        <w:rPr>
          <w:rFonts w:ascii="Times New Roman" w:hAnsi="Times New Roman" w:cs="Times New Roman"/>
        </w:rPr>
        <w:t xml:space="preserve">, </w:t>
      </w:r>
      <w:r w:rsidRPr="00862FF8">
        <w:rPr>
          <w:rFonts w:ascii="Times New Roman" w:hAnsi="Times New Roman" w:cs="Times New Roman"/>
          <w:i/>
        </w:rPr>
        <w:t>Juiz da Beira</w:t>
      </w:r>
      <w:r w:rsidRPr="00A7398F">
        <w:rPr>
          <w:rFonts w:ascii="Times New Roman" w:hAnsi="Times New Roman" w:cs="Times New Roman"/>
        </w:rPr>
        <w:t xml:space="preserve"> (A</w:t>
      </w:r>
      <w:r>
        <w:rPr>
          <w:rFonts w:ascii="Times New Roman" w:hAnsi="Times New Roman" w:cs="Times New Roman"/>
        </w:rPr>
        <w:t>FONSO</w:t>
      </w:r>
      <w:r w:rsidRPr="00A7398F">
        <w:rPr>
          <w:rFonts w:ascii="Times New Roman" w:hAnsi="Times New Roman" w:cs="Times New Roman"/>
        </w:rPr>
        <w:t>,2009</w:t>
      </w:r>
      <w:r w:rsidRPr="00A7398F">
        <w:rPr>
          <w:rFonts w:ascii="Times New Roman" w:hAnsi="Times New Roman" w:cs="Times New Roman"/>
          <w:vertAlign w:val="superscript"/>
        </w:rPr>
        <w:t>a</w:t>
      </w:r>
      <w:r>
        <w:rPr>
          <w:rFonts w:ascii="Times New Roman" w:hAnsi="Times New Roman" w:cs="Times New Roman"/>
        </w:rPr>
        <w:t xml:space="preserve">). </w:t>
      </w:r>
    </w:p>
  </w:footnote>
  <w:footnote w:id="13">
    <w:p w:rsidR="00AF3F82" w:rsidRPr="00A7398F" w:rsidRDefault="00AF3F82" w:rsidP="00A7398F">
      <w:pPr>
        <w:pStyle w:val="FootnoteText"/>
        <w:ind w:left="0"/>
        <w:rPr>
          <w:rFonts w:ascii="Times New Roman" w:hAnsi="Times New Roman"/>
          <w:sz w:val="20"/>
        </w:rPr>
      </w:pPr>
      <w:r w:rsidRPr="00A7398F">
        <w:rPr>
          <w:rStyle w:val="FootnoteReference"/>
          <w:rFonts w:ascii="Times New Roman" w:hAnsi="Times New Roman"/>
          <w:sz w:val="20"/>
        </w:rPr>
        <w:footnoteRef/>
      </w:r>
      <w:r w:rsidRPr="00A7398F">
        <w:rPr>
          <w:rFonts w:ascii="Times New Roman" w:hAnsi="Times New Roman"/>
          <w:sz w:val="20"/>
        </w:rPr>
        <w:t>A melhor sátira sobre a situação da justiça em Portugal é sem dúvida o Auto do Desembargador, de António Prestes, de meados de quinhentos. Cf. Centro de Estudos de Teatro. Teatro de Autores Portugueses do Sec. XVI _Base de dados textuais [on-line].Disponível em:</w:t>
      </w:r>
      <w:r>
        <w:rPr>
          <w:rFonts w:ascii="Times New Roman" w:hAnsi="Times New Roman"/>
          <w:sz w:val="20"/>
        </w:rPr>
        <w:t xml:space="preserve"> </w:t>
      </w:r>
      <w:r w:rsidRPr="00A7398F">
        <w:rPr>
          <w:rFonts w:ascii="Times New Roman" w:hAnsi="Times New Roman"/>
          <w:sz w:val="20"/>
        </w:rPr>
        <w:t>&lt;</w:t>
      </w:r>
      <w:hyperlink r:id="rId1" w:history="1">
        <w:r w:rsidRPr="00A7398F">
          <w:rPr>
            <w:rStyle w:val="Hyperlink"/>
            <w:rFonts w:ascii="Times New Roman" w:hAnsi="Times New Roman"/>
            <w:sz w:val="20"/>
          </w:rPr>
          <w:t>http://www.cet-e-quinhentos.com/obras</w:t>
        </w:r>
      </w:hyperlink>
      <w:r w:rsidRPr="00A7398F">
        <w:rPr>
          <w:rFonts w:ascii="Times New Roman" w:hAnsi="Times New Roman"/>
          <w:sz w:val="20"/>
        </w:rPr>
        <w:t>&gt;</w:t>
      </w:r>
      <w:r>
        <w:rPr>
          <w:rFonts w:ascii="Times New Roman" w:hAnsi="Times New Roman"/>
          <w:sz w:val="20"/>
        </w:rPr>
        <w:t>. [Consultado em 4 Setembro 2015</w:t>
      </w:r>
      <w:r w:rsidRPr="00A7398F">
        <w:rPr>
          <w:rFonts w:ascii="Times New Roman" w:hAnsi="Times New Roman"/>
          <w:sz w:val="20"/>
        </w:rPr>
        <w:t xml:space="preserve">]. </w:t>
      </w:r>
    </w:p>
  </w:footnote>
  <w:footnote w:id="14">
    <w:p w:rsidR="00AF3F82" w:rsidRPr="005336FB" w:rsidRDefault="00AF3F82" w:rsidP="005336FB">
      <w:pPr>
        <w:spacing w:before="0" w:after="0"/>
        <w:ind w:left="0"/>
        <w:rPr>
          <w:rFonts w:ascii="Times New Roman" w:hAnsi="Times New Roman"/>
          <w:sz w:val="20"/>
        </w:rPr>
      </w:pPr>
      <w:r w:rsidRPr="00A7398F">
        <w:rPr>
          <w:rStyle w:val="FootnoteReference"/>
          <w:rFonts w:ascii="Times New Roman" w:hAnsi="Times New Roman"/>
          <w:sz w:val="20"/>
        </w:rPr>
        <w:footnoteRef/>
      </w:r>
      <w:r w:rsidRPr="00A06FC8">
        <w:rPr>
          <w:rFonts w:ascii="Times New Roman" w:hAnsi="Times New Roman"/>
          <w:sz w:val="20"/>
        </w:rPr>
        <w:t xml:space="preserve">Neccolo Semitecolo, </w:t>
      </w:r>
      <w:r w:rsidRPr="005336FB">
        <w:rPr>
          <w:rFonts w:ascii="Times New Roman" w:hAnsi="Times New Roman"/>
          <w:i/>
          <w:sz w:val="20"/>
        </w:rPr>
        <w:t>Dois cristãos perante juízes romanos</w:t>
      </w:r>
      <w:r w:rsidRPr="00A06FC8">
        <w:rPr>
          <w:rFonts w:ascii="Times New Roman" w:hAnsi="Times New Roman"/>
          <w:sz w:val="20"/>
        </w:rPr>
        <w:t>,1367. Pintura a têmpera,65x72cm,Sacristia da Catedral, Pádua.</w:t>
      </w:r>
      <w:r>
        <w:rPr>
          <w:rFonts w:ascii="Times New Roman" w:hAnsi="Times New Roman"/>
          <w:sz w:val="20"/>
        </w:rPr>
        <w:t xml:space="preserve"> </w:t>
      </w:r>
      <w:r w:rsidRPr="00A06FC8">
        <w:rPr>
          <w:rFonts w:ascii="Times New Roman" w:hAnsi="Times New Roman"/>
          <w:color w:val="3366FF"/>
          <w:sz w:val="20"/>
        </w:rPr>
        <w:sym w:font="Symbol" w:char="F0C6"/>
      </w:r>
      <w:r w:rsidRPr="00A06FC8">
        <w:rPr>
          <w:rFonts w:ascii="Times New Roman" w:hAnsi="Times New Roman"/>
          <w:color w:val="3366FF"/>
          <w:sz w:val="20"/>
        </w:rPr>
        <w:t xml:space="preserve"> </w:t>
      </w:r>
      <w:r>
        <w:rPr>
          <w:rFonts w:ascii="Times New Roman" w:hAnsi="Times New Roman"/>
          <w:sz w:val="20"/>
        </w:rPr>
        <w:t xml:space="preserve">Disponível </w:t>
      </w:r>
      <w:r w:rsidRPr="00A06FC8">
        <w:rPr>
          <w:rFonts w:ascii="Times New Roman" w:hAnsi="Times New Roman"/>
          <w:sz w:val="20"/>
        </w:rPr>
        <w:t>em:&lt;</w:t>
      </w:r>
      <w:hyperlink r:id="rId2" w:history="1">
        <w:r w:rsidRPr="00A06FC8">
          <w:rPr>
            <w:rStyle w:val="Hyperlink"/>
            <w:rFonts w:ascii="Times New Roman" w:hAnsi="Times New Roman"/>
            <w:sz w:val="20"/>
          </w:rPr>
          <w:t>http://upload.wikimedia.org/wikipedia/commons/b/bd/Niccolò_Semitecolo_-_Two_Christians_before_the_Judges.jpg</w:t>
        </w:r>
      </w:hyperlink>
      <w:r w:rsidRPr="00A06FC8">
        <w:rPr>
          <w:rFonts w:ascii="Times New Roman" w:hAnsi="Times New Roman"/>
          <w:sz w:val="20"/>
        </w:rPr>
        <w:t>&gt;.</w:t>
      </w:r>
      <w:r w:rsidRPr="00A06FC8">
        <w:rPr>
          <w:rFonts w:ascii="Times New Roman" w:hAnsi="Times New Roman"/>
          <w:sz w:val="20"/>
          <w:shd w:val="clear" w:color="auto" w:fill="FAF9F5"/>
        </w:rPr>
        <w:t>[</w:t>
      </w:r>
      <w:r w:rsidRPr="00A06FC8">
        <w:rPr>
          <w:rFonts w:ascii="Times New Roman" w:hAnsi="Times New Roman"/>
          <w:sz w:val="20"/>
        </w:rPr>
        <w:t>Consultado em  2</w:t>
      </w:r>
      <w:r>
        <w:rPr>
          <w:rFonts w:ascii="Times New Roman" w:hAnsi="Times New Roman"/>
          <w:sz w:val="20"/>
        </w:rPr>
        <w:t xml:space="preserve"> </w:t>
      </w:r>
      <w:r w:rsidRPr="00A06FC8">
        <w:rPr>
          <w:rFonts w:ascii="Times New Roman" w:hAnsi="Times New Roman"/>
          <w:sz w:val="20"/>
        </w:rPr>
        <w:t>Julho 2015].</w:t>
      </w:r>
    </w:p>
  </w:footnote>
  <w:footnote w:id="15">
    <w:p w:rsidR="00AF3F82" w:rsidRPr="001B5DF0" w:rsidRDefault="00AF3F82" w:rsidP="001B5DF0">
      <w:pPr>
        <w:pStyle w:val="EndnoteText"/>
        <w:ind w:left="0"/>
        <w:rPr>
          <w:rFonts w:ascii="Times New Roman" w:hAnsi="Times New Roman"/>
        </w:rPr>
      </w:pPr>
      <w:r w:rsidRPr="00A06FC8">
        <w:rPr>
          <w:rStyle w:val="FootnoteReference"/>
          <w:rFonts w:ascii="Times New Roman" w:hAnsi="Times New Roman"/>
        </w:rPr>
        <w:footnoteRef/>
      </w:r>
      <w:r>
        <w:rPr>
          <w:rFonts w:ascii="Times New Roman" w:hAnsi="Times New Roman"/>
        </w:rPr>
        <w:t xml:space="preserve"> </w:t>
      </w:r>
      <w:r w:rsidRPr="00A06FC8">
        <w:rPr>
          <w:rFonts w:ascii="Times New Roman" w:hAnsi="Times New Roman" w:cs="Arial"/>
        </w:rPr>
        <w:t xml:space="preserve">Dois juizes romanos libertam cartagineses, in </w:t>
      </w:r>
      <w:r w:rsidRPr="005336FB">
        <w:rPr>
          <w:rFonts w:ascii="Times New Roman" w:hAnsi="Times New Roman"/>
          <w:i/>
          <w:shd w:val="clear" w:color="auto" w:fill="FAF9F5"/>
        </w:rPr>
        <w:t>Facta et Dicta Memorabilia</w:t>
      </w:r>
      <w:r>
        <w:rPr>
          <w:rFonts w:ascii="Times New Roman" w:hAnsi="Times New Roman"/>
          <w:shd w:val="clear" w:color="auto" w:fill="FAF9F5"/>
        </w:rPr>
        <w:t>,</w:t>
      </w:r>
      <w:r w:rsidRPr="00A06FC8">
        <w:rPr>
          <w:rFonts w:ascii="Times New Roman" w:hAnsi="Times New Roman"/>
          <w:shd w:val="clear" w:color="auto" w:fill="FAF9F5"/>
        </w:rPr>
        <w:t xml:space="preserve"> Valerius</w:t>
      </w:r>
      <w:r w:rsidRPr="00A7398F">
        <w:rPr>
          <w:rFonts w:ascii="Times New Roman" w:hAnsi="Times New Roman"/>
          <w:shd w:val="clear" w:color="auto" w:fill="FAF9F5"/>
        </w:rPr>
        <w:t xml:space="preserve"> Maximus,1401.</w:t>
      </w:r>
      <w:r>
        <w:rPr>
          <w:rFonts w:ascii="Times New Roman" w:hAnsi="Times New Roman"/>
          <w:shd w:val="clear" w:color="auto" w:fill="FAF9F5"/>
        </w:rPr>
        <w:t xml:space="preserve"> </w:t>
      </w:r>
      <w:r w:rsidRPr="00A7398F">
        <w:rPr>
          <w:rFonts w:ascii="Times New Roman" w:hAnsi="Times New Roman"/>
        </w:rPr>
        <w:t>Iluminura de</w:t>
      </w:r>
      <w:r w:rsidRPr="00A7398F">
        <w:rPr>
          <w:rFonts w:ascii="Times New Roman" w:hAnsi="Times New Roman"/>
          <w:shd w:val="clear" w:color="auto" w:fill="FAF9F5"/>
        </w:rPr>
        <w:t xml:space="preserve"> Mestre Virgílio, </w:t>
      </w:r>
      <w:r w:rsidRPr="00A7398F">
        <w:rPr>
          <w:rFonts w:ascii="Times New Roman" w:hAnsi="Times New Roman"/>
          <w:shd w:val="clear" w:color="auto" w:fill="FAF9F5"/>
          <w:lang w:val="fr-FR"/>
        </w:rPr>
        <w:t xml:space="preserve">trad. de </w:t>
      </w:r>
      <w:r w:rsidRPr="00A7398F">
        <w:rPr>
          <w:rFonts w:ascii="Times New Roman" w:hAnsi="Times New Roman"/>
          <w:shd w:val="clear" w:color="auto" w:fill="FAF9F5"/>
        </w:rPr>
        <w:t xml:space="preserve">Simon de Hesdin et Nicolas de Gonesse, BnF, Mss. </w:t>
      </w:r>
      <w:r>
        <w:rPr>
          <w:rFonts w:ascii="Times New Roman" w:hAnsi="Times New Roman"/>
          <w:shd w:val="clear" w:color="auto" w:fill="FAF9F5"/>
          <w:lang w:val="fr-FR"/>
        </w:rPr>
        <w:t>Français 282, fl 208</w:t>
      </w:r>
      <w:r w:rsidRPr="00A7398F">
        <w:rPr>
          <w:rFonts w:ascii="Times New Roman" w:hAnsi="Times New Roman"/>
          <w:shd w:val="clear" w:color="auto" w:fill="FAF9F5"/>
          <w:lang w:val="fr-FR"/>
        </w:rPr>
        <w:t>.</w:t>
      </w:r>
    </w:p>
  </w:footnote>
  <w:footnote w:id="16">
    <w:p w:rsidR="00AF3F82" w:rsidRPr="005336FB" w:rsidRDefault="00AF3F82" w:rsidP="006B72A2">
      <w:pPr>
        <w:pStyle w:val="Caption"/>
        <w:spacing w:after="0"/>
        <w:ind w:left="0"/>
        <w:rPr>
          <w:rFonts w:ascii="Times New Roman" w:hAnsi="Times New Roman"/>
          <w:b w:val="0"/>
          <w:color w:val="auto"/>
          <w:sz w:val="20"/>
        </w:rPr>
      </w:pPr>
      <w:r w:rsidRPr="005336FB">
        <w:rPr>
          <w:rStyle w:val="FootnoteReference"/>
          <w:rFonts w:ascii="Times New Roman" w:hAnsi="Times New Roman"/>
          <w:b w:val="0"/>
          <w:color w:val="auto"/>
          <w:sz w:val="20"/>
        </w:rPr>
        <w:footnoteRef/>
      </w:r>
      <w:r w:rsidRPr="005336FB">
        <w:rPr>
          <w:rFonts w:ascii="Times New Roman" w:hAnsi="Times New Roman"/>
          <w:b w:val="0"/>
          <w:color w:val="auto"/>
          <w:sz w:val="20"/>
        </w:rPr>
        <w:t xml:space="preserve"> </w:t>
      </w:r>
      <w:r w:rsidRPr="005336FB">
        <w:rPr>
          <w:rFonts w:ascii="Times New Roman" w:hAnsi="Times New Roman"/>
          <w:b w:val="0"/>
          <w:color w:val="auto"/>
          <w:sz w:val="20"/>
          <w:shd w:val="clear" w:color="auto" w:fill="FAF9F5"/>
        </w:rPr>
        <w:t xml:space="preserve">Bocaccio,  Mulieribus Claris, </w:t>
      </w:r>
      <w:r w:rsidRPr="005336FB">
        <w:rPr>
          <w:rFonts w:ascii="Times New Roman" w:hAnsi="Times New Roman" w:cs="Arial"/>
          <w:b w:val="0"/>
          <w:i/>
          <w:color w:val="auto"/>
          <w:sz w:val="20"/>
        </w:rPr>
        <w:t>Julgamento de Sempronia</w:t>
      </w:r>
      <w:r w:rsidRPr="00EA6D05">
        <w:rPr>
          <w:rFonts w:ascii="Times New Roman" w:hAnsi="Times New Roman"/>
          <w:b w:val="0"/>
          <w:color w:val="auto"/>
          <w:sz w:val="20"/>
          <w:shd w:val="clear" w:color="auto" w:fill="FAF9F5"/>
        </w:rPr>
        <w:t>,Valerius Maximus</w:t>
      </w:r>
      <w:r w:rsidRPr="005336FB">
        <w:rPr>
          <w:rFonts w:ascii="Times New Roman" w:hAnsi="Times New Roman"/>
          <w:shd w:val="clear" w:color="auto" w:fill="FAF9F5"/>
        </w:rPr>
        <w:t>,</w:t>
      </w:r>
      <w:r w:rsidRPr="005336FB">
        <w:rPr>
          <w:rFonts w:ascii="Times New Roman" w:hAnsi="Times New Roman"/>
          <w:b w:val="0"/>
          <w:color w:val="auto"/>
          <w:sz w:val="20"/>
          <w:shd w:val="clear" w:color="auto" w:fill="FAF9F5"/>
        </w:rPr>
        <w:t>1400.</w:t>
      </w:r>
      <w:r w:rsidRPr="005336FB">
        <w:rPr>
          <w:rFonts w:ascii="Times New Roman" w:hAnsi="Times New Roman" w:cs="Arial"/>
          <w:b w:val="0"/>
          <w:color w:val="auto"/>
          <w:sz w:val="20"/>
        </w:rPr>
        <w:t xml:space="preserve"> </w:t>
      </w:r>
      <w:r w:rsidRPr="005336FB">
        <w:rPr>
          <w:rFonts w:ascii="Times New Roman" w:hAnsi="Times New Roman"/>
          <w:b w:val="0"/>
          <w:color w:val="auto"/>
          <w:sz w:val="20"/>
          <w:shd w:val="clear" w:color="auto" w:fill="FAF9F5"/>
          <w:lang w:val="fr-FR"/>
        </w:rPr>
        <w:t>Trad. anónima, BnF, Mss. Français 598, fl. 114.</w:t>
      </w:r>
    </w:p>
  </w:footnote>
  <w:footnote w:id="17">
    <w:p w:rsidR="00AF3F82" w:rsidRPr="003A30D4" w:rsidRDefault="00AF3F82" w:rsidP="006B72A2">
      <w:pPr>
        <w:pStyle w:val="EndnoteText"/>
        <w:ind w:left="0"/>
        <w:rPr>
          <w:rFonts w:ascii="Times New Roman" w:hAnsi="Times New Roman"/>
        </w:rPr>
      </w:pPr>
      <w:r w:rsidRPr="005336FB">
        <w:rPr>
          <w:rStyle w:val="FootnoteReference"/>
          <w:rFonts w:ascii="Times New Roman" w:hAnsi="Times New Roman"/>
        </w:rPr>
        <w:footnoteRef/>
      </w:r>
      <w:r w:rsidRPr="005336FB">
        <w:rPr>
          <w:rFonts w:ascii="Times New Roman" w:hAnsi="Times New Roman"/>
        </w:rPr>
        <w:t xml:space="preserve"> </w:t>
      </w:r>
      <w:r w:rsidRPr="005336FB">
        <w:rPr>
          <w:rFonts w:ascii="Times New Roman" w:hAnsi="Times New Roman" w:cs="Arial"/>
        </w:rPr>
        <w:t>Dois julgamentos</w:t>
      </w:r>
      <w:r w:rsidRPr="005336FB">
        <w:rPr>
          <w:rFonts w:ascii="Times New Roman" w:hAnsi="Times New Roman"/>
          <w:shd w:val="clear" w:color="auto" w:fill="FAF9F5"/>
        </w:rPr>
        <w:t>,</w:t>
      </w:r>
      <w:r>
        <w:rPr>
          <w:rFonts w:ascii="Times New Roman" w:hAnsi="Times New Roman"/>
          <w:shd w:val="clear" w:color="auto" w:fill="FAF9F5"/>
        </w:rPr>
        <w:t xml:space="preserve"> in </w:t>
      </w:r>
      <w:r w:rsidRPr="005336FB">
        <w:rPr>
          <w:rFonts w:ascii="Times New Roman" w:hAnsi="Times New Roman"/>
          <w:i/>
          <w:shd w:val="clear" w:color="auto" w:fill="FAF9F5"/>
        </w:rPr>
        <w:t>Facta et Dicta Memorabilia</w:t>
      </w:r>
      <w:r w:rsidRPr="005336FB">
        <w:rPr>
          <w:rFonts w:ascii="Times New Roman" w:hAnsi="Times New Roman"/>
          <w:shd w:val="clear" w:color="auto" w:fill="FAF9F5"/>
        </w:rPr>
        <w:t xml:space="preserve">. 1401. </w:t>
      </w:r>
      <w:r w:rsidRPr="005336FB">
        <w:rPr>
          <w:rFonts w:ascii="Times New Roman" w:hAnsi="Times New Roman"/>
        </w:rPr>
        <w:t>Iluminura de</w:t>
      </w:r>
      <w:r w:rsidRPr="005336FB">
        <w:rPr>
          <w:rFonts w:ascii="Times New Roman" w:hAnsi="Times New Roman"/>
          <w:shd w:val="clear" w:color="auto" w:fill="FAF9F5"/>
        </w:rPr>
        <w:t xml:space="preserve"> Mestre</w:t>
      </w:r>
      <w:r w:rsidRPr="00A7398F">
        <w:rPr>
          <w:rFonts w:ascii="Times New Roman" w:hAnsi="Times New Roman"/>
          <w:shd w:val="clear" w:color="auto" w:fill="FAF9F5"/>
        </w:rPr>
        <w:t xml:space="preserve"> Virgílio, </w:t>
      </w:r>
      <w:r w:rsidRPr="00A7398F">
        <w:rPr>
          <w:rFonts w:ascii="Times New Roman" w:hAnsi="Times New Roman"/>
          <w:shd w:val="clear" w:color="auto" w:fill="FAF9F5"/>
          <w:lang w:val="fr-FR"/>
        </w:rPr>
        <w:t xml:space="preserve">trad. de </w:t>
      </w:r>
      <w:r w:rsidRPr="00A7398F">
        <w:rPr>
          <w:rFonts w:ascii="Times New Roman" w:hAnsi="Times New Roman"/>
          <w:shd w:val="clear" w:color="auto" w:fill="FAF9F5"/>
        </w:rPr>
        <w:t xml:space="preserve">Simon de Hesdin et Nicolas de Gonesse, BnF, Mss. </w:t>
      </w:r>
      <w:r w:rsidRPr="00A7398F">
        <w:rPr>
          <w:rFonts w:ascii="Times New Roman" w:hAnsi="Times New Roman"/>
          <w:shd w:val="clear" w:color="auto" w:fill="FAF9F5"/>
          <w:lang w:val="fr-FR"/>
        </w:rPr>
        <w:t>Français 282, fl1v.</w:t>
      </w:r>
    </w:p>
    <w:p w:rsidR="00AF3F82" w:rsidRPr="00A7398F" w:rsidRDefault="00AF3F82" w:rsidP="006B72A2">
      <w:pPr>
        <w:pStyle w:val="FootnoteText"/>
        <w:rPr>
          <w:rFonts w:ascii="Times New Roman" w:hAnsi="Times New Roman"/>
          <w:sz w:val="20"/>
        </w:rPr>
      </w:pPr>
    </w:p>
  </w:footnote>
  <w:footnote w:id="18">
    <w:p w:rsidR="00AF3F82" w:rsidRPr="00273A94" w:rsidRDefault="00AF3F82" w:rsidP="00273A94">
      <w:pPr>
        <w:pStyle w:val="BodyText"/>
        <w:tabs>
          <w:tab w:val="left" w:pos="-284"/>
        </w:tabs>
        <w:spacing w:before="0"/>
        <w:ind w:left="0"/>
        <w:rPr>
          <w:rFonts w:ascii="Times New Roman" w:hAnsi="Times New Roman"/>
          <w:sz w:val="20"/>
        </w:rPr>
      </w:pPr>
      <w:r w:rsidRPr="00273A94">
        <w:rPr>
          <w:rStyle w:val="FootnoteReference"/>
          <w:rFonts w:ascii="Times New Roman" w:hAnsi="Times New Roman"/>
          <w:sz w:val="20"/>
        </w:rPr>
        <w:footnoteRef/>
      </w:r>
      <w:r w:rsidRPr="00273A94">
        <w:rPr>
          <w:rFonts w:ascii="Times New Roman" w:hAnsi="Times New Roman"/>
          <w:sz w:val="20"/>
        </w:rPr>
        <w:t>Imagem disponível em: &lt;</w:t>
      </w:r>
      <w:hyperlink r:id="rId3" w:history="1">
        <w:r w:rsidRPr="00273A94">
          <w:rPr>
            <w:rStyle w:val="Hyperlink"/>
            <w:rFonts w:ascii="Times New Roman" w:hAnsi="Times New Roman"/>
            <w:sz w:val="20"/>
          </w:rPr>
          <w:t>http://upload.wikimedia.org/wikipedia/commons/7/75/Giotto_-_Scrovegni_-_-50-_-_Injustice.jpg</w:t>
        </w:r>
      </w:hyperlink>
      <w:r w:rsidRPr="00273A94">
        <w:rPr>
          <w:rFonts w:ascii="Times New Roman" w:hAnsi="Times New Roman"/>
          <w:sz w:val="20"/>
        </w:rPr>
        <w:t>&gt;.[Consultada em 29 de Setembro 2015]</w:t>
      </w:r>
      <w:r>
        <w:rPr>
          <w:rFonts w:ascii="Times New Roman" w:hAnsi="Times New Roman"/>
          <w:sz w:val="20"/>
        </w:rPr>
        <w:t>.</w:t>
      </w:r>
    </w:p>
    <w:p w:rsidR="00AF3F82" w:rsidRDefault="00AF3F82">
      <w:pPr>
        <w:pStyle w:val="FootnoteText"/>
      </w:pPr>
    </w:p>
  </w:footnote>
  <w:footnote w:id="19">
    <w:p w:rsidR="00AF3F82" w:rsidRPr="00A7398F" w:rsidRDefault="00AF3F82" w:rsidP="00A7398F">
      <w:pPr>
        <w:pStyle w:val="EndnoteText"/>
        <w:ind w:left="0"/>
        <w:rPr>
          <w:rFonts w:ascii="Times New Roman" w:hAnsi="Times New Roman" w:cs="Times New Roman"/>
        </w:rPr>
      </w:pPr>
      <w:r w:rsidRPr="00A7398F">
        <w:rPr>
          <w:rStyle w:val="FootnoteReference"/>
          <w:rFonts w:ascii="Times New Roman" w:hAnsi="Times New Roman"/>
        </w:rPr>
        <w:footnoteRef/>
      </w:r>
      <w:r w:rsidRPr="00A7398F">
        <w:rPr>
          <w:rFonts w:ascii="Times New Roman" w:hAnsi="Times New Roman"/>
        </w:rPr>
        <w:t xml:space="preserve"> </w:t>
      </w:r>
      <w:r w:rsidRPr="00A7398F">
        <w:rPr>
          <w:rFonts w:ascii="Times New Roman" w:hAnsi="Times New Roman" w:cs="Times New Roman"/>
        </w:rPr>
        <w:t xml:space="preserve">Holbein, </w:t>
      </w:r>
      <w:r w:rsidRPr="00EA6D05">
        <w:rPr>
          <w:rFonts w:ascii="Times New Roman" w:hAnsi="Times New Roman" w:cs="Times New Roman"/>
        </w:rPr>
        <w:t xml:space="preserve">O juiz </w:t>
      </w:r>
      <w:r w:rsidRPr="00DD1FB9">
        <w:rPr>
          <w:rFonts w:ascii="Times New Roman" w:hAnsi="Times New Roman" w:cs="Times New Roman"/>
        </w:rPr>
        <w:t>corrupto</w:t>
      </w:r>
      <w:r w:rsidRPr="00A7398F">
        <w:rPr>
          <w:rFonts w:ascii="Times New Roman" w:hAnsi="Times New Roman" w:cs="Times New Roman"/>
        </w:rPr>
        <w:t xml:space="preserve">, 1522-26. Xilagravura posteriormente integrada em </w:t>
      </w:r>
      <w:r w:rsidRPr="00EA6D05">
        <w:rPr>
          <w:rStyle w:val="quote1"/>
          <w:rFonts w:ascii="Times New Roman" w:hAnsi="Times New Roman" w:cs="Times New Roman"/>
          <w:i/>
        </w:rPr>
        <w:t>Les Simulachres &amp; Historiées Faces de la Mort avtant elegamtment pourtraictes, que artificiellement imaginées</w:t>
      </w:r>
      <w:r w:rsidRPr="00A7398F">
        <w:rPr>
          <w:rFonts w:ascii="Times New Roman" w:hAnsi="Times New Roman" w:cs="Times New Roman"/>
        </w:rPr>
        <w:t>, Lyon, 1538, imagem 35.Disponível em: &lt;</w:t>
      </w:r>
      <w:hyperlink r:id="rId4" w:history="1">
        <w:r w:rsidRPr="00A7398F">
          <w:rPr>
            <w:rStyle w:val="Hyperlink"/>
            <w:rFonts w:ascii="Times New Roman" w:hAnsi="Times New Roman" w:cs="Times New Roman"/>
          </w:rPr>
          <w:t>http://gallica.bnf.fr/ark:/12148/btv1b8609551c/f35.zoom</w:t>
        </w:r>
      </w:hyperlink>
      <w:r w:rsidRPr="00A7398F">
        <w:rPr>
          <w:rFonts w:ascii="Times New Roman" w:hAnsi="Times New Roman" w:cs="Times New Roman"/>
          <w:color w:val="000000"/>
        </w:rPr>
        <w:t xml:space="preserve">&gt; </w:t>
      </w:r>
      <w:r w:rsidRPr="00A7398F">
        <w:rPr>
          <w:rFonts w:ascii="Times New Roman" w:hAnsi="Times New Roman" w:cs="Times New Roman"/>
        </w:rPr>
        <w:t>[Consultado em 2 Setembro 201</w:t>
      </w:r>
      <w:r>
        <w:rPr>
          <w:rFonts w:ascii="Times New Roman" w:hAnsi="Times New Roman" w:cs="Times New Roman"/>
        </w:rPr>
        <w:t>5</w:t>
      </w:r>
      <w:r w:rsidRPr="00A7398F">
        <w:rPr>
          <w:rFonts w:ascii="Times New Roman" w:hAnsi="Times New Roman" w:cs="Times New Roman"/>
        </w:rPr>
        <w:t>].</w:t>
      </w:r>
    </w:p>
    <w:p w:rsidR="00AF3F82" w:rsidRPr="00A7398F" w:rsidRDefault="00AF3F82" w:rsidP="00A7398F">
      <w:pPr>
        <w:pStyle w:val="FootnoteText"/>
        <w:rPr>
          <w:rFonts w:ascii="Times New Roman" w:hAnsi="Times New Roman"/>
          <w:sz w:val="20"/>
        </w:rPr>
      </w:pPr>
    </w:p>
  </w:footnote>
  <w:footnote w:id="20">
    <w:p w:rsidR="00AF3F82" w:rsidRPr="00A7398F" w:rsidRDefault="00AF3F82" w:rsidP="00A7398F">
      <w:pPr>
        <w:pStyle w:val="EndnoteText"/>
        <w:ind w:left="0"/>
        <w:rPr>
          <w:rFonts w:ascii="Times New Roman" w:hAnsi="Times New Roman"/>
        </w:rPr>
      </w:pPr>
      <w:r w:rsidRPr="00A7398F">
        <w:rPr>
          <w:rStyle w:val="FootnoteReference"/>
          <w:rFonts w:ascii="Times New Roman" w:hAnsi="Times New Roman"/>
        </w:rPr>
        <w:footnoteRef/>
      </w:r>
      <w:r w:rsidRPr="00A7398F">
        <w:rPr>
          <w:rFonts w:ascii="Times New Roman" w:hAnsi="Times New Roman"/>
        </w:rPr>
        <w:t xml:space="preserve"> </w:t>
      </w:r>
      <w:r>
        <w:rPr>
          <w:rFonts w:ascii="Times New Roman" w:hAnsi="Times New Roman"/>
        </w:rPr>
        <w:t xml:space="preserve">O dramaturgo português </w:t>
      </w:r>
      <w:r w:rsidRPr="00A7398F">
        <w:rPr>
          <w:rFonts w:ascii="Times New Roman" w:hAnsi="Times New Roman"/>
        </w:rPr>
        <w:t>Gil Vicente refere em inúmeras das suas peças a perdiz como símbol</w:t>
      </w:r>
      <w:r>
        <w:rPr>
          <w:rFonts w:ascii="Times New Roman" w:hAnsi="Times New Roman"/>
        </w:rPr>
        <w:t>o de corrupção e de malícia.Cf.</w:t>
      </w:r>
      <w:r w:rsidRPr="00A7398F">
        <w:rPr>
          <w:rFonts w:ascii="Times New Roman" w:hAnsi="Times New Roman"/>
        </w:rPr>
        <w:t xml:space="preserve"> Centro de Estudos de Teatro. Teatro de Autores Portugueses do Sec. XVI _Base de dados textual [on-line].Disponível em:&lt;</w:t>
      </w:r>
      <w:hyperlink r:id="rId5" w:history="1">
        <w:r w:rsidRPr="00A7398F">
          <w:rPr>
            <w:rStyle w:val="Hyperlink"/>
            <w:rFonts w:ascii="Times New Roman" w:hAnsi="Times New Roman"/>
          </w:rPr>
          <w:t>http://www.cet-e-quinhentos.com/obras</w:t>
        </w:r>
      </w:hyperlink>
      <w:r w:rsidRPr="00A7398F">
        <w:rPr>
          <w:rFonts w:ascii="Times New Roman" w:hAnsi="Times New Roman"/>
        </w:rPr>
        <w:t>&gt;</w:t>
      </w:r>
      <w:r>
        <w:rPr>
          <w:rFonts w:ascii="Times New Roman" w:hAnsi="Times New Roman"/>
        </w:rPr>
        <w:t>. [Consultado em 4 Setembro 2015</w:t>
      </w:r>
      <w:r w:rsidRPr="00A7398F">
        <w:rPr>
          <w:rFonts w:ascii="Times New Roman" w:hAnsi="Times New Roman"/>
        </w:rPr>
        <w:t>].</w:t>
      </w:r>
    </w:p>
    <w:p w:rsidR="00AF3F82" w:rsidRPr="00A7398F" w:rsidRDefault="00AF3F82" w:rsidP="00A7398F">
      <w:pPr>
        <w:pStyle w:val="FootnoteText"/>
        <w:rPr>
          <w:rFonts w:ascii="Times New Roman" w:hAnsi="Times New Roman"/>
          <w:sz w:val="20"/>
        </w:rPr>
      </w:pPr>
    </w:p>
  </w:footnote>
  <w:footnote w:id="21">
    <w:p w:rsidR="00AF3F82" w:rsidRPr="003A30D4" w:rsidRDefault="00AF3F82" w:rsidP="003A30D4">
      <w:pPr>
        <w:pStyle w:val="EndnoteText"/>
        <w:ind w:left="0"/>
        <w:rPr>
          <w:rFonts w:ascii="Times New Roman" w:hAnsi="Times New Roman" w:cs="Times New Roman"/>
        </w:rPr>
      </w:pPr>
      <w:r w:rsidRPr="00A7398F">
        <w:rPr>
          <w:rStyle w:val="FootnoteReference"/>
          <w:rFonts w:ascii="Times New Roman" w:hAnsi="Times New Roman"/>
        </w:rPr>
        <w:footnoteRef/>
      </w:r>
      <w:r w:rsidRPr="00A7398F">
        <w:rPr>
          <w:rFonts w:ascii="Times New Roman" w:hAnsi="Times New Roman"/>
        </w:rPr>
        <w:t xml:space="preserve"> </w:t>
      </w:r>
      <w:r w:rsidRPr="00A7398F">
        <w:rPr>
          <w:rFonts w:ascii="Times New Roman" w:hAnsi="Times New Roman" w:cs="Times New Roman"/>
        </w:rPr>
        <w:t xml:space="preserve">A gravura da Prudência faz parte do conjunto de virtudes e de vícios, que ornamentam um jogo de cartas de Tarot, supostamente atribuídas a Mantegna, impressas cerca de 1465. </w:t>
      </w:r>
      <w:r>
        <w:rPr>
          <w:rFonts w:ascii="Times New Roman" w:hAnsi="Times New Roman" w:cs="Times New Roman"/>
        </w:rPr>
        <w:t xml:space="preserve">Cf. </w:t>
      </w:r>
      <w:r w:rsidRPr="00A7398F">
        <w:rPr>
          <w:rFonts w:ascii="Times New Roman" w:hAnsi="Times New Roman" w:cs="Times New Roman"/>
        </w:rPr>
        <w:t>British Museum, cot</w:t>
      </w:r>
      <w:r>
        <w:rPr>
          <w:rFonts w:ascii="Times New Roman" w:hAnsi="Times New Roman" w:cs="Times New Roman"/>
        </w:rPr>
        <w:t>a:M.N.1895,0915.35.</w:t>
      </w:r>
    </w:p>
  </w:footnote>
  <w:footnote w:id="22">
    <w:p w:rsidR="00AF3F82" w:rsidRPr="00A7398F" w:rsidRDefault="00AF3F82" w:rsidP="00A7398F">
      <w:pPr>
        <w:pStyle w:val="EndnoteText"/>
        <w:ind w:left="0"/>
        <w:rPr>
          <w:rFonts w:ascii="Times New Roman" w:hAnsi="Times New Roman"/>
        </w:rPr>
      </w:pPr>
      <w:r w:rsidRPr="00A7398F">
        <w:rPr>
          <w:rStyle w:val="FootnoteReference"/>
          <w:rFonts w:ascii="Times New Roman" w:hAnsi="Times New Roman"/>
        </w:rPr>
        <w:footnoteRef/>
      </w:r>
      <w:r w:rsidRPr="00A7398F">
        <w:rPr>
          <w:rFonts w:ascii="Times New Roman" w:hAnsi="Times New Roman"/>
        </w:rPr>
        <w:t xml:space="preserve"> Prudência e justiça cega, gravura de 1537, de Cornelis Bos  ou a partir de Heemskerck. British Museum, cota:  M.N. Gg 41, 18.[Consultado em 2 Set 201</w:t>
      </w:r>
      <w:r>
        <w:rPr>
          <w:rFonts w:ascii="Times New Roman" w:hAnsi="Times New Roman"/>
        </w:rPr>
        <w:t>5</w:t>
      </w:r>
      <w:r w:rsidRPr="00A7398F">
        <w:rPr>
          <w:rFonts w:ascii="Times New Roman" w:hAnsi="Times New Roman"/>
        </w:rPr>
        <w:t>].Disponível em:&lt;</w:t>
      </w:r>
      <w:hyperlink r:id="rId6" w:history="1">
        <w:r w:rsidRPr="00A7398F">
          <w:rPr>
            <w:rStyle w:val="Hyperlink"/>
            <w:rFonts w:ascii="Times New Roman" w:hAnsi="Times New Roman"/>
            <w:smallCaps/>
          </w:rPr>
          <w:t>http://www.britishmuseum.org/research/collection_online/collection_object_details/collection_image_gallery.aspx?assetId=129730&amp;objectId=1534943&amp;partId=1</w:t>
        </w:r>
      </w:hyperlink>
      <w:r>
        <w:rPr>
          <w:rFonts w:ascii="Times New Roman" w:hAnsi="Times New Roman"/>
        </w:rPr>
        <w:t xml:space="preserve">&gt;. </w:t>
      </w:r>
      <w:r w:rsidRPr="00A7398F">
        <w:rPr>
          <w:rFonts w:ascii="Times New Roman" w:hAnsi="Times New Roman"/>
        </w:rPr>
        <w:t>E, CorMet., Prudência e Justiça cega,1538. Gravura, atribuída a Cornelis Massip. British Museum, cota: 1894, 0</w:t>
      </w:r>
      <w:r>
        <w:rPr>
          <w:rFonts w:ascii="Times New Roman" w:hAnsi="Times New Roman"/>
        </w:rPr>
        <w:t>921.1. [Consultado em 2 Set 2015</w:t>
      </w:r>
      <w:r w:rsidRPr="00A7398F">
        <w:rPr>
          <w:rFonts w:ascii="Times New Roman" w:hAnsi="Times New Roman"/>
        </w:rPr>
        <w:t>]. Disponível em: &lt;</w:t>
      </w:r>
      <w:hyperlink r:id="rId7" w:history="1">
        <w:r w:rsidRPr="00A7398F">
          <w:rPr>
            <w:rStyle w:val="Hyperlink"/>
            <w:rFonts w:ascii="Times New Roman" w:hAnsi="Times New Roman"/>
            <w:smallCaps/>
          </w:rPr>
          <w:t>http://www.britishmuseum.org/research/collection_online/collection_object_details.aspx?objectId=1486150&amp;partId=1&amp;searchText=justice+and+prudence&amp;images=true&amp;from=ad&amp;fromDate=1500&amp;to=ad&amp;toDate=1600&amp;page=1</w:t>
        </w:r>
      </w:hyperlink>
      <w:r w:rsidRPr="00A7398F">
        <w:rPr>
          <w:rFonts w:ascii="Times New Roman" w:hAnsi="Times New Roman"/>
        </w:rPr>
        <w:t>&gt;.</w:t>
      </w:r>
    </w:p>
    <w:p w:rsidR="00AF3F82" w:rsidRPr="00A7398F" w:rsidRDefault="00AF3F82" w:rsidP="00A7398F">
      <w:pPr>
        <w:pStyle w:val="FootnoteText"/>
        <w:rPr>
          <w:rFonts w:ascii="Times New Roman" w:hAnsi="Times New Roman"/>
          <w:sz w:val="20"/>
        </w:rPr>
      </w:pPr>
    </w:p>
  </w:footnote>
  <w:footnote w:id="23">
    <w:p w:rsidR="00AF3F82" w:rsidRPr="00A7398F" w:rsidRDefault="00AF3F82" w:rsidP="00A7398F">
      <w:pPr>
        <w:pStyle w:val="FootnoteText"/>
        <w:ind w:left="0"/>
        <w:rPr>
          <w:rFonts w:ascii="Times New Roman" w:hAnsi="Times New Roman"/>
          <w:sz w:val="20"/>
        </w:rPr>
      </w:pPr>
      <w:r w:rsidRPr="00A7398F">
        <w:rPr>
          <w:rStyle w:val="FootnoteReference"/>
          <w:rFonts w:ascii="Times New Roman" w:hAnsi="Times New Roman"/>
          <w:sz w:val="20"/>
        </w:rPr>
        <w:footnoteRef/>
      </w:r>
      <w:r w:rsidRPr="00A7398F">
        <w:rPr>
          <w:rFonts w:ascii="Times New Roman" w:hAnsi="Times New Roman"/>
          <w:sz w:val="20"/>
        </w:rPr>
        <w:t xml:space="preserve"> </w:t>
      </w:r>
      <w:r w:rsidRPr="00A7398F">
        <w:rPr>
          <w:rFonts w:ascii="Times New Roman" w:hAnsi="Times New Roman" w:cs="Times New Roman"/>
          <w:sz w:val="20"/>
        </w:rPr>
        <w:t>Levítico</w:t>
      </w:r>
      <w:r>
        <w:rPr>
          <w:rFonts w:ascii="Times New Roman" w:hAnsi="Times New Roman" w:cs="Times New Roman"/>
          <w:sz w:val="20"/>
        </w:rPr>
        <w:t>,</w:t>
      </w:r>
      <w:r w:rsidRPr="00A7398F">
        <w:rPr>
          <w:rFonts w:ascii="Times New Roman" w:hAnsi="Times New Roman" w:cs="Times New Roman"/>
          <w:sz w:val="20"/>
        </w:rPr>
        <w:t>19,1-2 e 11-18. E Salmo 81:” Deus julga o juiz iníquo”.</w:t>
      </w:r>
    </w:p>
  </w:footnote>
  <w:footnote w:id="24">
    <w:p w:rsidR="00AF3F82" w:rsidRPr="00A7398F" w:rsidRDefault="00AF3F82" w:rsidP="00A7398F">
      <w:pPr>
        <w:pStyle w:val="EndnoteText"/>
        <w:ind w:left="0"/>
        <w:rPr>
          <w:rFonts w:ascii="Times New Roman" w:hAnsi="Times New Roman" w:cs="Times New Roman"/>
        </w:rPr>
      </w:pPr>
      <w:r w:rsidRPr="00A7398F">
        <w:rPr>
          <w:rStyle w:val="FootnoteReference"/>
          <w:rFonts w:ascii="Times New Roman" w:hAnsi="Times New Roman"/>
        </w:rPr>
        <w:footnoteRef/>
      </w:r>
      <w:r w:rsidRPr="00A7398F">
        <w:rPr>
          <w:rFonts w:ascii="Times New Roman" w:hAnsi="Times New Roman"/>
        </w:rPr>
        <w:t xml:space="preserve"> </w:t>
      </w:r>
      <w:r w:rsidRPr="00A7398F">
        <w:rPr>
          <w:rFonts w:ascii="Times New Roman" w:hAnsi="Times New Roman" w:cs="Times New Roman"/>
        </w:rPr>
        <w:t xml:space="preserve">Dante, </w:t>
      </w:r>
      <w:r w:rsidRPr="0084779C">
        <w:rPr>
          <w:rFonts w:ascii="Times New Roman" w:hAnsi="Times New Roman" w:cs="Times New Roman"/>
          <w:i/>
        </w:rPr>
        <w:t>A Divina Comédia</w:t>
      </w:r>
      <w:r w:rsidRPr="00A7398F">
        <w:rPr>
          <w:rFonts w:ascii="Times New Roman" w:hAnsi="Times New Roman" w:cs="Times New Roman"/>
        </w:rPr>
        <w:t xml:space="preserve">, Inferno, Canto XVI, v.106-136, p.159-161; Canto XVII, v. 44-66,p.165; Canto XVIII, v.79-133, p.182-185. Por oposição à Justiça de Deus e dos Espíritos Justos, Paraíso, Canto XIX e Canto XX,p.767-775. </w:t>
      </w:r>
    </w:p>
  </w:footnote>
  <w:footnote w:id="25">
    <w:p w:rsidR="00AF3F82" w:rsidRPr="00A7398F" w:rsidRDefault="00AF3F82" w:rsidP="00A7398F">
      <w:pPr>
        <w:pStyle w:val="EndnoteText"/>
        <w:ind w:left="0"/>
        <w:rPr>
          <w:rFonts w:ascii="Times New Roman" w:hAnsi="Times New Roman"/>
        </w:rPr>
      </w:pPr>
      <w:r w:rsidRPr="00A7398F">
        <w:rPr>
          <w:rStyle w:val="FootnoteReference"/>
          <w:rFonts w:ascii="Times New Roman" w:hAnsi="Times New Roman"/>
        </w:rPr>
        <w:footnoteRef/>
      </w:r>
      <w:r w:rsidRPr="00A7398F">
        <w:rPr>
          <w:rFonts w:ascii="Times New Roman" w:hAnsi="Times New Roman"/>
        </w:rPr>
        <w:t xml:space="preserve"> CF. Fraude e conselheiros do tirano, no painel do Mau Governo. Disponível em:</w:t>
      </w:r>
    </w:p>
    <w:p w:rsidR="00AF3F82" w:rsidRPr="00A7398F" w:rsidRDefault="00AF3F82" w:rsidP="002908D6">
      <w:pPr>
        <w:pStyle w:val="EndnoteText"/>
        <w:ind w:left="0"/>
        <w:rPr>
          <w:rFonts w:ascii="Times New Roman" w:hAnsi="Times New Roman"/>
        </w:rPr>
      </w:pPr>
      <w:r w:rsidRPr="00A7398F">
        <w:rPr>
          <w:rFonts w:ascii="Times New Roman" w:hAnsi="Times New Roman"/>
        </w:rPr>
        <w:t>&lt;</w:t>
      </w:r>
      <w:hyperlink r:id="rId8" w:anchor="mediaviewer/File:Lorenzetti_ambrogio_bad_govern._det.jpg" w:history="1">
        <w:r w:rsidRPr="00A7398F">
          <w:rPr>
            <w:rStyle w:val="Hyperlink"/>
            <w:rFonts w:ascii="Times New Roman" w:hAnsi="Times New Roman"/>
          </w:rPr>
          <w:t>http://en.wikipedia.org/wiki/The_Allegory_of_Good_and_Bad_Government - mediaviewer/File:Lorenzetti_ambrogio_bad_govern._det.jpg</w:t>
        </w:r>
      </w:hyperlink>
      <w:r w:rsidRPr="00A7398F">
        <w:rPr>
          <w:rFonts w:ascii="Times New Roman" w:hAnsi="Times New Roman"/>
        </w:rPr>
        <w:t>&gt;.[Consultado em 14 Set</w:t>
      </w:r>
      <w:r>
        <w:rPr>
          <w:rFonts w:ascii="Times New Roman" w:hAnsi="Times New Roman"/>
        </w:rPr>
        <w:t>embro 15</w:t>
      </w:r>
      <w:r w:rsidRPr="00A7398F">
        <w:rPr>
          <w:rFonts w:ascii="Times New Roman" w:hAnsi="Times New Roman"/>
        </w:rPr>
        <w:t>].</w:t>
      </w:r>
    </w:p>
  </w:footnote>
  <w:footnote w:id="26">
    <w:p w:rsidR="00AF3F82" w:rsidRPr="00A7398F" w:rsidRDefault="00AF3F82" w:rsidP="00A7398F">
      <w:pPr>
        <w:pStyle w:val="Style1"/>
        <w:rPr>
          <w:rFonts w:ascii="Times New Roman" w:hAnsi="Times New Roman" w:cs="Times New Roman"/>
          <w:szCs w:val="20"/>
        </w:rPr>
      </w:pPr>
      <w:r w:rsidRPr="00A7398F">
        <w:rPr>
          <w:rStyle w:val="FootnoteReference"/>
          <w:rFonts w:ascii="Times New Roman" w:hAnsi="Times New Roman"/>
        </w:rPr>
        <w:footnoteRef/>
      </w:r>
      <w:r w:rsidRPr="00A7398F">
        <w:rPr>
          <w:rFonts w:ascii="Times New Roman" w:hAnsi="Times New Roman"/>
        </w:rPr>
        <w:t xml:space="preserve"> </w:t>
      </w:r>
      <w:r w:rsidRPr="00A7398F">
        <w:rPr>
          <w:rFonts w:ascii="Times New Roman" w:hAnsi="Times New Roman" w:cs="Times New Roman"/>
          <w:szCs w:val="20"/>
        </w:rPr>
        <w:t xml:space="preserve">Cf. A pintura </w:t>
      </w:r>
      <w:r w:rsidRPr="00EA6D05">
        <w:rPr>
          <w:rFonts w:ascii="Times New Roman" w:hAnsi="Times New Roman" w:cs="Times New Roman"/>
          <w:i/>
          <w:szCs w:val="20"/>
        </w:rPr>
        <w:t>Alegoria do Triunfo de Vénus</w:t>
      </w:r>
      <w:r w:rsidRPr="00A7398F">
        <w:rPr>
          <w:rFonts w:ascii="Times New Roman" w:hAnsi="Times New Roman" w:cs="Times New Roman"/>
          <w:szCs w:val="20"/>
        </w:rPr>
        <w:t>, de 1545, óleo sobre madeira, 146x116cm, atualmente na National Gallery (NG</w:t>
      </w:r>
      <w:r>
        <w:rPr>
          <w:rFonts w:ascii="Times New Roman" w:hAnsi="Times New Roman" w:cs="Times New Roman"/>
          <w:szCs w:val="20"/>
        </w:rPr>
        <w:t>:</w:t>
      </w:r>
      <w:r w:rsidRPr="00A7398F">
        <w:rPr>
          <w:rFonts w:ascii="Times New Roman" w:hAnsi="Times New Roman" w:cs="Times New Roman"/>
          <w:szCs w:val="20"/>
        </w:rPr>
        <w:t>651). [Consultado em 14 Set</w:t>
      </w:r>
      <w:r>
        <w:rPr>
          <w:rFonts w:ascii="Times New Roman" w:hAnsi="Times New Roman" w:cs="Times New Roman"/>
          <w:szCs w:val="20"/>
        </w:rPr>
        <w:t>embro</w:t>
      </w:r>
      <w:r w:rsidRPr="00A7398F">
        <w:rPr>
          <w:rFonts w:ascii="Times New Roman" w:hAnsi="Times New Roman" w:cs="Times New Roman"/>
          <w:szCs w:val="20"/>
        </w:rPr>
        <w:t xml:space="preserve"> </w:t>
      </w:r>
      <w:r>
        <w:rPr>
          <w:rFonts w:ascii="Times New Roman" w:hAnsi="Times New Roman" w:cs="Times New Roman"/>
          <w:szCs w:val="20"/>
        </w:rPr>
        <w:t>20</w:t>
      </w:r>
      <w:r w:rsidRPr="00A7398F">
        <w:rPr>
          <w:rFonts w:ascii="Times New Roman" w:hAnsi="Times New Roman" w:cs="Times New Roman"/>
          <w:szCs w:val="20"/>
        </w:rPr>
        <w:t>15].</w:t>
      </w:r>
      <w:r>
        <w:rPr>
          <w:rFonts w:ascii="Times New Roman" w:hAnsi="Times New Roman" w:cs="Times New Roman"/>
          <w:szCs w:val="20"/>
        </w:rPr>
        <w:t xml:space="preserve"> </w:t>
      </w:r>
      <w:r w:rsidRPr="00A7398F">
        <w:rPr>
          <w:rFonts w:ascii="Times New Roman" w:hAnsi="Times New Roman" w:cs="Times New Roman"/>
          <w:szCs w:val="20"/>
        </w:rPr>
        <w:t>Disponível em: &lt;</w:t>
      </w:r>
      <w:hyperlink r:id="rId9" w:history="1">
        <w:r w:rsidRPr="00A7398F">
          <w:rPr>
            <w:rStyle w:val="Hyperlink"/>
            <w:rFonts w:ascii="Times New Roman" w:hAnsi="Times New Roman" w:cs="Times New Roman"/>
            <w:szCs w:val="20"/>
          </w:rPr>
          <w:t>http://www.nationalgallery.org.uk/paintings/bronzino-an-allegory-with-venus-and-cupid</w:t>
        </w:r>
      </w:hyperlink>
      <w:r w:rsidRPr="00A7398F">
        <w:rPr>
          <w:rFonts w:ascii="Times New Roman" w:hAnsi="Times New Roman" w:cs="Times New Roman"/>
          <w:szCs w:val="20"/>
        </w:rPr>
        <w:t>&gt;.</w:t>
      </w:r>
    </w:p>
    <w:p w:rsidR="00AF3F82" w:rsidRPr="00A7398F" w:rsidRDefault="00AF3F82" w:rsidP="00A7398F">
      <w:pPr>
        <w:rPr>
          <w:rFonts w:ascii="Times New Roman" w:hAnsi="Times New Roman"/>
          <w:sz w:val="20"/>
        </w:rPr>
      </w:pPr>
    </w:p>
    <w:p w:rsidR="00AF3F82" w:rsidRPr="00A7398F" w:rsidRDefault="00AF3F82" w:rsidP="00A7398F">
      <w:pPr>
        <w:pStyle w:val="FootnoteText"/>
        <w:rPr>
          <w:rFonts w:ascii="Times New Roman" w:hAnsi="Times New Roman"/>
          <w:sz w:val="20"/>
        </w:rPr>
      </w:pPr>
    </w:p>
  </w:footnote>
  <w:footnote w:id="27">
    <w:p w:rsidR="00AF3F82" w:rsidRPr="004012BE" w:rsidRDefault="00AF3F82" w:rsidP="00743CFB">
      <w:pPr>
        <w:spacing w:after="0"/>
        <w:ind w:left="0"/>
        <w:rPr>
          <w:rFonts w:ascii="Times New Roman" w:hAnsi="Times New Roman"/>
          <w:sz w:val="20"/>
        </w:rPr>
      </w:pPr>
      <w:r w:rsidRPr="00E72917">
        <w:rPr>
          <w:rStyle w:val="FootnoteReference"/>
          <w:sz w:val="22"/>
        </w:rPr>
        <w:footnoteRef/>
      </w:r>
      <w:r w:rsidRPr="00E72917">
        <w:rPr>
          <w:sz w:val="22"/>
        </w:rPr>
        <w:t xml:space="preserve"> </w:t>
      </w:r>
      <w:r w:rsidRPr="00753981">
        <w:rPr>
          <w:rFonts w:ascii="Times New Roman" w:hAnsi="Times New Roman"/>
          <w:sz w:val="20"/>
        </w:rPr>
        <w:t xml:space="preserve">“Dinheiro que dá conforto, galinha, perdiz, veado, vaca gorda e faz honrado...”, António Prestes, </w:t>
      </w:r>
      <w:r w:rsidRPr="00753981">
        <w:rPr>
          <w:rFonts w:ascii="Times New Roman" w:hAnsi="Times New Roman"/>
          <w:i/>
          <w:sz w:val="20"/>
        </w:rPr>
        <w:t>Auto do Desembargador</w:t>
      </w:r>
      <w:r w:rsidRPr="00753981">
        <w:rPr>
          <w:rFonts w:ascii="Times New Roman" w:hAnsi="Times New Roman"/>
          <w:sz w:val="20"/>
        </w:rPr>
        <w:t xml:space="preserve">, v.690, [156-] Centro de Estudos de Teatro. </w:t>
      </w:r>
      <w:r w:rsidRPr="00753981">
        <w:rPr>
          <w:rFonts w:ascii="Times New Roman" w:hAnsi="Times New Roman"/>
          <w:i/>
          <w:sz w:val="20"/>
        </w:rPr>
        <w:t>Teatro de Autores Portugueses do Sec. XVI _Base de dados textual</w:t>
      </w:r>
      <w:r>
        <w:rPr>
          <w:rFonts w:ascii="Times New Roman" w:hAnsi="Times New Roman"/>
          <w:sz w:val="20"/>
        </w:rPr>
        <w:t xml:space="preserve">[ on-line]. </w:t>
      </w:r>
      <w:r w:rsidRPr="00753981">
        <w:rPr>
          <w:rFonts w:ascii="Times New Roman" w:hAnsi="Times New Roman"/>
          <w:sz w:val="20"/>
        </w:rPr>
        <w:t>Disponível em:&lt;</w:t>
      </w:r>
      <w:hyperlink r:id="rId10" w:history="1">
        <w:r w:rsidRPr="00753981">
          <w:rPr>
            <w:rStyle w:val="Hyperlink"/>
            <w:rFonts w:ascii="Times New Roman" w:hAnsi="Times New Roman"/>
            <w:sz w:val="20"/>
          </w:rPr>
          <w:t>http://www.cet-e-quinhentos.com/obras</w:t>
        </w:r>
      </w:hyperlink>
      <w:r>
        <w:rPr>
          <w:rFonts w:ascii="Times New Roman" w:hAnsi="Times New Roman"/>
          <w:sz w:val="20"/>
        </w:rPr>
        <w:t>&gt;. [Consultado em 4 Julho 2015].</w:t>
      </w:r>
    </w:p>
  </w:footnote>
  <w:footnote w:id="28">
    <w:p w:rsidR="00AF3F82" w:rsidRPr="00481C58" w:rsidRDefault="00AF3F82" w:rsidP="009960B6">
      <w:pPr>
        <w:pStyle w:val="Heading1"/>
        <w:shd w:val="clear" w:color="auto" w:fill="FFFFFF"/>
        <w:spacing w:before="0"/>
        <w:ind w:left="0"/>
        <w:rPr>
          <w:rFonts w:ascii="Times New Roman" w:hAnsi="Times New Roman"/>
          <w:b w:val="0"/>
          <w:color w:val="auto"/>
          <w:sz w:val="20"/>
        </w:rPr>
      </w:pPr>
      <w:r w:rsidRPr="00E72917">
        <w:rPr>
          <w:rStyle w:val="FootnoteReference"/>
          <w:rFonts w:ascii="Arial" w:hAnsi="Arial"/>
          <w:b w:val="0"/>
          <w:sz w:val="22"/>
        </w:rPr>
        <w:footnoteRef/>
      </w:r>
      <w:r w:rsidRPr="00C57543">
        <w:rPr>
          <w:rFonts w:ascii="Arial" w:hAnsi="Arial"/>
          <w:b w:val="0"/>
          <w:sz w:val="22"/>
          <w:lang w:val="fr-FR"/>
        </w:rPr>
        <w:t xml:space="preserve"> </w:t>
      </w:r>
      <w:r w:rsidRPr="00C57543">
        <w:rPr>
          <w:rFonts w:ascii="Arial" w:hAnsi="Arial"/>
          <w:b w:val="0"/>
          <w:i/>
          <w:sz w:val="22"/>
          <w:lang w:val="fr-FR"/>
        </w:rPr>
        <w:t xml:space="preserve"> </w:t>
      </w:r>
      <w:r w:rsidRPr="00481C58">
        <w:rPr>
          <w:rFonts w:ascii="Times New Roman" w:hAnsi="Times New Roman"/>
          <w:b w:val="0"/>
          <w:i/>
          <w:color w:val="auto"/>
          <w:sz w:val="20"/>
          <w:shd w:val="clear" w:color="auto" w:fill="FFFFFF"/>
          <w:lang w:val="fr-FR"/>
        </w:rPr>
        <w:t>Praxis Rerum Criminalium,</w:t>
      </w:r>
      <w:r w:rsidRPr="00481C58">
        <w:rPr>
          <w:rFonts w:ascii="Times New Roman" w:hAnsi="Times New Roman"/>
          <w:b w:val="0"/>
          <w:color w:val="auto"/>
          <w:sz w:val="20"/>
          <w:shd w:val="clear" w:color="auto" w:fill="FFFFFF"/>
          <w:lang w:val="fr-FR"/>
        </w:rPr>
        <w:t xml:space="preserve"> 1556, Antwerp. </w:t>
      </w:r>
      <w:r w:rsidRPr="00481C58">
        <w:rPr>
          <w:rFonts w:ascii="Times New Roman" w:hAnsi="Times New Roman"/>
          <w:b w:val="0"/>
          <w:i/>
          <w:color w:val="auto"/>
          <w:sz w:val="20"/>
          <w:shd w:val="clear" w:color="auto" w:fill="FEFEFE"/>
          <w:lang w:val="fr-FR"/>
        </w:rPr>
        <w:t>Praxis Rerum Civilium</w:t>
      </w:r>
      <w:r w:rsidRPr="00481C58">
        <w:rPr>
          <w:rFonts w:ascii="Times New Roman" w:hAnsi="Times New Roman"/>
          <w:b w:val="0"/>
          <w:color w:val="auto"/>
          <w:sz w:val="20"/>
          <w:shd w:val="clear" w:color="auto" w:fill="FEFEFE"/>
          <w:lang w:val="fr-FR"/>
        </w:rPr>
        <w:t>, 1567, Antwerp.</w:t>
      </w:r>
      <w:r w:rsidRPr="00481C58">
        <w:rPr>
          <w:rFonts w:ascii="Times New Roman" w:hAnsi="Times New Roman"/>
          <w:b w:val="0"/>
          <w:color w:val="auto"/>
          <w:sz w:val="20"/>
          <w:lang w:val="fr-FR"/>
        </w:rPr>
        <w:t xml:space="preserve"> E Practique Judiciaire es Causes Civiles, tres utillé et nécessaire à tous,1572, Anvers. </w:t>
      </w:r>
      <w:r w:rsidRPr="00481C58">
        <w:rPr>
          <w:rFonts w:ascii="Times New Roman" w:hAnsi="Times New Roman"/>
          <w:b w:val="0"/>
          <w:sz w:val="20"/>
          <w:lang w:val="fr-FR"/>
        </w:rPr>
        <w:t xml:space="preserve"> </w:t>
      </w:r>
      <w:r w:rsidRPr="00481C58">
        <w:rPr>
          <w:rFonts w:ascii="Times New Roman" w:hAnsi="Times New Roman"/>
          <w:b w:val="0"/>
          <w:color w:val="auto"/>
          <w:sz w:val="20"/>
        </w:rPr>
        <w:t>Usou-se esta edição francesa.</w:t>
      </w:r>
    </w:p>
    <w:p w:rsidR="00AF3F82" w:rsidRPr="00481C58" w:rsidRDefault="00AF3F82" w:rsidP="009960B6">
      <w:pPr>
        <w:pStyle w:val="FootnoteText"/>
        <w:ind w:left="0"/>
        <w:rPr>
          <w:rFonts w:ascii="Times New Roman" w:hAnsi="Times New Roman"/>
          <w:sz w:val="20"/>
        </w:rPr>
      </w:pPr>
    </w:p>
  </w:footnote>
  <w:footnote w:id="29">
    <w:p w:rsidR="00AF3F82" w:rsidRPr="00481C58" w:rsidRDefault="00AF3F82" w:rsidP="009960B6">
      <w:pPr>
        <w:pStyle w:val="FootnoteText"/>
        <w:ind w:left="0"/>
        <w:rPr>
          <w:rFonts w:ascii="Times New Roman" w:hAnsi="Times New Roman"/>
          <w:sz w:val="20"/>
        </w:rPr>
      </w:pPr>
      <w:r w:rsidRPr="00481C58">
        <w:rPr>
          <w:rStyle w:val="FootnoteReference"/>
          <w:rFonts w:ascii="Times New Roman" w:hAnsi="Times New Roman"/>
          <w:sz w:val="20"/>
        </w:rPr>
        <w:footnoteRef/>
      </w:r>
      <w:r w:rsidRPr="00481C58">
        <w:rPr>
          <w:rFonts w:ascii="Times New Roman" w:hAnsi="Times New Roman"/>
          <w:sz w:val="20"/>
        </w:rPr>
        <w:t xml:space="preserve"> “Afastai de meus olhos a malícia das vossas acções, deixai de praticar o mal e aprendei a fazer o bem. Respeitai o direito, protegei o oprimido, fazei justiça ao órfão, defendei a causa da viúva”, </w:t>
      </w:r>
      <w:r w:rsidRPr="00DD1FB9">
        <w:rPr>
          <w:rFonts w:ascii="Times New Roman" w:hAnsi="Times New Roman"/>
          <w:sz w:val="20"/>
        </w:rPr>
        <w:t>Isaías</w:t>
      </w:r>
      <w:r w:rsidRPr="00481C58">
        <w:rPr>
          <w:rFonts w:ascii="Times New Roman" w:hAnsi="Times New Roman"/>
          <w:sz w:val="20"/>
        </w:rPr>
        <w:t>, 1, 10-16.</w:t>
      </w:r>
    </w:p>
  </w:footnote>
</w:footnotes>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FFFFFF1D"/>
    <w:multiLevelType w:val="multilevel"/>
    <w:tmpl w:val="E18A189E"/>
    <w:lvl w:ilvl="0">
      <w:start w:val="1"/>
      <w:numFmt w:val="bullet"/>
      <w:pStyle w:val="NoteLevel11"/>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49D35CE"/>
    <w:multiLevelType w:val="hybridMultilevel"/>
    <w:tmpl w:val="4E58E7C8"/>
    <w:lvl w:ilvl="0" w:tplc="78C20B34">
      <w:start w:val="1"/>
      <w:numFmt w:val="upp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
    <w:nsid w:val="06D83327"/>
    <w:multiLevelType w:val="multilevel"/>
    <w:tmpl w:val="1FD0F138"/>
    <w:lvl w:ilvl="0">
      <w:start w:val="3"/>
      <w:numFmt w:val="decimal"/>
      <w:lvlText w:val="%1."/>
      <w:lvlJc w:val="left"/>
      <w:pPr>
        <w:ind w:left="390" w:hanging="39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3">
    <w:nsid w:val="10430214"/>
    <w:multiLevelType w:val="multilevel"/>
    <w:tmpl w:val="F03A9CF2"/>
    <w:lvl w:ilvl="0">
      <w:start w:val="3"/>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nsid w:val="14397C1A"/>
    <w:multiLevelType w:val="hybridMultilevel"/>
    <w:tmpl w:val="BB7E823A"/>
    <w:lvl w:ilvl="0" w:tplc="A4DAC4BA">
      <w:start w:val="1"/>
      <w:numFmt w:val="upperRoman"/>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769430D"/>
    <w:multiLevelType w:val="hybridMultilevel"/>
    <w:tmpl w:val="8D346CAC"/>
    <w:lvl w:ilvl="0" w:tplc="A5C6395A">
      <w:start w:val="1"/>
      <w:numFmt w:val="upp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
    <w:nsid w:val="1C9C54FE"/>
    <w:multiLevelType w:val="hybridMultilevel"/>
    <w:tmpl w:val="ED3A4B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6F95FE5"/>
    <w:multiLevelType w:val="hybridMultilevel"/>
    <w:tmpl w:val="0960E4FA"/>
    <w:lvl w:ilvl="0" w:tplc="BDB8B50C">
      <w:start w:val="16"/>
      <w:numFmt w:val="bullet"/>
      <w:lvlText w:val=""/>
      <w:lvlJc w:val="left"/>
      <w:pPr>
        <w:ind w:left="440" w:hanging="360"/>
      </w:pPr>
      <w:rPr>
        <w:rFonts w:ascii="Wingdings" w:eastAsiaTheme="minorHAnsi" w:hAnsi="Wingdings" w:cstheme="minorBidi" w:hint="default"/>
      </w:rPr>
    </w:lvl>
    <w:lvl w:ilvl="1" w:tplc="04090003" w:tentative="1">
      <w:start w:val="1"/>
      <w:numFmt w:val="bullet"/>
      <w:lvlText w:val="o"/>
      <w:lvlJc w:val="left"/>
      <w:pPr>
        <w:ind w:left="1160" w:hanging="360"/>
      </w:pPr>
      <w:rPr>
        <w:rFonts w:ascii="Courier New" w:hAnsi="Courier New" w:hint="default"/>
      </w:rPr>
    </w:lvl>
    <w:lvl w:ilvl="2" w:tplc="04090005" w:tentative="1">
      <w:start w:val="1"/>
      <w:numFmt w:val="bullet"/>
      <w:lvlText w:val=""/>
      <w:lvlJc w:val="left"/>
      <w:pPr>
        <w:ind w:left="1880" w:hanging="360"/>
      </w:pPr>
      <w:rPr>
        <w:rFonts w:ascii="Wingdings" w:hAnsi="Wingdings" w:hint="default"/>
      </w:rPr>
    </w:lvl>
    <w:lvl w:ilvl="3" w:tplc="04090001" w:tentative="1">
      <w:start w:val="1"/>
      <w:numFmt w:val="bullet"/>
      <w:lvlText w:val=""/>
      <w:lvlJc w:val="left"/>
      <w:pPr>
        <w:ind w:left="2600" w:hanging="360"/>
      </w:pPr>
      <w:rPr>
        <w:rFonts w:ascii="Symbol" w:hAnsi="Symbol" w:hint="default"/>
      </w:rPr>
    </w:lvl>
    <w:lvl w:ilvl="4" w:tplc="04090003" w:tentative="1">
      <w:start w:val="1"/>
      <w:numFmt w:val="bullet"/>
      <w:lvlText w:val="o"/>
      <w:lvlJc w:val="left"/>
      <w:pPr>
        <w:ind w:left="3320" w:hanging="360"/>
      </w:pPr>
      <w:rPr>
        <w:rFonts w:ascii="Courier New" w:hAnsi="Courier New" w:hint="default"/>
      </w:rPr>
    </w:lvl>
    <w:lvl w:ilvl="5" w:tplc="04090005" w:tentative="1">
      <w:start w:val="1"/>
      <w:numFmt w:val="bullet"/>
      <w:lvlText w:val=""/>
      <w:lvlJc w:val="left"/>
      <w:pPr>
        <w:ind w:left="4040" w:hanging="360"/>
      </w:pPr>
      <w:rPr>
        <w:rFonts w:ascii="Wingdings" w:hAnsi="Wingdings" w:hint="default"/>
      </w:rPr>
    </w:lvl>
    <w:lvl w:ilvl="6" w:tplc="04090001" w:tentative="1">
      <w:start w:val="1"/>
      <w:numFmt w:val="bullet"/>
      <w:lvlText w:val=""/>
      <w:lvlJc w:val="left"/>
      <w:pPr>
        <w:ind w:left="4760" w:hanging="360"/>
      </w:pPr>
      <w:rPr>
        <w:rFonts w:ascii="Symbol" w:hAnsi="Symbol" w:hint="default"/>
      </w:rPr>
    </w:lvl>
    <w:lvl w:ilvl="7" w:tplc="04090003" w:tentative="1">
      <w:start w:val="1"/>
      <w:numFmt w:val="bullet"/>
      <w:lvlText w:val="o"/>
      <w:lvlJc w:val="left"/>
      <w:pPr>
        <w:ind w:left="5480" w:hanging="360"/>
      </w:pPr>
      <w:rPr>
        <w:rFonts w:ascii="Courier New" w:hAnsi="Courier New" w:hint="default"/>
      </w:rPr>
    </w:lvl>
    <w:lvl w:ilvl="8" w:tplc="04090005" w:tentative="1">
      <w:start w:val="1"/>
      <w:numFmt w:val="bullet"/>
      <w:lvlText w:val=""/>
      <w:lvlJc w:val="left"/>
      <w:pPr>
        <w:ind w:left="6200" w:hanging="360"/>
      </w:pPr>
      <w:rPr>
        <w:rFonts w:ascii="Wingdings" w:hAnsi="Wingdings" w:hint="default"/>
      </w:rPr>
    </w:lvl>
  </w:abstractNum>
  <w:abstractNum w:abstractNumId="8">
    <w:nsid w:val="28200051"/>
    <w:multiLevelType w:val="hybridMultilevel"/>
    <w:tmpl w:val="B498E4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AD56C6D"/>
    <w:multiLevelType w:val="hybridMultilevel"/>
    <w:tmpl w:val="9A8092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DD16153"/>
    <w:multiLevelType w:val="hybridMultilevel"/>
    <w:tmpl w:val="2F02B208"/>
    <w:lvl w:ilvl="0" w:tplc="46B60B4E">
      <w:start w:val="1"/>
      <w:numFmt w:val="bullet"/>
      <w:lvlText w:val="-"/>
      <w:lvlJc w:val="left"/>
      <w:pPr>
        <w:ind w:left="1080" w:hanging="360"/>
      </w:pPr>
      <w:rPr>
        <w:rFonts w:ascii="Arial" w:eastAsiaTheme="minorHAnsi" w:hAnsi="Arial" w:cs="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2E122C56"/>
    <w:multiLevelType w:val="multilevel"/>
    <w:tmpl w:val="4B7ADB70"/>
    <w:lvl w:ilvl="0">
      <w:start w:val="7"/>
      <w:numFmt w:val="decimal"/>
      <w:lvlText w:val="%1."/>
      <w:lvlJc w:val="left"/>
      <w:pPr>
        <w:ind w:left="720" w:hanging="360"/>
      </w:pPr>
      <w:rPr>
        <w:rFonts w:hint="default"/>
      </w:rPr>
    </w:lvl>
    <w:lvl w:ilvl="1">
      <w:start w:val="2"/>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2">
    <w:nsid w:val="37BF4C2F"/>
    <w:multiLevelType w:val="hybridMultilevel"/>
    <w:tmpl w:val="152EE98E"/>
    <w:lvl w:ilvl="0" w:tplc="0816000F">
      <w:start w:val="1"/>
      <w:numFmt w:val="decimal"/>
      <w:lvlText w:val="%1."/>
      <w:lvlJc w:val="left"/>
      <w:pPr>
        <w:ind w:left="720" w:hanging="360"/>
      </w:pPr>
      <w:rPr>
        <w:rFonts w:hint="default"/>
        <w:b w:val="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3">
    <w:nsid w:val="415358F2"/>
    <w:multiLevelType w:val="hybridMultilevel"/>
    <w:tmpl w:val="8860532E"/>
    <w:lvl w:ilvl="0" w:tplc="0816000F">
      <w:start w:val="4"/>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4">
    <w:nsid w:val="42962663"/>
    <w:multiLevelType w:val="hybridMultilevel"/>
    <w:tmpl w:val="DB2CDA36"/>
    <w:lvl w:ilvl="0" w:tplc="701C6736">
      <w:start w:val="3"/>
      <w:numFmt w:val="bullet"/>
      <w:lvlText w:val="-"/>
      <w:lvlJc w:val="left"/>
      <w:pPr>
        <w:ind w:left="720" w:hanging="360"/>
      </w:pPr>
      <w:rPr>
        <w:rFonts w:ascii="Times New Roman" w:eastAsiaTheme="minorHAnsi" w:hAnsi="Times New Roman" w:cs="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84D68CB"/>
    <w:multiLevelType w:val="hybridMultilevel"/>
    <w:tmpl w:val="2022174C"/>
    <w:lvl w:ilvl="0" w:tplc="4DE26E0C">
      <w:start w:val="4"/>
      <w:numFmt w:val="bullet"/>
      <w:lvlText w:val="-"/>
      <w:lvlJc w:val="left"/>
      <w:pPr>
        <w:ind w:left="303" w:hanging="360"/>
      </w:pPr>
      <w:rPr>
        <w:rFonts w:ascii="Arial" w:eastAsiaTheme="minorHAnsi" w:hAnsi="Arial" w:cstheme="minorBidi" w:hint="default"/>
      </w:rPr>
    </w:lvl>
    <w:lvl w:ilvl="1" w:tplc="04090003" w:tentative="1">
      <w:start w:val="1"/>
      <w:numFmt w:val="bullet"/>
      <w:lvlText w:val="o"/>
      <w:lvlJc w:val="left"/>
      <w:pPr>
        <w:ind w:left="1023" w:hanging="360"/>
      </w:pPr>
      <w:rPr>
        <w:rFonts w:ascii="Courier New" w:hAnsi="Courier New" w:hint="default"/>
      </w:rPr>
    </w:lvl>
    <w:lvl w:ilvl="2" w:tplc="04090005" w:tentative="1">
      <w:start w:val="1"/>
      <w:numFmt w:val="bullet"/>
      <w:lvlText w:val=""/>
      <w:lvlJc w:val="left"/>
      <w:pPr>
        <w:ind w:left="1743" w:hanging="360"/>
      </w:pPr>
      <w:rPr>
        <w:rFonts w:ascii="Wingdings" w:hAnsi="Wingdings" w:hint="default"/>
      </w:rPr>
    </w:lvl>
    <w:lvl w:ilvl="3" w:tplc="04090001" w:tentative="1">
      <w:start w:val="1"/>
      <w:numFmt w:val="bullet"/>
      <w:lvlText w:val=""/>
      <w:lvlJc w:val="left"/>
      <w:pPr>
        <w:ind w:left="2463" w:hanging="360"/>
      </w:pPr>
      <w:rPr>
        <w:rFonts w:ascii="Symbol" w:hAnsi="Symbol" w:hint="default"/>
      </w:rPr>
    </w:lvl>
    <w:lvl w:ilvl="4" w:tplc="04090003" w:tentative="1">
      <w:start w:val="1"/>
      <w:numFmt w:val="bullet"/>
      <w:lvlText w:val="o"/>
      <w:lvlJc w:val="left"/>
      <w:pPr>
        <w:ind w:left="3183" w:hanging="360"/>
      </w:pPr>
      <w:rPr>
        <w:rFonts w:ascii="Courier New" w:hAnsi="Courier New" w:hint="default"/>
      </w:rPr>
    </w:lvl>
    <w:lvl w:ilvl="5" w:tplc="04090005" w:tentative="1">
      <w:start w:val="1"/>
      <w:numFmt w:val="bullet"/>
      <w:lvlText w:val=""/>
      <w:lvlJc w:val="left"/>
      <w:pPr>
        <w:ind w:left="3903" w:hanging="360"/>
      </w:pPr>
      <w:rPr>
        <w:rFonts w:ascii="Wingdings" w:hAnsi="Wingdings" w:hint="default"/>
      </w:rPr>
    </w:lvl>
    <w:lvl w:ilvl="6" w:tplc="04090001" w:tentative="1">
      <w:start w:val="1"/>
      <w:numFmt w:val="bullet"/>
      <w:lvlText w:val=""/>
      <w:lvlJc w:val="left"/>
      <w:pPr>
        <w:ind w:left="4623" w:hanging="360"/>
      </w:pPr>
      <w:rPr>
        <w:rFonts w:ascii="Symbol" w:hAnsi="Symbol" w:hint="default"/>
      </w:rPr>
    </w:lvl>
    <w:lvl w:ilvl="7" w:tplc="04090003" w:tentative="1">
      <w:start w:val="1"/>
      <w:numFmt w:val="bullet"/>
      <w:lvlText w:val="o"/>
      <w:lvlJc w:val="left"/>
      <w:pPr>
        <w:ind w:left="5343" w:hanging="360"/>
      </w:pPr>
      <w:rPr>
        <w:rFonts w:ascii="Courier New" w:hAnsi="Courier New" w:hint="default"/>
      </w:rPr>
    </w:lvl>
    <w:lvl w:ilvl="8" w:tplc="04090005" w:tentative="1">
      <w:start w:val="1"/>
      <w:numFmt w:val="bullet"/>
      <w:lvlText w:val=""/>
      <w:lvlJc w:val="left"/>
      <w:pPr>
        <w:ind w:left="6063" w:hanging="360"/>
      </w:pPr>
      <w:rPr>
        <w:rFonts w:ascii="Wingdings" w:hAnsi="Wingdings" w:hint="default"/>
      </w:rPr>
    </w:lvl>
  </w:abstractNum>
  <w:abstractNum w:abstractNumId="16">
    <w:nsid w:val="4A317092"/>
    <w:multiLevelType w:val="multilevel"/>
    <w:tmpl w:val="96F6F046"/>
    <w:lvl w:ilvl="0">
      <w:start w:val="7"/>
      <w:numFmt w:val="decimal"/>
      <w:lvlText w:val="%1."/>
      <w:lvlJc w:val="left"/>
      <w:pPr>
        <w:ind w:left="1440" w:hanging="360"/>
      </w:pPr>
      <w:rPr>
        <w:rFonts w:hint="default"/>
      </w:rPr>
    </w:lvl>
    <w:lvl w:ilvl="1">
      <w:start w:val="2"/>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17">
    <w:nsid w:val="4B303A8D"/>
    <w:multiLevelType w:val="multilevel"/>
    <w:tmpl w:val="9ACE42BA"/>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8">
    <w:nsid w:val="4CB62AD3"/>
    <w:multiLevelType w:val="multilevel"/>
    <w:tmpl w:val="525E54D2"/>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nsid w:val="6D720F88"/>
    <w:multiLevelType w:val="multilevel"/>
    <w:tmpl w:val="2D7E9304"/>
    <w:lvl w:ilvl="0">
      <w:start w:val="1"/>
      <w:numFmt w:val="decimal"/>
      <w:lvlText w:val="%1."/>
      <w:lvlJc w:val="left"/>
      <w:pPr>
        <w:ind w:left="720" w:hanging="360"/>
      </w:p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nsid w:val="75046CAF"/>
    <w:multiLevelType w:val="hybridMultilevel"/>
    <w:tmpl w:val="215C2200"/>
    <w:lvl w:ilvl="0" w:tplc="4C7A7990">
      <w:start w:val="1"/>
      <w:numFmt w:val="upperRoman"/>
      <w:lvlText w:val="%1."/>
      <w:lvlJc w:val="left"/>
      <w:pPr>
        <w:ind w:left="1080" w:hanging="720"/>
      </w:pPr>
      <w:rPr>
        <w:rFonts w:cs="Courier New"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1">
    <w:nsid w:val="7B832D34"/>
    <w:multiLevelType w:val="multilevel"/>
    <w:tmpl w:val="A0EAD7D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nsid w:val="7DA15429"/>
    <w:multiLevelType w:val="multilevel"/>
    <w:tmpl w:val="E5A6A51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3">
    <w:nsid w:val="7EF95AE4"/>
    <w:multiLevelType w:val="multilevel"/>
    <w:tmpl w:val="E5A6A51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0"/>
  </w:num>
  <w:num w:numId="2">
    <w:abstractNumId w:val="19"/>
  </w:num>
  <w:num w:numId="3">
    <w:abstractNumId w:val="23"/>
  </w:num>
  <w:num w:numId="4">
    <w:abstractNumId w:val="17"/>
  </w:num>
  <w:num w:numId="5">
    <w:abstractNumId w:val="10"/>
  </w:num>
  <w:num w:numId="6">
    <w:abstractNumId w:val="16"/>
  </w:num>
  <w:num w:numId="7">
    <w:abstractNumId w:val="11"/>
  </w:num>
  <w:num w:numId="8">
    <w:abstractNumId w:val="18"/>
  </w:num>
  <w:num w:numId="9">
    <w:abstractNumId w:val="12"/>
  </w:num>
  <w:num w:numId="10">
    <w:abstractNumId w:val="3"/>
  </w:num>
  <w:num w:numId="11">
    <w:abstractNumId w:val="15"/>
  </w:num>
  <w:num w:numId="12">
    <w:abstractNumId w:val="22"/>
  </w:num>
  <w:num w:numId="13">
    <w:abstractNumId w:val="20"/>
  </w:num>
  <w:num w:numId="14">
    <w:abstractNumId w:val="5"/>
  </w:num>
  <w:num w:numId="15">
    <w:abstractNumId w:val="4"/>
  </w:num>
  <w:num w:numId="16">
    <w:abstractNumId w:val="6"/>
  </w:num>
  <w:num w:numId="17">
    <w:abstractNumId w:val="9"/>
  </w:num>
  <w:num w:numId="18">
    <w:abstractNumId w:val="21"/>
  </w:num>
  <w:num w:numId="19">
    <w:abstractNumId w:val="8"/>
  </w:num>
  <w:num w:numId="20">
    <w:abstractNumId w:val="7"/>
  </w:num>
  <w:num w:numId="21">
    <w:abstractNumId w:val="1"/>
  </w:num>
  <w:num w:numId="22">
    <w:abstractNumId w:val="13"/>
  </w:num>
  <w:num w:numId="23">
    <w:abstractNumId w:val="2"/>
  </w:num>
  <w:num w:numId="24">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0"/>
  <w:embedSystemFonts/>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doNotVertAlignCellWithSp/>
    <w:doNotBreakConstrainedForcedTable/>
    <w:useAnsiKerningPairs/>
    <w:cachedColBalance/>
    <w:splitPgBreakAndParaMark/>
  </w:compat>
  <w:rsids>
    <w:rsidRoot w:val="00921494"/>
    <w:rsid w:val="00001883"/>
    <w:rsid w:val="00022990"/>
    <w:rsid w:val="00027634"/>
    <w:rsid w:val="000422AB"/>
    <w:rsid w:val="00057384"/>
    <w:rsid w:val="00075890"/>
    <w:rsid w:val="000765E6"/>
    <w:rsid w:val="000C6FF3"/>
    <w:rsid w:val="000F56E2"/>
    <w:rsid w:val="00102AB7"/>
    <w:rsid w:val="00106131"/>
    <w:rsid w:val="00132006"/>
    <w:rsid w:val="00151204"/>
    <w:rsid w:val="001616CF"/>
    <w:rsid w:val="00163DF6"/>
    <w:rsid w:val="00186134"/>
    <w:rsid w:val="001A4584"/>
    <w:rsid w:val="001B5DF0"/>
    <w:rsid w:val="001C116E"/>
    <w:rsid w:val="001D711F"/>
    <w:rsid w:val="001E59AD"/>
    <w:rsid w:val="0020081D"/>
    <w:rsid w:val="002147BC"/>
    <w:rsid w:val="002405ED"/>
    <w:rsid w:val="00243C91"/>
    <w:rsid w:val="00273A94"/>
    <w:rsid w:val="002908D6"/>
    <w:rsid w:val="002B096B"/>
    <w:rsid w:val="002D51EC"/>
    <w:rsid w:val="002E561E"/>
    <w:rsid w:val="002F5F67"/>
    <w:rsid w:val="00306DEE"/>
    <w:rsid w:val="003256A5"/>
    <w:rsid w:val="00327DBE"/>
    <w:rsid w:val="00361B36"/>
    <w:rsid w:val="003640AA"/>
    <w:rsid w:val="00365E2D"/>
    <w:rsid w:val="00365FEB"/>
    <w:rsid w:val="00390D6A"/>
    <w:rsid w:val="00394CA1"/>
    <w:rsid w:val="003A30D4"/>
    <w:rsid w:val="003B1FFD"/>
    <w:rsid w:val="003C05ED"/>
    <w:rsid w:val="003C226A"/>
    <w:rsid w:val="004012BE"/>
    <w:rsid w:val="00403401"/>
    <w:rsid w:val="00432C37"/>
    <w:rsid w:val="00433590"/>
    <w:rsid w:val="0044766C"/>
    <w:rsid w:val="00461A17"/>
    <w:rsid w:val="00463CF9"/>
    <w:rsid w:val="00464D23"/>
    <w:rsid w:val="00473A12"/>
    <w:rsid w:val="00481DA8"/>
    <w:rsid w:val="00495DB3"/>
    <w:rsid w:val="004B459C"/>
    <w:rsid w:val="004B7657"/>
    <w:rsid w:val="004C7EC0"/>
    <w:rsid w:val="004D22DC"/>
    <w:rsid w:val="004E3978"/>
    <w:rsid w:val="004E676E"/>
    <w:rsid w:val="004F2178"/>
    <w:rsid w:val="004F5E88"/>
    <w:rsid w:val="00505561"/>
    <w:rsid w:val="00516DA0"/>
    <w:rsid w:val="0052365C"/>
    <w:rsid w:val="00527579"/>
    <w:rsid w:val="0053297B"/>
    <w:rsid w:val="005336FB"/>
    <w:rsid w:val="00546CA2"/>
    <w:rsid w:val="00591185"/>
    <w:rsid w:val="00592C74"/>
    <w:rsid w:val="005A166F"/>
    <w:rsid w:val="005B1ADB"/>
    <w:rsid w:val="005C243E"/>
    <w:rsid w:val="005D20CB"/>
    <w:rsid w:val="005F228F"/>
    <w:rsid w:val="00614FB1"/>
    <w:rsid w:val="00616FF5"/>
    <w:rsid w:val="00617C1C"/>
    <w:rsid w:val="006510F7"/>
    <w:rsid w:val="006652F8"/>
    <w:rsid w:val="00665D10"/>
    <w:rsid w:val="00667371"/>
    <w:rsid w:val="006A72C6"/>
    <w:rsid w:val="006B72A2"/>
    <w:rsid w:val="006F3194"/>
    <w:rsid w:val="0070775E"/>
    <w:rsid w:val="00734D88"/>
    <w:rsid w:val="00743CFB"/>
    <w:rsid w:val="00745570"/>
    <w:rsid w:val="00750BBF"/>
    <w:rsid w:val="00767652"/>
    <w:rsid w:val="0077254E"/>
    <w:rsid w:val="007968A7"/>
    <w:rsid w:val="007D2E00"/>
    <w:rsid w:val="007E08B3"/>
    <w:rsid w:val="007E0DF3"/>
    <w:rsid w:val="007E398C"/>
    <w:rsid w:val="007E7665"/>
    <w:rsid w:val="007F0863"/>
    <w:rsid w:val="007F106B"/>
    <w:rsid w:val="00813453"/>
    <w:rsid w:val="0082238B"/>
    <w:rsid w:val="0083538A"/>
    <w:rsid w:val="00841A60"/>
    <w:rsid w:val="0084389E"/>
    <w:rsid w:val="0084779C"/>
    <w:rsid w:val="00847D35"/>
    <w:rsid w:val="00851B6A"/>
    <w:rsid w:val="00862FF8"/>
    <w:rsid w:val="00864D1C"/>
    <w:rsid w:val="0089060E"/>
    <w:rsid w:val="008A3528"/>
    <w:rsid w:val="008C0ABA"/>
    <w:rsid w:val="008E4FE9"/>
    <w:rsid w:val="008E67D1"/>
    <w:rsid w:val="008F7E18"/>
    <w:rsid w:val="00907665"/>
    <w:rsid w:val="00914784"/>
    <w:rsid w:val="00921494"/>
    <w:rsid w:val="00925713"/>
    <w:rsid w:val="00952F21"/>
    <w:rsid w:val="00953CAA"/>
    <w:rsid w:val="00970A36"/>
    <w:rsid w:val="00984702"/>
    <w:rsid w:val="009960B6"/>
    <w:rsid w:val="009A5FD7"/>
    <w:rsid w:val="009C44F3"/>
    <w:rsid w:val="009D25D5"/>
    <w:rsid w:val="009F3BD0"/>
    <w:rsid w:val="009F60D6"/>
    <w:rsid w:val="00A02F22"/>
    <w:rsid w:val="00A06FC8"/>
    <w:rsid w:val="00A33484"/>
    <w:rsid w:val="00A3430E"/>
    <w:rsid w:val="00A41D8A"/>
    <w:rsid w:val="00A42780"/>
    <w:rsid w:val="00A512BA"/>
    <w:rsid w:val="00A7398F"/>
    <w:rsid w:val="00A832F0"/>
    <w:rsid w:val="00A853EF"/>
    <w:rsid w:val="00AA7E38"/>
    <w:rsid w:val="00AF3F82"/>
    <w:rsid w:val="00AF67A3"/>
    <w:rsid w:val="00B20457"/>
    <w:rsid w:val="00B269CA"/>
    <w:rsid w:val="00B4645F"/>
    <w:rsid w:val="00B54C14"/>
    <w:rsid w:val="00B563CF"/>
    <w:rsid w:val="00B87C9B"/>
    <w:rsid w:val="00BA750D"/>
    <w:rsid w:val="00BB25AC"/>
    <w:rsid w:val="00C0175F"/>
    <w:rsid w:val="00C03EA7"/>
    <w:rsid w:val="00C352EC"/>
    <w:rsid w:val="00C418A6"/>
    <w:rsid w:val="00C471C3"/>
    <w:rsid w:val="00C56BD9"/>
    <w:rsid w:val="00C84BCD"/>
    <w:rsid w:val="00C926EA"/>
    <w:rsid w:val="00C92DAB"/>
    <w:rsid w:val="00C94B56"/>
    <w:rsid w:val="00CA7961"/>
    <w:rsid w:val="00CB0918"/>
    <w:rsid w:val="00CB407B"/>
    <w:rsid w:val="00CC07D5"/>
    <w:rsid w:val="00CE6367"/>
    <w:rsid w:val="00CF2A03"/>
    <w:rsid w:val="00CF5A39"/>
    <w:rsid w:val="00D224F2"/>
    <w:rsid w:val="00D26227"/>
    <w:rsid w:val="00D33A55"/>
    <w:rsid w:val="00D33C1E"/>
    <w:rsid w:val="00D61A89"/>
    <w:rsid w:val="00D61D0F"/>
    <w:rsid w:val="00D83492"/>
    <w:rsid w:val="00D90D29"/>
    <w:rsid w:val="00D9583B"/>
    <w:rsid w:val="00DA6BB1"/>
    <w:rsid w:val="00DB3526"/>
    <w:rsid w:val="00DD1FB9"/>
    <w:rsid w:val="00DE6AC2"/>
    <w:rsid w:val="00DF29AA"/>
    <w:rsid w:val="00DF31BE"/>
    <w:rsid w:val="00E01749"/>
    <w:rsid w:val="00E06BF3"/>
    <w:rsid w:val="00E106C0"/>
    <w:rsid w:val="00E17140"/>
    <w:rsid w:val="00E25664"/>
    <w:rsid w:val="00E43CDC"/>
    <w:rsid w:val="00E533FF"/>
    <w:rsid w:val="00E703B2"/>
    <w:rsid w:val="00E76FCD"/>
    <w:rsid w:val="00EA3D1C"/>
    <w:rsid w:val="00EA6D05"/>
    <w:rsid w:val="00EB416A"/>
    <w:rsid w:val="00ED79E5"/>
    <w:rsid w:val="00EE3ED4"/>
    <w:rsid w:val="00F103D3"/>
    <w:rsid w:val="00F11707"/>
    <w:rsid w:val="00F52B73"/>
    <w:rsid w:val="00F5692A"/>
    <w:rsid w:val="00FA0A79"/>
    <w:rsid w:val="00FA24BE"/>
    <w:rsid w:val="00FB20C1"/>
    <w:rsid w:val="00FB2D92"/>
    <w:rsid w:val="00FB3A68"/>
    <w:rsid w:val="00FC0A9F"/>
    <w:rsid w:val="00FC1191"/>
    <w:rsid w:val="00FC7089"/>
  </w:rsids>
  <m:mathPr>
    <m:mathFont m:val="Lucida Grande"/>
    <m:brkBin m:val="before"/>
    <m:brkBinSub m:val="--"/>
    <m:smallFrac m:val="off"/>
    <m:dispDef m:val="off"/>
    <m:lMargin m:val="0"/>
    <m:rMargin m:val="0"/>
    <m:wrapRight/>
    <m:intLim m:val="subSup"/>
    <m:naryLim m:val="subSup"/>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pt-PT" w:eastAsia="en-US" w:bidi="ar-SA"/>
      </w:rPr>
    </w:rPrDefault>
    <w:pPrDefault>
      <w:pPr>
        <w:spacing w:after="200"/>
      </w:pPr>
    </w:pPrDefault>
  </w:docDefaults>
  <w:latentStyles w:defLockedState="0" w:defUIPriority="0" w:defSemiHidden="0" w:defUnhideWhenUsed="0" w:defQFormat="0" w:count="276">
    <w:lsdException w:name="heading 1" w:uiPriority="9" w:qFormat="1"/>
    <w:lsdException w:name="heading 2" w:uiPriority="9"/>
    <w:lsdException w:name="heading 4" w:uiPriority="9" w:qFormat="1"/>
    <w:lsdException w:name="heading 5" w:uiPriority="9" w:qFormat="1"/>
    <w:lsdException w:name="footnote text" w:uiPriority="99"/>
    <w:lsdException w:name="header" w:uiPriority="99"/>
    <w:lsdException w:name="footer" w:uiPriority="99"/>
    <w:lsdException w:name="caption" w:qFormat="1"/>
    <w:lsdException w:name="footnote reference" w:uiPriority="99"/>
    <w:lsdException w:name="Body Text" w:uiPriority="99"/>
    <w:lsdException w:name="Salutation" w:uiPriority="99"/>
    <w:lsdException w:name="Hyperlink" w:uiPriority="99"/>
    <w:lsdException w:name="FollowedHyperlink" w:uiPriority="99"/>
    <w:lsdException w:name="Strong" w:uiPriority="22"/>
    <w:lsdException w:name="Emphasis" w:uiPriority="20"/>
    <w:lsdException w:name="Document Map" w:uiPriority="99"/>
    <w:lsdException w:name="Plain Text" w:uiPriority="99"/>
    <w:lsdException w:name="HTML Top of Form" w:uiPriority="99"/>
    <w:lsdException w:name="HTML Bottom of Form" w:uiPriority="99"/>
    <w:lsdException w:name="Normal (Web)" w:uiPriority="99"/>
    <w:lsdException w:name="HTML Cite" w:uiPriority="99"/>
    <w:lsdException w:name="HTML Preformatted" w:uiPriority="99"/>
    <w:lsdException w:name="Balloon Text" w:uiPriority="99"/>
    <w:lsdException w:name="List Paragraph" w:uiPriority="34" w:qFormat="1"/>
  </w:latentStyles>
  <w:style w:type="paragraph" w:default="1" w:styleId="Normal">
    <w:name w:val="Normal"/>
    <w:qFormat/>
    <w:rsid w:val="00921494"/>
    <w:pPr>
      <w:spacing w:before="120" w:after="120"/>
      <w:ind w:left="720"/>
      <w:jc w:val="both"/>
    </w:pPr>
    <w:rPr>
      <w:rFonts w:ascii="Arial" w:hAnsi="Arial"/>
      <w:sz w:val="32"/>
    </w:rPr>
  </w:style>
  <w:style w:type="paragraph" w:styleId="Heading1">
    <w:name w:val="heading 1"/>
    <w:basedOn w:val="Normal"/>
    <w:next w:val="Normal"/>
    <w:link w:val="Heading1Char"/>
    <w:uiPriority w:val="9"/>
    <w:qFormat/>
    <w:rsid w:val="00921494"/>
    <w:pPr>
      <w:keepNext/>
      <w:keepLines/>
      <w:spacing w:before="480" w:after="0"/>
      <w:outlineLvl w:val="0"/>
    </w:pPr>
    <w:rPr>
      <w:rFonts w:asciiTheme="majorHAnsi" w:eastAsiaTheme="majorEastAsia" w:hAnsiTheme="majorHAnsi" w:cstheme="majorBidi"/>
      <w:b/>
      <w:bCs/>
      <w:color w:val="345A8A" w:themeColor="accent1" w:themeShade="B5"/>
      <w:szCs w:val="32"/>
    </w:rPr>
  </w:style>
  <w:style w:type="paragraph" w:styleId="Heading2">
    <w:name w:val="heading 2"/>
    <w:basedOn w:val="Normal"/>
    <w:next w:val="Normal"/>
    <w:link w:val="Heading2Char"/>
    <w:uiPriority w:val="9"/>
    <w:rsid w:val="0092149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unhideWhenUsed/>
    <w:qFormat/>
    <w:rsid w:val="00921494"/>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921494"/>
    <w:pPr>
      <w:keepNext/>
      <w:keepLines/>
      <w:spacing w:before="200" w:after="0"/>
      <w:outlineLvl w:val="4"/>
    </w:pPr>
    <w:rPr>
      <w:rFonts w:asciiTheme="majorHAnsi" w:eastAsiaTheme="majorEastAsia" w:hAnsiTheme="majorHAnsi" w:cstheme="majorBidi"/>
      <w:color w:val="244061" w:themeColor="accent1" w:themeShade="8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uiPriority w:val="9"/>
    <w:rsid w:val="00921494"/>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921494"/>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rsid w:val="00921494"/>
    <w:rPr>
      <w:rFonts w:asciiTheme="majorHAnsi" w:eastAsiaTheme="majorEastAsia" w:hAnsiTheme="majorHAnsi" w:cstheme="majorBidi"/>
      <w:b/>
      <w:bCs/>
      <w:i/>
      <w:iCs/>
      <w:color w:val="4F81BD" w:themeColor="accent1"/>
      <w:sz w:val="32"/>
    </w:rPr>
  </w:style>
  <w:style w:type="character" w:customStyle="1" w:styleId="Heading5Char">
    <w:name w:val="Heading 5 Char"/>
    <w:basedOn w:val="DefaultParagraphFont"/>
    <w:link w:val="Heading5"/>
    <w:uiPriority w:val="9"/>
    <w:rsid w:val="00921494"/>
    <w:rPr>
      <w:rFonts w:asciiTheme="majorHAnsi" w:eastAsiaTheme="majorEastAsia" w:hAnsiTheme="majorHAnsi" w:cstheme="majorBidi"/>
      <w:color w:val="244061" w:themeColor="accent1" w:themeShade="80"/>
      <w:sz w:val="32"/>
    </w:rPr>
  </w:style>
  <w:style w:type="paragraph" w:styleId="Salutation">
    <w:name w:val="Salutation"/>
    <w:basedOn w:val="Normal"/>
    <w:next w:val="Normal"/>
    <w:link w:val="SalutationChar"/>
    <w:uiPriority w:val="99"/>
    <w:unhideWhenUsed/>
    <w:rsid w:val="00921494"/>
  </w:style>
  <w:style w:type="character" w:customStyle="1" w:styleId="SalutationChar">
    <w:name w:val="Salutation Char"/>
    <w:basedOn w:val="DefaultParagraphFont"/>
    <w:link w:val="Salutation"/>
    <w:uiPriority w:val="99"/>
    <w:rsid w:val="00921494"/>
    <w:rPr>
      <w:rFonts w:ascii="Arial" w:hAnsi="Arial"/>
      <w:sz w:val="32"/>
    </w:rPr>
  </w:style>
  <w:style w:type="paragraph" w:styleId="BodyText">
    <w:name w:val="Body Text"/>
    <w:basedOn w:val="Normal"/>
    <w:link w:val="BodyTextChar"/>
    <w:uiPriority w:val="99"/>
    <w:unhideWhenUsed/>
    <w:rsid w:val="00921494"/>
  </w:style>
  <w:style w:type="character" w:customStyle="1" w:styleId="BodyTextChar">
    <w:name w:val="Body Text Char"/>
    <w:basedOn w:val="DefaultParagraphFont"/>
    <w:link w:val="BodyText"/>
    <w:uiPriority w:val="99"/>
    <w:rsid w:val="00921494"/>
    <w:rPr>
      <w:rFonts w:ascii="Arial" w:hAnsi="Arial"/>
      <w:sz w:val="32"/>
    </w:rPr>
  </w:style>
  <w:style w:type="paragraph" w:styleId="FootnoteText">
    <w:name w:val="footnote text"/>
    <w:basedOn w:val="Normal"/>
    <w:link w:val="FootnoteTextChar"/>
    <w:uiPriority w:val="99"/>
    <w:unhideWhenUsed/>
    <w:rsid w:val="00921494"/>
    <w:pPr>
      <w:spacing w:before="0" w:after="0"/>
    </w:pPr>
    <w:rPr>
      <w:sz w:val="24"/>
    </w:rPr>
  </w:style>
  <w:style w:type="character" w:customStyle="1" w:styleId="FootnoteTextChar">
    <w:name w:val="Footnote Text Char"/>
    <w:basedOn w:val="DefaultParagraphFont"/>
    <w:link w:val="FootnoteText"/>
    <w:uiPriority w:val="99"/>
    <w:rsid w:val="00921494"/>
    <w:rPr>
      <w:rFonts w:ascii="Arial" w:hAnsi="Arial"/>
    </w:rPr>
  </w:style>
  <w:style w:type="character" w:styleId="FootnoteReference">
    <w:name w:val="footnote reference"/>
    <w:basedOn w:val="DefaultParagraphFont"/>
    <w:uiPriority w:val="99"/>
    <w:semiHidden/>
    <w:unhideWhenUsed/>
    <w:rsid w:val="00921494"/>
    <w:rPr>
      <w:vertAlign w:val="superscript"/>
    </w:rPr>
  </w:style>
  <w:style w:type="character" w:styleId="Hyperlink">
    <w:name w:val="Hyperlink"/>
    <w:basedOn w:val="DefaultParagraphFont"/>
    <w:uiPriority w:val="99"/>
    <w:unhideWhenUsed/>
    <w:rsid w:val="00921494"/>
    <w:rPr>
      <w:color w:val="0000FF" w:themeColor="hyperlink"/>
      <w:u w:val="single"/>
    </w:rPr>
  </w:style>
  <w:style w:type="character" w:customStyle="1" w:styleId="apple-converted-space">
    <w:name w:val="apple-converted-space"/>
    <w:basedOn w:val="DefaultParagraphFont"/>
    <w:rsid w:val="00921494"/>
  </w:style>
  <w:style w:type="character" w:customStyle="1" w:styleId="t10">
    <w:name w:val="t10"/>
    <w:basedOn w:val="DefaultParagraphFont"/>
    <w:rsid w:val="00921494"/>
  </w:style>
  <w:style w:type="paragraph" w:styleId="DocumentMap">
    <w:name w:val="Document Map"/>
    <w:basedOn w:val="Normal"/>
    <w:link w:val="DocumentMapChar"/>
    <w:uiPriority w:val="99"/>
    <w:semiHidden/>
    <w:unhideWhenUsed/>
    <w:rsid w:val="00921494"/>
    <w:pPr>
      <w:spacing w:before="0" w:after="0"/>
    </w:pPr>
    <w:rPr>
      <w:rFonts w:ascii="Lucida Grande" w:hAnsi="Lucida Grande"/>
      <w:sz w:val="24"/>
    </w:rPr>
  </w:style>
  <w:style w:type="character" w:customStyle="1" w:styleId="DocumentMapChar">
    <w:name w:val="Document Map Char"/>
    <w:basedOn w:val="DefaultParagraphFont"/>
    <w:link w:val="DocumentMap"/>
    <w:uiPriority w:val="99"/>
    <w:semiHidden/>
    <w:rsid w:val="00921494"/>
    <w:rPr>
      <w:rFonts w:ascii="Lucida Grande" w:hAnsi="Lucida Grande"/>
    </w:rPr>
  </w:style>
  <w:style w:type="character" w:styleId="Emphasis">
    <w:name w:val="Emphasis"/>
    <w:basedOn w:val="DefaultParagraphFont"/>
    <w:uiPriority w:val="20"/>
    <w:rsid w:val="00921494"/>
    <w:rPr>
      <w:i/>
    </w:rPr>
  </w:style>
  <w:style w:type="character" w:styleId="FollowedHyperlink">
    <w:name w:val="FollowedHyperlink"/>
    <w:basedOn w:val="DefaultParagraphFont"/>
    <w:uiPriority w:val="99"/>
    <w:unhideWhenUsed/>
    <w:rsid w:val="00921494"/>
    <w:rPr>
      <w:color w:val="800080" w:themeColor="followedHyperlink"/>
      <w:u w:val="single"/>
    </w:rPr>
  </w:style>
  <w:style w:type="paragraph" w:styleId="PlainText">
    <w:name w:val="Plain Text"/>
    <w:basedOn w:val="Normal"/>
    <w:link w:val="PlainTextChar"/>
    <w:uiPriority w:val="99"/>
    <w:unhideWhenUsed/>
    <w:rsid w:val="00921494"/>
    <w:pPr>
      <w:spacing w:before="0" w:after="0"/>
      <w:ind w:left="0"/>
      <w:jc w:val="left"/>
    </w:pPr>
    <w:rPr>
      <w:rFonts w:ascii="Courier" w:hAnsi="Courier"/>
      <w:sz w:val="21"/>
      <w:szCs w:val="21"/>
    </w:rPr>
  </w:style>
  <w:style w:type="character" w:customStyle="1" w:styleId="PlainTextChar">
    <w:name w:val="Plain Text Char"/>
    <w:basedOn w:val="DefaultParagraphFont"/>
    <w:link w:val="PlainText"/>
    <w:uiPriority w:val="99"/>
    <w:rsid w:val="00921494"/>
    <w:rPr>
      <w:rFonts w:ascii="Courier" w:hAnsi="Courier"/>
      <w:sz w:val="21"/>
      <w:szCs w:val="21"/>
    </w:rPr>
  </w:style>
  <w:style w:type="paragraph" w:styleId="ListParagraph">
    <w:name w:val="List Paragraph"/>
    <w:basedOn w:val="Normal"/>
    <w:uiPriority w:val="34"/>
    <w:qFormat/>
    <w:rsid w:val="00921494"/>
    <w:pPr>
      <w:contextualSpacing/>
    </w:pPr>
  </w:style>
  <w:style w:type="character" w:customStyle="1" w:styleId="quote1">
    <w:name w:val="quote1"/>
    <w:basedOn w:val="DefaultParagraphFont"/>
    <w:rsid w:val="00921494"/>
  </w:style>
  <w:style w:type="paragraph" w:styleId="BalloonText">
    <w:name w:val="Balloon Text"/>
    <w:basedOn w:val="Normal"/>
    <w:link w:val="BalloonTextChar"/>
    <w:uiPriority w:val="99"/>
    <w:semiHidden/>
    <w:unhideWhenUsed/>
    <w:rsid w:val="00921494"/>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1494"/>
    <w:rPr>
      <w:rFonts w:ascii="Tahoma" w:hAnsi="Tahoma" w:cs="Tahoma"/>
      <w:sz w:val="16"/>
      <w:szCs w:val="16"/>
    </w:rPr>
  </w:style>
  <w:style w:type="character" w:customStyle="1" w:styleId="addmd">
    <w:name w:val="addmd"/>
    <w:basedOn w:val="DefaultParagraphFont"/>
    <w:rsid w:val="00921494"/>
  </w:style>
  <w:style w:type="paragraph" w:customStyle="1" w:styleId="Style1">
    <w:name w:val="Style1"/>
    <w:basedOn w:val="FootnoteText"/>
    <w:next w:val="NoteLevel11"/>
    <w:qFormat/>
    <w:rsid w:val="00921494"/>
    <w:pPr>
      <w:spacing w:after="240"/>
      <w:ind w:left="0"/>
    </w:pPr>
    <w:rPr>
      <w:sz w:val="20"/>
    </w:rPr>
  </w:style>
  <w:style w:type="paragraph" w:customStyle="1" w:styleId="NoteLevel11">
    <w:name w:val="Note Level 11"/>
    <w:basedOn w:val="Normal"/>
    <w:rsid w:val="00921494"/>
    <w:pPr>
      <w:keepNext/>
      <w:numPr>
        <w:numId w:val="1"/>
      </w:numPr>
      <w:spacing w:after="0"/>
      <w:contextualSpacing/>
      <w:outlineLvl w:val="0"/>
    </w:pPr>
    <w:rPr>
      <w:rFonts w:ascii="Verdana" w:eastAsia="MS Gothic" w:hAnsi="Verdana"/>
    </w:rPr>
  </w:style>
  <w:style w:type="character" w:customStyle="1" w:styleId="value">
    <w:name w:val="value"/>
    <w:basedOn w:val="DefaultParagraphFont"/>
    <w:rsid w:val="00921494"/>
  </w:style>
  <w:style w:type="character" w:styleId="Strong">
    <w:name w:val="Strong"/>
    <w:basedOn w:val="DefaultParagraphFont"/>
    <w:uiPriority w:val="22"/>
    <w:rsid w:val="00921494"/>
    <w:rPr>
      <w:b/>
    </w:rPr>
  </w:style>
  <w:style w:type="paragraph" w:styleId="NormalWeb">
    <w:name w:val="Normal (Web)"/>
    <w:basedOn w:val="Normal"/>
    <w:uiPriority w:val="99"/>
    <w:rsid w:val="00921494"/>
    <w:pPr>
      <w:spacing w:beforeLines="1" w:afterLines="1"/>
      <w:ind w:left="0"/>
      <w:jc w:val="left"/>
    </w:pPr>
    <w:rPr>
      <w:rFonts w:ascii="Times" w:hAnsi="Times" w:cs="Times New Roman"/>
      <w:sz w:val="20"/>
      <w:szCs w:val="20"/>
    </w:rPr>
  </w:style>
  <w:style w:type="paragraph" w:styleId="Header">
    <w:name w:val="header"/>
    <w:basedOn w:val="Normal"/>
    <w:link w:val="HeaderChar"/>
    <w:uiPriority w:val="99"/>
    <w:rsid w:val="00921494"/>
    <w:pPr>
      <w:tabs>
        <w:tab w:val="center" w:pos="4252"/>
        <w:tab w:val="right" w:pos="8504"/>
      </w:tabs>
      <w:spacing w:before="0" w:after="0"/>
    </w:pPr>
  </w:style>
  <w:style w:type="character" w:customStyle="1" w:styleId="HeaderChar">
    <w:name w:val="Header Char"/>
    <w:basedOn w:val="DefaultParagraphFont"/>
    <w:link w:val="Header"/>
    <w:uiPriority w:val="99"/>
    <w:rsid w:val="00921494"/>
    <w:rPr>
      <w:rFonts w:ascii="Arial" w:hAnsi="Arial"/>
      <w:sz w:val="32"/>
    </w:rPr>
  </w:style>
  <w:style w:type="paragraph" w:styleId="Footer">
    <w:name w:val="footer"/>
    <w:basedOn w:val="Normal"/>
    <w:link w:val="FooterChar"/>
    <w:uiPriority w:val="99"/>
    <w:rsid w:val="00921494"/>
    <w:pPr>
      <w:tabs>
        <w:tab w:val="center" w:pos="4252"/>
        <w:tab w:val="right" w:pos="8504"/>
      </w:tabs>
      <w:spacing w:before="0" w:after="0"/>
    </w:pPr>
  </w:style>
  <w:style w:type="character" w:customStyle="1" w:styleId="FooterChar">
    <w:name w:val="Footer Char"/>
    <w:basedOn w:val="DefaultParagraphFont"/>
    <w:link w:val="Footer"/>
    <w:uiPriority w:val="99"/>
    <w:rsid w:val="00921494"/>
    <w:rPr>
      <w:rFonts w:ascii="Arial" w:hAnsi="Arial"/>
      <w:sz w:val="32"/>
    </w:rPr>
  </w:style>
  <w:style w:type="character" w:styleId="HTMLCite">
    <w:name w:val="HTML Cite"/>
    <w:basedOn w:val="DefaultParagraphFont"/>
    <w:uiPriority w:val="99"/>
    <w:rsid w:val="00921494"/>
    <w:rPr>
      <w:i/>
    </w:rPr>
  </w:style>
  <w:style w:type="paragraph" w:styleId="Caption">
    <w:name w:val="caption"/>
    <w:basedOn w:val="Normal"/>
    <w:next w:val="Normal"/>
    <w:qFormat/>
    <w:rsid w:val="00921494"/>
    <w:pPr>
      <w:spacing w:before="0" w:after="200"/>
    </w:pPr>
    <w:rPr>
      <w:b/>
      <w:bCs/>
      <w:color w:val="4F81BD" w:themeColor="accent1"/>
      <w:sz w:val="18"/>
      <w:szCs w:val="18"/>
    </w:rPr>
  </w:style>
  <w:style w:type="character" w:customStyle="1" w:styleId="fn">
    <w:name w:val="fn"/>
    <w:basedOn w:val="DefaultParagraphFont"/>
    <w:rsid w:val="00921494"/>
  </w:style>
  <w:style w:type="character" w:customStyle="1" w:styleId="subtitle1">
    <w:name w:val="subtitle1"/>
    <w:basedOn w:val="DefaultParagraphFont"/>
    <w:rsid w:val="00921494"/>
  </w:style>
  <w:style w:type="paragraph" w:customStyle="1" w:styleId="Style2">
    <w:name w:val="Style2"/>
    <w:basedOn w:val="Normal"/>
    <w:qFormat/>
    <w:rsid w:val="00921494"/>
    <w:pPr>
      <w:spacing w:before="0" w:line="276" w:lineRule="auto"/>
      <w:ind w:left="0"/>
    </w:pPr>
    <w:rPr>
      <w:rFonts w:cs="Arial"/>
      <w:sz w:val="24"/>
    </w:rPr>
  </w:style>
  <w:style w:type="character" w:customStyle="1" w:styleId="nobopen">
    <w:name w:val="nob open"/>
    <w:basedOn w:val="DefaultParagraphFont"/>
    <w:rsid w:val="00921494"/>
  </w:style>
  <w:style w:type="paragraph" w:styleId="EndnoteText">
    <w:name w:val="endnote text"/>
    <w:basedOn w:val="Normal"/>
    <w:link w:val="EndnoteTextChar"/>
    <w:rsid w:val="00921494"/>
    <w:pPr>
      <w:spacing w:before="0" w:after="0"/>
    </w:pPr>
    <w:rPr>
      <w:sz w:val="20"/>
      <w:szCs w:val="20"/>
    </w:rPr>
  </w:style>
  <w:style w:type="character" w:customStyle="1" w:styleId="EndnoteTextChar">
    <w:name w:val="Endnote Text Char"/>
    <w:basedOn w:val="DefaultParagraphFont"/>
    <w:link w:val="EndnoteText"/>
    <w:rsid w:val="00921494"/>
    <w:rPr>
      <w:rFonts w:ascii="Arial" w:hAnsi="Arial"/>
      <w:sz w:val="20"/>
      <w:szCs w:val="20"/>
    </w:rPr>
  </w:style>
  <w:style w:type="character" w:styleId="EndnoteReference">
    <w:name w:val="endnote reference"/>
    <w:basedOn w:val="DefaultParagraphFont"/>
    <w:rsid w:val="00921494"/>
    <w:rPr>
      <w:vertAlign w:val="superscript"/>
    </w:rPr>
  </w:style>
  <w:style w:type="paragraph" w:styleId="TableofFigures">
    <w:name w:val="table of figures"/>
    <w:basedOn w:val="Normal"/>
    <w:next w:val="Normal"/>
    <w:rsid w:val="00921494"/>
    <w:pPr>
      <w:spacing w:after="0"/>
      <w:ind w:left="0"/>
    </w:pPr>
  </w:style>
  <w:style w:type="paragraph" w:customStyle="1" w:styleId="mw-mmv-caption">
    <w:name w:val="mw-mmv-caption"/>
    <w:basedOn w:val="Normal"/>
    <w:rsid w:val="00921494"/>
    <w:pPr>
      <w:spacing w:beforeLines="1" w:afterLines="1"/>
      <w:ind w:left="0"/>
      <w:jc w:val="left"/>
    </w:pPr>
    <w:rPr>
      <w:rFonts w:ascii="Times" w:hAnsi="Times"/>
      <w:sz w:val="20"/>
      <w:szCs w:val="20"/>
    </w:rPr>
  </w:style>
  <w:style w:type="paragraph" w:customStyle="1" w:styleId="mw-mmv-image-desc">
    <w:name w:val="mw-mmv-image-desc"/>
    <w:basedOn w:val="Normal"/>
    <w:rsid w:val="00921494"/>
    <w:pPr>
      <w:spacing w:beforeLines="1" w:afterLines="1"/>
      <w:ind w:left="0"/>
      <w:jc w:val="left"/>
    </w:pPr>
    <w:rPr>
      <w:rFonts w:ascii="Times" w:hAnsi="Times"/>
      <w:sz w:val="20"/>
      <w:szCs w:val="20"/>
    </w:rPr>
  </w:style>
  <w:style w:type="paragraph" w:styleId="z-TopofForm">
    <w:name w:val="HTML Top of Form"/>
    <w:basedOn w:val="Normal"/>
    <w:next w:val="Normal"/>
    <w:link w:val="z-TopofFormChar"/>
    <w:hidden/>
    <w:uiPriority w:val="99"/>
    <w:unhideWhenUsed/>
    <w:rsid w:val="00921494"/>
    <w:pPr>
      <w:pBdr>
        <w:bottom w:val="single" w:sz="6" w:space="1" w:color="auto"/>
      </w:pBdr>
      <w:spacing w:beforeLines="1" w:afterLines="1"/>
      <w:ind w:left="0"/>
      <w:jc w:val="center"/>
    </w:pPr>
    <w:rPr>
      <w:vanish/>
      <w:sz w:val="16"/>
      <w:szCs w:val="16"/>
    </w:rPr>
  </w:style>
  <w:style w:type="character" w:customStyle="1" w:styleId="z-TopofFormChar">
    <w:name w:val="z-Top of Form Char"/>
    <w:basedOn w:val="DefaultParagraphFont"/>
    <w:link w:val="z-TopofForm"/>
    <w:uiPriority w:val="99"/>
    <w:rsid w:val="00921494"/>
    <w:rPr>
      <w:rFonts w:ascii="Arial" w:hAnsi="Arial"/>
      <w:vanish/>
      <w:sz w:val="16"/>
      <w:szCs w:val="16"/>
    </w:rPr>
  </w:style>
  <w:style w:type="paragraph" w:styleId="z-BottomofForm">
    <w:name w:val="HTML Bottom of Form"/>
    <w:basedOn w:val="Normal"/>
    <w:next w:val="Normal"/>
    <w:link w:val="z-BottomofFormChar"/>
    <w:hidden/>
    <w:uiPriority w:val="99"/>
    <w:unhideWhenUsed/>
    <w:rsid w:val="00921494"/>
    <w:pPr>
      <w:pBdr>
        <w:top w:val="single" w:sz="6" w:space="1" w:color="auto"/>
      </w:pBdr>
      <w:spacing w:beforeLines="1" w:afterLines="1"/>
      <w:ind w:left="0"/>
      <w:jc w:val="center"/>
    </w:pPr>
    <w:rPr>
      <w:vanish/>
      <w:sz w:val="16"/>
      <w:szCs w:val="16"/>
    </w:rPr>
  </w:style>
  <w:style w:type="character" w:customStyle="1" w:styleId="z-BottomofFormChar">
    <w:name w:val="z-Bottom of Form Char"/>
    <w:basedOn w:val="DefaultParagraphFont"/>
    <w:link w:val="z-BottomofForm"/>
    <w:uiPriority w:val="99"/>
    <w:rsid w:val="00921494"/>
    <w:rPr>
      <w:rFonts w:ascii="Arial" w:hAnsi="Arial"/>
      <w:vanish/>
      <w:sz w:val="16"/>
      <w:szCs w:val="16"/>
    </w:rPr>
  </w:style>
  <w:style w:type="character" w:customStyle="1" w:styleId="hit1searchexprexpr">
    <w:name w:val="hit1 searchexpr expr"/>
    <w:basedOn w:val="DefaultParagraphFont"/>
    <w:rsid w:val="00921494"/>
  </w:style>
  <w:style w:type="character" w:customStyle="1" w:styleId="searchexpr">
    <w:name w:val="searchexpr"/>
    <w:basedOn w:val="DefaultParagraphFont"/>
    <w:rsid w:val="00921494"/>
  </w:style>
  <w:style w:type="paragraph" w:customStyle="1" w:styleId="detailsubtitle">
    <w:name w:val="detailsubtitle"/>
    <w:basedOn w:val="Normal"/>
    <w:rsid w:val="00921494"/>
    <w:pPr>
      <w:spacing w:beforeLines="1" w:afterLines="1"/>
      <w:ind w:left="0"/>
      <w:jc w:val="left"/>
    </w:pPr>
    <w:rPr>
      <w:rFonts w:ascii="Times" w:hAnsi="Times"/>
      <w:sz w:val="20"/>
      <w:szCs w:val="20"/>
    </w:rPr>
  </w:style>
  <w:style w:type="character" w:customStyle="1" w:styleId="footertext">
    <w:name w:val="footertext"/>
    <w:basedOn w:val="DefaultParagraphFont"/>
    <w:rsid w:val="00813453"/>
  </w:style>
  <w:style w:type="paragraph" w:styleId="HTMLPreformatted">
    <w:name w:val="HTML Preformatted"/>
    <w:basedOn w:val="Normal"/>
    <w:link w:val="HTMLPreformattedChar"/>
    <w:uiPriority w:val="99"/>
    <w:rsid w:val="00BB25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left="0"/>
      <w:jc w:val="left"/>
    </w:pPr>
    <w:rPr>
      <w:rFonts w:ascii="Courier" w:hAnsi="Courier" w:cs="Courier"/>
      <w:sz w:val="20"/>
      <w:szCs w:val="20"/>
    </w:rPr>
  </w:style>
  <w:style w:type="character" w:customStyle="1" w:styleId="HTMLPreformattedChar">
    <w:name w:val="HTML Preformatted Char"/>
    <w:basedOn w:val="DefaultParagraphFont"/>
    <w:link w:val="HTMLPreformatted"/>
    <w:uiPriority w:val="99"/>
    <w:rsid w:val="00BB25AC"/>
    <w:rPr>
      <w:rFonts w:ascii="Courier" w:hAnsi="Courier" w:cs="Courier"/>
      <w:sz w:val="20"/>
      <w:szCs w:val="20"/>
    </w:rPr>
  </w:style>
</w:styles>
</file>

<file path=word/webSettings.xml><?xml version="1.0" encoding="utf-8"?>
<w:webSettings xmlns:r="http://schemas.openxmlformats.org/officeDocument/2006/relationships" xmlns:w="http://schemas.openxmlformats.org/wordprocessingml/2006/main">
  <w:divs>
    <w:div w:id="140194272">
      <w:bodyDiv w:val="1"/>
      <w:marLeft w:val="0"/>
      <w:marRight w:val="0"/>
      <w:marTop w:val="0"/>
      <w:marBottom w:val="0"/>
      <w:divBdr>
        <w:top w:val="none" w:sz="0" w:space="0" w:color="auto"/>
        <w:left w:val="none" w:sz="0" w:space="0" w:color="auto"/>
        <w:bottom w:val="none" w:sz="0" w:space="0" w:color="auto"/>
        <w:right w:val="none" w:sz="0" w:space="0" w:color="auto"/>
      </w:divBdr>
      <w:divsChild>
        <w:div w:id="1228761707">
          <w:marLeft w:val="0"/>
          <w:marRight w:val="0"/>
          <w:marTop w:val="0"/>
          <w:marBottom w:val="0"/>
          <w:divBdr>
            <w:top w:val="none" w:sz="0" w:space="0" w:color="auto"/>
            <w:left w:val="none" w:sz="0" w:space="0" w:color="auto"/>
            <w:bottom w:val="none" w:sz="0" w:space="0" w:color="auto"/>
            <w:right w:val="none" w:sz="0" w:space="0" w:color="auto"/>
          </w:divBdr>
        </w:div>
        <w:div w:id="1135298914">
          <w:marLeft w:val="0"/>
          <w:marRight w:val="0"/>
          <w:marTop w:val="0"/>
          <w:marBottom w:val="0"/>
          <w:divBdr>
            <w:top w:val="none" w:sz="0" w:space="0" w:color="auto"/>
            <w:left w:val="none" w:sz="0" w:space="0" w:color="auto"/>
            <w:bottom w:val="none" w:sz="0" w:space="0" w:color="auto"/>
            <w:right w:val="none" w:sz="0" w:space="0" w:color="auto"/>
          </w:divBdr>
        </w:div>
        <w:div w:id="1287739618">
          <w:marLeft w:val="0"/>
          <w:marRight w:val="0"/>
          <w:marTop w:val="0"/>
          <w:marBottom w:val="0"/>
          <w:divBdr>
            <w:top w:val="none" w:sz="0" w:space="0" w:color="auto"/>
            <w:left w:val="none" w:sz="0" w:space="0" w:color="auto"/>
            <w:bottom w:val="none" w:sz="0" w:space="0" w:color="auto"/>
            <w:right w:val="none" w:sz="0" w:space="0" w:color="auto"/>
          </w:divBdr>
        </w:div>
        <w:div w:id="1824007511">
          <w:marLeft w:val="0"/>
          <w:marRight w:val="0"/>
          <w:marTop w:val="0"/>
          <w:marBottom w:val="0"/>
          <w:divBdr>
            <w:top w:val="none" w:sz="0" w:space="0" w:color="auto"/>
            <w:left w:val="none" w:sz="0" w:space="0" w:color="auto"/>
            <w:bottom w:val="none" w:sz="0" w:space="0" w:color="auto"/>
            <w:right w:val="none" w:sz="0" w:space="0" w:color="auto"/>
          </w:divBdr>
        </w:div>
        <w:div w:id="165825142">
          <w:marLeft w:val="0"/>
          <w:marRight w:val="0"/>
          <w:marTop w:val="0"/>
          <w:marBottom w:val="0"/>
          <w:divBdr>
            <w:top w:val="none" w:sz="0" w:space="0" w:color="auto"/>
            <w:left w:val="none" w:sz="0" w:space="0" w:color="auto"/>
            <w:bottom w:val="none" w:sz="0" w:space="0" w:color="auto"/>
            <w:right w:val="none" w:sz="0" w:space="0" w:color="auto"/>
          </w:divBdr>
        </w:div>
        <w:div w:id="549535562">
          <w:marLeft w:val="0"/>
          <w:marRight w:val="0"/>
          <w:marTop w:val="0"/>
          <w:marBottom w:val="0"/>
          <w:divBdr>
            <w:top w:val="none" w:sz="0" w:space="0" w:color="auto"/>
            <w:left w:val="none" w:sz="0" w:space="0" w:color="auto"/>
            <w:bottom w:val="none" w:sz="0" w:space="0" w:color="auto"/>
            <w:right w:val="none" w:sz="0" w:space="0" w:color="auto"/>
          </w:divBdr>
        </w:div>
      </w:divsChild>
    </w:div>
    <w:div w:id="271670715">
      <w:bodyDiv w:val="1"/>
      <w:marLeft w:val="0"/>
      <w:marRight w:val="0"/>
      <w:marTop w:val="0"/>
      <w:marBottom w:val="0"/>
      <w:divBdr>
        <w:top w:val="none" w:sz="0" w:space="0" w:color="auto"/>
        <w:left w:val="none" w:sz="0" w:space="0" w:color="auto"/>
        <w:bottom w:val="none" w:sz="0" w:space="0" w:color="auto"/>
        <w:right w:val="none" w:sz="0" w:space="0" w:color="auto"/>
      </w:divBdr>
    </w:div>
    <w:div w:id="686054105">
      <w:bodyDiv w:val="1"/>
      <w:marLeft w:val="0"/>
      <w:marRight w:val="0"/>
      <w:marTop w:val="0"/>
      <w:marBottom w:val="0"/>
      <w:divBdr>
        <w:top w:val="none" w:sz="0" w:space="0" w:color="auto"/>
        <w:left w:val="none" w:sz="0" w:space="0" w:color="auto"/>
        <w:bottom w:val="none" w:sz="0" w:space="0" w:color="auto"/>
        <w:right w:val="none" w:sz="0" w:space="0" w:color="auto"/>
      </w:divBdr>
    </w:div>
    <w:div w:id="1206598956">
      <w:bodyDiv w:val="1"/>
      <w:marLeft w:val="0"/>
      <w:marRight w:val="0"/>
      <w:marTop w:val="0"/>
      <w:marBottom w:val="0"/>
      <w:divBdr>
        <w:top w:val="none" w:sz="0" w:space="0" w:color="auto"/>
        <w:left w:val="none" w:sz="0" w:space="0" w:color="auto"/>
        <w:bottom w:val="none" w:sz="0" w:space="0" w:color="auto"/>
        <w:right w:val="none" w:sz="0" w:space="0" w:color="auto"/>
      </w:divBdr>
    </w:div>
    <w:div w:id="1481923641">
      <w:bodyDiv w:val="1"/>
      <w:marLeft w:val="0"/>
      <w:marRight w:val="0"/>
      <w:marTop w:val="0"/>
      <w:marBottom w:val="0"/>
      <w:divBdr>
        <w:top w:val="none" w:sz="0" w:space="0" w:color="auto"/>
        <w:left w:val="none" w:sz="0" w:space="0" w:color="auto"/>
        <w:bottom w:val="none" w:sz="0" w:space="0" w:color="auto"/>
        <w:right w:val="none" w:sz="0" w:space="0" w:color="auto"/>
      </w:divBdr>
    </w:div>
    <w:div w:id="150721083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png"/><Relationship Id="rId20" Type="http://schemas.openxmlformats.org/officeDocument/2006/relationships/image" Target="media/image14.jpeg"/><Relationship Id="rId21" Type="http://schemas.openxmlformats.org/officeDocument/2006/relationships/hyperlink" Target="http://ler.letras.up.pt/uploads/ficheiros/10231.pdf" TargetMode="External"/><Relationship Id="rId22" Type="http://schemas.openxmlformats.org/officeDocument/2006/relationships/hyperlink" Target="http://www.cet-e-quinhentos.com/obras" TargetMode="External"/><Relationship Id="rId23" Type="http://schemas.openxmlformats.org/officeDocument/2006/relationships/hyperlink" Target="http://www.jstor.org/action/showPublisher?publisherCode=warburg" TargetMode="External"/><Relationship Id="rId24" Type="http://schemas.openxmlformats.org/officeDocument/2006/relationships/hyperlink" Target="http://www.jstor.org/stable/751396" TargetMode="External"/><Relationship Id="rId25" Type="http://schemas.openxmlformats.org/officeDocument/2006/relationships/hyperlink" Target="http://onlinelibrary.wiley.com/doi/10.1002/xrs.2476/pdf" TargetMode="External"/><Relationship Id="rId26" Type="http://schemas.openxmlformats.org/officeDocument/2006/relationships/hyperlink" Target="https://www.ucm.es/data/cont/docs/621-2014-06-11-Danza%20macabra.pdf" TargetMode="Externa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hyperlink" Target="http://library.law.yale.edu/sites/default/files/images/Damhoudere%201572.jpg"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png"/></Relationships>
</file>

<file path=word/_rels/footnotes.xml.rels><?xml version="1.0" encoding="UTF-8" standalone="yes"?>
<Relationships xmlns="http://schemas.openxmlformats.org/package/2006/relationships"><Relationship Id="rId3" Type="http://schemas.openxmlformats.org/officeDocument/2006/relationships/hyperlink" Target="http://upload.wikimedia.org/wikipedia/commons/7/75/Giotto_-_Scrovegni_-_-50-_-_Injustice.jpg" TargetMode="External"/><Relationship Id="rId4" Type="http://schemas.openxmlformats.org/officeDocument/2006/relationships/hyperlink" Target="http://gallica.bnf.fr/ark:/12148/btv1b8609551c/f35.zoom" TargetMode="External"/><Relationship Id="rId5" Type="http://schemas.openxmlformats.org/officeDocument/2006/relationships/hyperlink" Target="http://www.cet-e-quinhentos.com/obras" TargetMode="External"/><Relationship Id="rId6" Type="http://schemas.openxmlformats.org/officeDocument/2006/relationships/hyperlink" Target="http://www.britishmuseum.org/research/collection_online/collection_object_details/collection_image_gallery.aspx?assetId=129730&amp;objectId=1534943&amp;partId=1" TargetMode="External"/><Relationship Id="rId7" Type="http://schemas.openxmlformats.org/officeDocument/2006/relationships/hyperlink" Target="http://www.britishmuseum.org/research/collection_online/collection_object_details.aspx?objectId=1486150&amp;partId=1&amp;searchText=justice+and+prudence&amp;images=true&amp;from=ad&amp;fromDate=1500&amp;to=ad&amp;toDate=1600&amp;page=1" TargetMode="External"/><Relationship Id="rId8" Type="http://schemas.openxmlformats.org/officeDocument/2006/relationships/hyperlink" Target="http://en.wikipedia.org/wiki/The_Allegory_of_Good_and_Bad_Government" TargetMode="External"/><Relationship Id="rId9" Type="http://schemas.openxmlformats.org/officeDocument/2006/relationships/hyperlink" Target="http://www.nationalgallery.org.uk/paintings/bronzino-an-allegory-with-venus-and-cupid" TargetMode="External"/><Relationship Id="rId10" Type="http://schemas.openxmlformats.org/officeDocument/2006/relationships/hyperlink" Target="http://www.cet-e-quinhentos.com/obras" TargetMode="External"/><Relationship Id="rId1" Type="http://schemas.openxmlformats.org/officeDocument/2006/relationships/hyperlink" Target="http://www.cet-e-quinhentos.com/obras" TargetMode="External"/><Relationship Id="rId2" Type="http://schemas.openxmlformats.org/officeDocument/2006/relationships/hyperlink" Target="http://upload.wikimedia.org/wikipedia/commons/b/bd/Niccol%C3%B2_Semitecolo_-_Two_Christians_before_the_Judges.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32</Pages>
  <Words>8458</Words>
  <Characters>48212</Characters>
  <Application>Microsoft Word 12.0.0</Application>
  <DocSecurity>0</DocSecurity>
  <Lines>401</Lines>
  <Paragraphs>96</Paragraphs>
  <ScaleCrop>false</ScaleCrop>
  <LinksUpToDate>false</LinksUpToDate>
  <CharactersWithSpaces>59207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Teresa</dc:creator>
  <cp:keywords/>
  <cp:lastModifiedBy>Teresa</cp:lastModifiedBy>
  <cp:revision>2</cp:revision>
  <cp:lastPrinted>2015-11-01T22:21:00Z</cp:lastPrinted>
  <dcterms:created xsi:type="dcterms:W3CDTF">2016-01-09T02:35:00Z</dcterms:created>
  <dcterms:modified xsi:type="dcterms:W3CDTF">2016-01-09T02:35:00Z</dcterms:modified>
</cp:coreProperties>
</file>