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17" w:rsidRDefault="00505424" w:rsidP="00816417">
      <w:r>
        <w:t xml:space="preserve">4 </w:t>
      </w:r>
      <w:proofErr w:type="gramStart"/>
      <w:r>
        <w:t xml:space="preserve">- </w:t>
      </w:r>
      <w:r w:rsidR="00CF1967">
        <w:t xml:space="preserve"> </w:t>
      </w:r>
      <w:r w:rsidR="000B468B">
        <w:t>INDICADORES</w:t>
      </w:r>
      <w:proofErr w:type="gramEnd"/>
      <w:r w:rsidR="000B468B">
        <w:t xml:space="preserve"> </w:t>
      </w:r>
      <w:r w:rsidR="00AF522B">
        <w:t xml:space="preserve"> COM REPERCUSSÃO N</w:t>
      </w:r>
      <w:r w:rsidR="000B468B">
        <w:t>O HIV</w:t>
      </w:r>
      <w:r w:rsidR="00890C6B">
        <w:t>/SIDA</w:t>
      </w:r>
    </w:p>
    <w:p w:rsidR="001B7469" w:rsidRDefault="001B7469" w:rsidP="00621CDD">
      <w:pPr>
        <w:jc w:val="both"/>
      </w:pPr>
    </w:p>
    <w:p w:rsidR="00835AD9" w:rsidRDefault="00835AD9" w:rsidP="00835AD9"/>
    <w:p w:rsidR="00835AD9" w:rsidRDefault="00835AD9" w:rsidP="00835AD9">
      <w:pPr>
        <w:pStyle w:val="PargrafodaLista"/>
        <w:numPr>
          <w:ilvl w:val="1"/>
          <w:numId w:val="8"/>
        </w:numPr>
      </w:pPr>
      <w:r>
        <w:t xml:space="preserve">INDICADORES SOCIO-CULTURAIS </w:t>
      </w:r>
    </w:p>
    <w:p w:rsidR="004349C4" w:rsidRDefault="004349C4" w:rsidP="004349C4"/>
    <w:p w:rsidR="00FD16B4" w:rsidRDefault="004349C4" w:rsidP="00CF1967">
      <w:pPr>
        <w:pStyle w:val="PargrafodaLista"/>
        <w:numPr>
          <w:ilvl w:val="2"/>
          <w:numId w:val="8"/>
        </w:numPr>
      </w:pPr>
      <w:r>
        <w:t>Con</w:t>
      </w:r>
      <w:r w:rsidR="003E1039">
        <w:t>hecimentos, Atitudes e Práticas</w:t>
      </w:r>
    </w:p>
    <w:p w:rsidR="00DA516C" w:rsidRDefault="00F82F81" w:rsidP="00DA516C">
      <w:pPr>
        <w:jc w:val="both"/>
      </w:pPr>
      <w:r>
        <w:t>CONHECIMENTOS - d</w:t>
      </w:r>
      <w:r w:rsidR="00FD16B4">
        <w:t>e forma geral existe um grande desconhecimento entre as mulheres relativ</w:t>
      </w:r>
      <w:r w:rsidR="00DA516C">
        <w:t>amente aos meios de prevenção do</w:t>
      </w:r>
      <w:r w:rsidR="00FD16B4">
        <w:t xml:space="preserve"> SIDA, de forma que, se observarmos o gráfico abaixo</w:t>
      </w:r>
      <w:r w:rsidR="00222242">
        <w:t xml:space="preserve"> constatamos que, os homens mostram estar mais informados</w:t>
      </w:r>
      <w:r w:rsidR="00053F36">
        <w:t xml:space="preserve"> que as mulheres dos meios de prevenção do SIDA e de que a forma de prevenção mais conhecida é o preservativo (70,3%).</w:t>
      </w:r>
    </w:p>
    <w:p w:rsidR="001C09FE" w:rsidRDefault="001C09FE" w:rsidP="0018064C">
      <w:pPr>
        <w:spacing w:after="0"/>
      </w:pPr>
    </w:p>
    <w:p w:rsidR="0018064C" w:rsidRDefault="0018064C" w:rsidP="0018064C">
      <w:pPr>
        <w:spacing w:after="0"/>
        <w:rPr>
          <w:sz w:val="18"/>
          <w:szCs w:val="18"/>
        </w:rPr>
      </w:pPr>
      <w:r>
        <w:t xml:space="preserve">Gráfico </w:t>
      </w:r>
      <w:proofErr w:type="gramStart"/>
      <w:r w:rsidR="005F12CE">
        <w:t>8</w:t>
      </w:r>
      <w:r w:rsidR="00505424">
        <w:t xml:space="preserve"> </w:t>
      </w:r>
      <w:r>
        <w:t xml:space="preserve"> </w:t>
      </w:r>
      <w:proofErr w:type="gramEnd"/>
      <w:r>
        <w:t>– Percentagem  de  Homens e Mulheres de 15-49 Anos que Conhecem Meios para a Prevenção do Sida, 2003.</w:t>
      </w:r>
      <w:r>
        <w:rPr>
          <w:noProof/>
          <w:lang w:eastAsia="pt-PT"/>
        </w:rPr>
        <w:drawing>
          <wp:inline distT="0" distB="0" distL="0" distR="0">
            <wp:extent cx="5400040" cy="2875271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Fonte INE: M</w:t>
      </w:r>
      <w:r w:rsidRPr="0007751C">
        <w:rPr>
          <w:sz w:val="18"/>
          <w:szCs w:val="18"/>
        </w:rPr>
        <w:t xml:space="preserve">ulheres o </w:t>
      </w:r>
      <w:r>
        <w:rPr>
          <w:sz w:val="18"/>
          <w:szCs w:val="18"/>
        </w:rPr>
        <w:t>H</w:t>
      </w:r>
      <w:r w:rsidRPr="0007751C">
        <w:rPr>
          <w:sz w:val="18"/>
          <w:szCs w:val="18"/>
        </w:rPr>
        <w:t xml:space="preserve">omens </w:t>
      </w:r>
      <w:r>
        <w:rPr>
          <w:sz w:val="18"/>
          <w:szCs w:val="18"/>
        </w:rPr>
        <w:t>em Moçambique - I</w:t>
      </w:r>
      <w:r w:rsidRPr="0007751C">
        <w:rPr>
          <w:sz w:val="18"/>
          <w:szCs w:val="18"/>
        </w:rPr>
        <w:t xml:space="preserve">ndicadores </w:t>
      </w:r>
      <w:proofErr w:type="spellStart"/>
      <w:r>
        <w:rPr>
          <w:sz w:val="18"/>
          <w:szCs w:val="18"/>
        </w:rPr>
        <w:t>S</w:t>
      </w:r>
      <w:r w:rsidRPr="0007751C">
        <w:rPr>
          <w:sz w:val="18"/>
          <w:szCs w:val="18"/>
        </w:rPr>
        <w:t>eleccionados</w:t>
      </w:r>
      <w:proofErr w:type="spellEnd"/>
      <w:r w:rsidRPr="0007751C">
        <w:rPr>
          <w:sz w:val="18"/>
          <w:szCs w:val="18"/>
        </w:rPr>
        <w:t xml:space="preserve"> </w:t>
      </w:r>
      <w:r>
        <w:rPr>
          <w:sz w:val="18"/>
          <w:szCs w:val="18"/>
        </w:rPr>
        <w:t>de Género –</w:t>
      </w:r>
      <w:r w:rsidRPr="0007751C">
        <w:rPr>
          <w:sz w:val="18"/>
          <w:szCs w:val="18"/>
        </w:rPr>
        <w:t xml:space="preserve"> 2008</w:t>
      </w:r>
    </w:p>
    <w:p w:rsidR="0018064C" w:rsidRDefault="0018064C" w:rsidP="00DA516C">
      <w:pPr>
        <w:jc w:val="both"/>
      </w:pPr>
    </w:p>
    <w:p w:rsidR="00CF32CE" w:rsidRDefault="00CF32CE" w:rsidP="00DA516C">
      <w:pPr>
        <w:jc w:val="both"/>
      </w:pPr>
      <w:r>
        <w:t xml:space="preserve">Olhando o gráfico, e por subtração da </w:t>
      </w:r>
      <w:proofErr w:type="gramStart"/>
      <w:r w:rsidR="007F2BFA">
        <w:t>p</w:t>
      </w:r>
      <w:r>
        <w:t xml:space="preserve">ercentagem </w:t>
      </w:r>
      <w:r w:rsidR="007F2BFA">
        <w:t xml:space="preserve"> 70</w:t>
      </w:r>
      <w:proofErr w:type="gramEnd"/>
      <w:r w:rsidR="007F2BFA">
        <w:t>,3% a 100%, chegamos à conclusão, ao invés,  de</w:t>
      </w:r>
      <w:r w:rsidR="00E14C1C">
        <w:t xml:space="preserve"> </w:t>
      </w:r>
      <w:r w:rsidR="007F2BFA">
        <w:t xml:space="preserve"> que os que desconhecem o uso de preservativo é de 29,7%</w:t>
      </w:r>
      <w:r w:rsidR="00E14C1C">
        <w:t>,</w:t>
      </w:r>
      <w:r w:rsidR="007F2BFA">
        <w:t xml:space="preserve"> e </w:t>
      </w:r>
      <w:r w:rsidR="00E14C1C">
        <w:t xml:space="preserve">de </w:t>
      </w:r>
      <w:r w:rsidR="007F2BFA">
        <w:t>que a percentagem da subtração de 66,5% a 100%</w:t>
      </w:r>
      <w:r w:rsidR="00E14C1C">
        <w:t>,</w:t>
      </w:r>
      <w:r w:rsidR="007F2BFA">
        <w:t xml:space="preserve"> é de</w:t>
      </w:r>
      <w:r w:rsidR="00E14C1C">
        <w:t xml:space="preserve"> 33,5% </w:t>
      </w:r>
      <w:r w:rsidR="003E1039">
        <w:t>,</w:t>
      </w:r>
      <w:r w:rsidR="00E14C1C">
        <w:t xml:space="preserve"> que é os que representam os que não sabem que limitar o número de parceiros</w:t>
      </w:r>
      <w:r w:rsidR="003C02AF">
        <w:t xml:space="preserve"> é uma forma de prevenção</w:t>
      </w:r>
      <w:r w:rsidR="003E1039">
        <w:t>.</w:t>
      </w:r>
      <w:r w:rsidR="003C02AF">
        <w:t xml:space="preserve"> </w:t>
      </w:r>
      <w:r w:rsidR="003E1039">
        <w:t>E a</w:t>
      </w:r>
      <w:r w:rsidR="003C02AF">
        <w:t xml:space="preserve"> abstinência, </w:t>
      </w:r>
      <w:r w:rsidR="003E1039">
        <w:t xml:space="preserve">atinge </w:t>
      </w:r>
      <w:proofErr w:type="gramStart"/>
      <w:r w:rsidR="003E1039">
        <w:t xml:space="preserve">uma </w:t>
      </w:r>
      <w:r w:rsidR="003C02AF">
        <w:t xml:space="preserve"> percentagem</w:t>
      </w:r>
      <w:proofErr w:type="gramEnd"/>
      <w:r w:rsidR="003C02AF">
        <w:t xml:space="preserve"> de desconhecimento  de 36,7%.</w:t>
      </w:r>
    </w:p>
    <w:p w:rsidR="00EC4CEA" w:rsidRDefault="00EC4CEA" w:rsidP="00EC4CEA">
      <w:pPr>
        <w:jc w:val="both"/>
      </w:pPr>
    </w:p>
    <w:p w:rsidR="00AF522B" w:rsidRDefault="004349C4" w:rsidP="00AF522B">
      <w:pPr>
        <w:jc w:val="both"/>
      </w:pPr>
      <w:r>
        <w:lastRenderedPageBreak/>
        <w:t>O</w:t>
      </w:r>
      <w:r w:rsidR="00AF522B">
        <w:t xml:space="preserve">utras formas de prevenção são a abstinência e a fidelidade entendidos como método de prevenção mais eficazes que o uso de preservativo (defendidos pela administração </w:t>
      </w:r>
      <w:r w:rsidR="00BE2B24">
        <w:t xml:space="preserve">George W Bush, </w:t>
      </w:r>
      <w:proofErr w:type="spellStart"/>
      <w:r w:rsidR="00BE2B24">
        <w:t>cit</w:t>
      </w:r>
      <w:proofErr w:type="spellEnd"/>
      <w:r w:rsidR="00BE2B24">
        <w:t xml:space="preserve"> in PASSADOR e THOMAZ, 2006: 282).</w:t>
      </w:r>
    </w:p>
    <w:p w:rsidR="00FC424B" w:rsidRDefault="00BE2B24" w:rsidP="00FC424B">
      <w:pPr>
        <w:jc w:val="both"/>
      </w:pPr>
      <w:r>
        <w:t>Para países como Moçambique u</w:t>
      </w:r>
      <w:r w:rsidR="00FC424B">
        <w:t xml:space="preserve">ma potencial fonte de risco é a </w:t>
      </w:r>
      <w:r>
        <w:t>Poligamia</w:t>
      </w:r>
      <w:r w:rsidR="00FC424B">
        <w:t>; usualmente significa múltiplas esposas,</w:t>
      </w:r>
      <w:r>
        <w:t xml:space="preserve"> mais do que múltiplos maridos </w:t>
      </w:r>
      <w:r w:rsidR="00175DDD">
        <w:t>(REID,</w:t>
      </w:r>
      <w:r w:rsidR="00FC424B">
        <w:t xml:space="preserve"> 1995: 14)</w:t>
      </w:r>
      <w:r>
        <w:t>.</w:t>
      </w:r>
      <w:r w:rsidR="00FC1616">
        <w:t xml:space="preserve"> Uma extensão destas práticas antropológicas é a mulher ser desposada pelo irmão do marido, como consequência da morte deste (WHO, 199_: 10).</w:t>
      </w:r>
    </w:p>
    <w:p w:rsidR="00FC1616" w:rsidRDefault="00FC1616" w:rsidP="000D4A7E">
      <w:pPr>
        <w:jc w:val="both"/>
      </w:pPr>
      <w:r>
        <w:t xml:space="preserve">Nos Ritos de Iniciação e Circuncisão, </w:t>
      </w:r>
      <w:r w:rsidR="00380B55">
        <w:t xml:space="preserve">bem como o uso de instrumentos cortantes e/ou perfurantes, </w:t>
      </w:r>
      <w:r>
        <w:t>como qualquer outro processo</w:t>
      </w:r>
      <w:r w:rsidR="00380B55">
        <w:t xml:space="preserve"> formal de educação sexual, devem observar-se normas de higiene pessoal e regras de assepsia, contextualizada em termos de responsabilidade, uma vez que estas práticas</w:t>
      </w:r>
      <w:r w:rsidR="00B85665">
        <w:t xml:space="preserve">, mexendo no sangue, podem ser facilitadoras da difusão do </w:t>
      </w:r>
      <w:proofErr w:type="gramStart"/>
      <w:r w:rsidR="00B85665">
        <w:t>HIV</w:t>
      </w:r>
      <w:proofErr w:type="gramEnd"/>
      <w:r w:rsidR="00B85665">
        <w:t>/SIDA (PENCS, 2004: 45)</w:t>
      </w:r>
    </w:p>
    <w:p w:rsidR="00251004" w:rsidRDefault="00251004" w:rsidP="000D4A7E">
      <w:pPr>
        <w:jc w:val="both"/>
      </w:pPr>
    </w:p>
    <w:p w:rsidR="00654215" w:rsidRDefault="00654215" w:rsidP="00654215">
      <w:pPr>
        <w:jc w:val="both"/>
      </w:pPr>
      <w:r>
        <w:t>4.1.</w:t>
      </w:r>
      <w:proofErr w:type="gramStart"/>
      <w:r>
        <w:t>3  Poder</w:t>
      </w:r>
      <w:proofErr w:type="gramEnd"/>
      <w:r>
        <w:t xml:space="preserve"> de Negociação da Mulher</w:t>
      </w:r>
    </w:p>
    <w:p w:rsidR="008227B1" w:rsidRDefault="008227B1" w:rsidP="00654215">
      <w:pPr>
        <w:jc w:val="both"/>
      </w:pPr>
      <w:r>
        <w:t xml:space="preserve">Outro fator </w:t>
      </w:r>
      <w:proofErr w:type="spellStart"/>
      <w:r>
        <w:t>socio-cultural</w:t>
      </w:r>
      <w:proofErr w:type="spellEnd"/>
      <w:r>
        <w:t xml:space="preserve"> que está de prevenção ao </w:t>
      </w:r>
      <w:proofErr w:type="gramStart"/>
      <w:r>
        <w:t>HIV</w:t>
      </w:r>
      <w:proofErr w:type="gramEnd"/>
      <w:r>
        <w:t>/SIDA</w:t>
      </w:r>
      <w:r w:rsidR="005B03FE">
        <w:t xml:space="preserve"> é o acesso desigual aos recursos, ou seja, cujas variáveis dependentes titulares são: o analfabetismo, donde decorre a subserviência</w:t>
      </w:r>
      <w:r w:rsidR="0009705E">
        <w:t xml:space="preserve"> social (autoridade na </w:t>
      </w:r>
      <w:proofErr w:type="gramStart"/>
      <w:r w:rsidR="0009705E">
        <w:t>família),  sexual</w:t>
      </w:r>
      <w:proofErr w:type="gramEnd"/>
      <w:r w:rsidR="0009705E">
        <w:t xml:space="preserve"> e dependência económica na dominância masculina, na tomada de decisões (REID, 1995: 10)</w:t>
      </w:r>
      <w:r w:rsidR="00384E41">
        <w:t xml:space="preserve">. Importante é aprender a negociar sexo seguro e relacionar com o uso de preservativo, como próprio do casamento, uma vez que grande parte das mulheres infetadas pelo </w:t>
      </w:r>
      <w:proofErr w:type="gramStart"/>
      <w:r w:rsidR="00384E41">
        <w:t>HIV</w:t>
      </w:r>
      <w:proofErr w:type="gramEnd"/>
      <w:r w:rsidR="00384E41">
        <w:t>, foram-no pelo seu marido/parceiro regular (REID, 1995:12).</w:t>
      </w:r>
    </w:p>
    <w:p w:rsidR="00384E41" w:rsidRDefault="00384E41" w:rsidP="00654215">
      <w:pPr>
        <w:jc w:val="both"/>
      </w:pPr>
    </w:p>
    <w:p w:rsidR="00A97D57" w:rsidRDefault="001B011F" w:rsidP="00A97D57">
      <w:pPr>
        <w:pStyle w:val="PargrafodaLista"/>
        <w:numPr>
          <w:ilvl w:val="2"/>
          <w:numId w:val="13"/>
        </w:numPr>
        <w:jc w:val="both"/>
      </w:pPr>
      <w:r>
        <w:t>Prática de Relações Homossexuais</w:t>
      </w:r>
      <w:r w:rsidR="00D87867">
        <w:t>, e Toxicodependência</w:t>
      </w:r>
    </w:p>
    <w:p w:rsidR="00C70BE2" w:rsidRDefault="00C70BE2" w:rsidP="00C70BE2">
      <w:r w:rsidRPr="00C70BE2">
        <w:rPr>
          <w:noProof/>
          <w:lang w:eastAsia="pt-PT"/>
        </w:rPr>
        <w:drawing>
          <wp:inline distT="0" distB="0" distL="0" distR="0">
            <wp:extent cx="4804914" cy="3278038"/>
            <wp:effectExtent l="19050" t="0" r="0" b="0"/>
            <wp:docPr id="1" name="Objec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5851525"/>
                      <a:chOff x="457200" y="274638"/>
                      <a:chExt cx="8229600" cy="5851525"/>
                    </a:xfrm>
                  </a:grpSpPr>
                  <a:sp>
                    <a:nvSpPr>
                      <a:cNvPr id="2" name="Título 1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pt-PT" dirty="0" smtClean="0"/>
                            <a:t>Homossexuais</a:t>
                          </a:r>
                          <a:endParaRPr lang="pt-PT" dirty="0"/>
                        </a:p>
                      </a:txBody>
                      <a:useSpRect/>
                    </a:txSp>
                  </a:sp>
                  <a:graphicFrame>
                    <a:nvGraphicFramePr>
                      <a:cNvPr id="6" name="Marcador de Posição de Conteúdo 5"/>
                      <a:cNvGraphicFramePr>
                        <a:graphicFrameLocks noGrp="1"/>
                      </a:cNvGraphicFramePr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8"/>
                      </a:graphicData>
                    </a:graphic>
                    <a:xfrm>
                      <a:off x="457200" y="1600200"/>
                      <a:ext cx="4038600" cy="4525963"/>
                    </a:xfrm>
                  </a:graphicFrame>
                  <a:sp>
                    <a:nvSpPr>
                      <a:cNvPr id="7" name="Marcador de Posição de Conteúdo 6"/>
                      <a:cNvSpPr>
                        <a:spLocks noGrp="1"/>
                      </a:cNvSpPr>
                    </a:nvSpPr>
                    <a:spPr>
                      <a:xfrm>
                        <a:off x="4648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 fontScale="85000" lnSpcReduction="10000"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pt-PT" dirty="0" smtClean="0"/>
                            <a:t>Este indicador constitui –se um comportamento de risco, por mexer com sangue, esperma e lágrimas.</a:t>
                          </a:r>
                        </a:p>
                        <a:p>
                          <a:pPr algn="just">
                            <a:buNone/>
                          </a:pPr>
                          <a:r>
                            <a:rPr lang="pt-PT" dirty="0" smtClean="0"/>
                            <a:t>Faz verificar a tese de que as mulheres são maioritariamente infetadas e de que constituem um grupo modelados antropologicamente  pelas etnias e confissões religiosas</a:t>
                          </a:r>
                        </a:p>
                        <a:p>
                          <a:pPr>
                            <a:buNone/>
                          </a:pPr>
                          <a:endParaRPr lang="pt-PT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B2F0E" w:rsidRDefault="00632180" w:rsidP="00EB2F0E">
      <w:pPr>
        <w:jc w:val="both"/>
      </w:pPr>
      <w:r>
        <w:lastRenderedPageBreak/>
        <w:t>RELAÇÕES HOMOSSEXUAIS - n</w:t>
      </w:r>
      <w:r w:rsidR="0012280E">
        <w:t>ão h</w:t>
      </w:r>
      <w:r w:rsidR="00A94400">
        <w:t xml:space="preserve">á </w:t>
      </w:r>
      <w:r w:rsidR="0012280E">
        <w:t>estudos</w:t>
      </w:r>
      <w:r w:rsidR="00A94400">
        <w:t xml:space="preserve"> </w:t>
      </w:r>
      <w:r w:rsidR="0012280E">
        <w:t xml:space="preserve">em Moçambique, </w:t>
      </w:r>
      <w:r w:rsidR="00A94400">
        <w:t>de ocorrência de Práticas Homossexuais</w:t>
      </w:r>
      <w:r w:rsidR="0012280E">
        <w:t xml:space="preserve">, </w:t>
      </w:r>
      <w:r w:rsidR="00A94400">
        <w:t xml:space="preserve">quer como Ato Ritual, quer por </w:t>
      </w:r>
      <w:r w:rsidR="0012280E">
        <w:t>O</w:t>
      </w:r>
      <w:r w:rsidR="00A94400">
        <w:t xml:space="preserve">rientação </w:t>
      </w:r>
      <w:r w:rsidR="0012280E">
        <w:t>S</w:t>
      </w:r>
      <w:r w:rsidR="00A94400">
        <w:t>exual, quer ainda como</w:t>
      </w:r>
      <w:r w:rsidR="0012280E">
        <w:t xml:space="preserve"> P</w:t>
      </w:r>
      <w:r w:rsidR="00175DDD">
        <w:t>rática de Sexo Comercial (PENCS,</w:t>
      </w:r>
      <w:r w:rsidR="0012280E">
        <w:t xml:space="preserve"> 2004: 46). No entanto, há entrevistas a entidades oficiais, li</w:t>
      </w:r>
      <w:r w:rsidR="002C78A7">
        <w:t xml:space="preserve">gadas ao sistema prisional, referindo a ocorrência de Práticas Homossexuais nas </w:t>
      </w:r>
      <w:r>
        <w:t>C</w:t>
      </w:r>
      <w:r w:rsidR="002C78A7">
        <w:t>adeias.</w:t>
      </w:r>
    </w:p>
    <w:p w:rsidR="002C78A7" w:rsidRDefault="00632180" w:rsidP="00EB2F0E">
      <w:pPr>
        <w:jc w:val="both"/>
      </w:pPr>
      <w:r>
        <w:t>TOXICODEPENDÊNCIA - I</w:t>
      </w:r>
      <w:r w:rsidR="002C78A7">
        <w:t xml:space="preserve">nformação disponível sobre o uso de drogas na propagação do </w:t>
      </w:r>
      <w:proofErr w:type="gramStart"/>
      <w:r w:rsidR="002C78A7">
        <w:t>HIV</w:t>
      </w:r>
      <w:proofErr w:type="gramEnd"/>
      <w:r w:rsidR="002C78A7">
        <w:t xml:space="preserve">/SIDA, </w:t>
      </w:r>
      <w:r w:rsidR="00544CB0">
        <w:t>pode resultar no risco dire</w:t>
      </w:r>
      <w:r w:rsidR="002C78A7">
        <w:t>to à infeção</w:t>
      </w:r>
      <w:r w:rsidR="00544CB0">
        <w:t xml:space="preserve"> pelo consumo de estupefacientes, sobretudo de </w:t>
      </w:r>
      <w:r w:rsidR="00544CB0" w:rsidRPr="00014A61">
        <w:rPr>
          <w:rFonts w:cstheme="minorHAnsi"/>
          <w:caps/>
        </w:rPr>
        <w:t>drogas injetáveis</w:t>
      </w:r>
      <w:r w:rsidR="00544CB0">
        <w:t xml:space="preserve">. Devido </w:t>
      </w:r>
      <w:r w:rsidR="001B011F">
        <w:t>ao estado psicológico</w:t>
      </w:r>
      <w:r w:rsidR="00544CB0">
        <w:t xml:space="preserve"> do consumidor de droga, pode inferir-se que este grupo corre maiores riscos de contrair o vírus ou infetar os seus parceiros. Neste sentido, o uso de drogas está no mesmo patamar</w:t>
      </w:r>
      <w:r w:rsidR="001B011F">
        <w:t xml:space="preserve"> que o </w:t>
      </w:r>
      <w:r w:rsidR="001B011F" w:rsidRPr="00014A61">
        <w:rPr>
          <w:caps/>
        </w:rPr>
        <w:t>consumo de álcool</w:t>
      </w:r>
      <w:r w:rsidR="001B011F">
        <w:t xml:space="preserve">, constituindo-se </w:t>
      </w:r>
      <w:r w:rsidR="001B011F" w:rsidRPr="00014A61">
        <w:rPr>
          <w:caps/>
        </w:rPr>
        <w:t xml:space="preserve">ambos de </w:t>
      </w:r>
      <w:proofErr w:type="gramStart"/>
      <w:r w:rsidR="001B011F" w:rsidRPr="00014A61">
        <w:rPr>
          <w:caps/>
        </w:rPr>
        <w:t xml:space="preserve">comportamentos </w:t>
      </w:r>
      <w:r w:rsidR="008C23D6">
        <w:rPr>
          <w:caps/>
        </w:rPr>
        <w:t xml:space="preserve"> </w:t>
      </w:r>
      <w:r w:rsidR="001B011F" w:rsidRPr="00014A61">
        <w:rPr>
          <w:caps/>
        </w:rPr>
        <w:t>de</w:t>
      </w:r>
      <w:proofErr w:type="gramEnd"/>
      <w:r w:rsidR="001B011F" w:rsidRPr="00014A61">
        <w:rPr>
          <w:caps/>
        </w:rPr>
        <w:t xml:space="preserve"> risco</w:t>
      </w:r>
      <w:r w:rsidR="001B011F">
        <w:t xml:space="preserve"> (PENCS</w:t>
      </w:r>
      <w:r w:rsidR="00E14FBF">
        <w:t>,</w:t>
      </w:r>
      <w:r w:rsidR="001B011F">
        <w:t xml:space="preserve"> 2004: 47)</w:t>
      </w:r>
    </w:p>
    <w:p w:rsidR="00D14373" w:rsidRDefault="00D14373" w:rsidP="00EB2F0E">
      <w:pPr>
        <w:jc w:val="both"/>
      </w:pPr>
    </w:p>
    <w:p w:rsidR="00D14373" w:rsidRDefault="00D14373" w:rsidP="00EB2F0E">
      <w:pPr>
        <w:jc w:val="both"/>
      </w:pPr>
    </w:p>
    <w:p w:rsidR="00D14373" w:rsidRDefault="00D14373" w:rsidP="00EB2F0E">
      <w:pPr>
        <w:jc w:val="both"/>
      </w:pPr>
    </w:p>
    <w:p w:rsidR="00A97D57" w:rsidRDefault="000513DA" w:rsidP="00EB2F0E">
      <w:pPr>
        <w:jc w:val="both"/>
      </w:pPr>
      <w:r w:rsidRPr="000513DA">
        <w:rPr>
          <w:noProof/>
          <w:lang w:eastAsia="pt-PT"/>
        </w:rPr>
        <w:drawing>
          <wp:inline distT="0" distB="0" distL="0" distR="0">
            <wp:extent cx="5400040" cy="3587196"/>
            <wp:effectExtent l="19050" t="0" r="0" b="0"/>
            <wp:docPr id="5" name="Objecto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5668963"/>
                      <a:chOff x="457200" y="457200"/>
                      <a:chExt cx="8534400" cy="5668963"/>
                    </a:xfrm>
                  </a:grpSpPr>
                  <a:sp>
                    <a:nvSpPr>
                      <a:cNvPr id="2" name="Título 1"/>
                      <a:cNvSpPr>
                        <a:spLocks noGrp="1"/>
                      </a:cNvSpPr>
                    </a:nvSpPr>
                    <a:spPr>
                      <a:xfrm>
                        <a:off x="762000" y="457200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pt-PT" smtClean="0"/>
                            <a:t>Droga</a:t>
                          </a:r>
                          <a:endParaRPr lang="pt-PT" dirty="0"/>
                        </a:p>
                      </a:txBody>
                      <a:useSpRect/>
                    </a:txSp>
                  </a:sp>
                  <a:graphicFrame>
                    <a:nvGraphicFramePr>
                      <a:cNvPr id="4" name="Marcador de Posição de Conteúdo 3"/>
                      <a:cNvGraphicFramePr>
                        <a:graphicFrameLocks noGrp="1"/>
                      </a:cNvGraphicFramePr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9"/>
                      </a:graphicData>
                    </a:graphic>
                    <a:xfrm>
                      <a:off x="457200" y="1600200"/>
                      <a:ext cx="4038600" cy="4525963"/>
                    </a:xfrm>
                  </a:graphicFrame>
                  <a:sp>
                    <a:nvSpPr>
                      <a:cNvPr id="5" name="Marcador de Posição de Conteúdo 4"/>
                      <a:cNvSpPr>
                        <a:spLocks noGrp="1"/>
                      </a:cNvSpPr>
                    </a:nvSpPr>
                    <a:spPr>
                      <a:xfrm>
                        <a:off x="4648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numCol="1" rtlCol="0">
                          <a:normAutofit fontScale="85000" lnSpcReduction="20000"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just">
                            <a:buNone/>
                          </a:pPr>
                          <a:r>
                            <a:rPr lang="pt-PT" dirty="0" smtClean="0"/>
                            <a:t>Este indicador revela-se como comportamento de risco pelo tabaco, uso de seringas e agulhas. A sua prática, por levar ao contágio e falta de regras de </a:t>
                          </a:r>
                          <a:r>
                            <a:rPr lang="pt-PT" dirty="0" err="1" smtClean="0"/>
                            <a:t>assépsia</a:t>
                          </a:r>
                          <a:r>
                            <a:rPr lang="pt-PT" dirty="0" smtClean="0"/>
                            <a:t> pode levar à morte.</a:t>
                          </a:r>
                        </a:p>
                        <a:p>
                          <a:pPr algn="just">
                            <a:buNone/>
                          </a:pPr>
                          <a:r>
                            <a:rPr lang="pt-PT" dirty="0" smtClean="0"/>
                            <a:t>Atinge valores entre os quinhentos e os seiscentos, nos três anos considerados, mais coadunados real, com as percentagens estabelecidas, para a população afetada.</a:t>
                          </a:r>
                          <a:endParaRPr lang="pt-PT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5677EF" w:rsidRDefault="005677EF" w:rsidP="00EB2F0E">
      <w:pPr>
        <w:jc w:val="both"/>
      </w:pPr>
    </w:p>
    <w:p w:rsidR="004B7186" w:rsidRDefault="004B7186" w:rsidP="00EB2F0E">
      <w:pPr>
        <w:jc w:val="both"/>
      </w:pPr>
    </w:p>
    <w:p w:rsidR="004B7186" w:rsidRDefault="004B7186" w:rsidP="00EB2F0E">
      <w:pPr>
        <w:jc w:val="both"/>
      </w:pPr>
    </w:p>
    <w:p w:rsidR="004B7186" w:rsidRDefault="004B7186" w:rsidP="00EB2F0E">
      <w:pPr>
        <w:jc w:val="both"/>
      </w:pPr>
    </w:p>
    <w:p w:rsidR="004B7186" w:rsidRDefault="004B7186" w:rsidP="00EB2F0E">
      <w:pPr>
        <w:jc w:val="both"/>
      </w:pPr>
    </w:p>
    <w:p w:rsidR="004B7186" w:rsidRDefault="004B7186" w:rsidP="00EB2F0E">
      <w:pPr>
        <w:jc w:val="both"/>
      </w:pPr>
    </w:p>
    <w:p w:rsidR="004B7186" w:rsidRDefault="004B7186" w:rsidP="00EB2F0E">
      <w:pPr>
        <w:jc w:val="both"/>
      </w:pPr>
    </w:p>
    <w:p w:rsidR="004C1BAE" w:rsidRDefault="00540742" w:rsidP="00EB2F0E">
      <w:pPr>
        <w:pStyle w:val="PargrafodaLista"/>
        <w:numPr>
          <w:ilvl w:val="1"/>
          <w:numId w:val="8"/>
        </w:numPr>
        <w:jc w:val="both"/>
      </w:pPr>
      <w:r>
        <w:t>INDICAD</w:t>
      </w:r>
      <w:r w:rsidR="004C1BAE">
        <w:t>ORES SOCIO-ECONÓMICOS</w:t>
      </w:r>
      <w:r>
        <w:t xml:space="preserve"> </w:t>
      </w:r>
    </w:p>
    <w:p w:rsidR="00D14373" w:rsidRDefault="00D14373" w:rsidP="00D14373">
      <w:pPr>
        <w:jc w:val="both"/>
      </w:pPr>
    </w:p>
    <w:p w:rsidR="004B7186" w:rsidRDefault="005677EF" w:rsidP="004B7186">
      <w:pPr>
        <w:pStyle w:val="PargrafodaLista"/>
        <w:numPr>
          <w:ilvl w:val="2"/>
          <w:numId w:val="8"/>
        </w:numPr>
        <w:jc w:val="both"/>
      </w:pPr>
      <w:r>
        <w:t>Pobreza</w:t>
      </w:r>
      <w:r w:rsidR="00D5717D">
        <w:t>, a Posse de Bens,</w:t>
      </w:r>
      <w:r w:rsidR="00F45258">
        <w:t xml:space="preserve"> e</w:t>
      </w:r>
      <w:r w:rsidR="00D5717D">
        <w:t xml:space="preserve"> Desnutrição</w:t>
      </w:r>
    </w:p>
    <w:p w:rsidR="004B7186" w:rsidRDefault="00660474" w:rsidP="00660474">
      <w:pPr>
        <w:jc w:val="both"/>
      </w:pPr>
      <w:r>
        <w:rPr>
          <w:noProof/>
          <w:lang w:eastAsia="pt-PT"/>
        </w:rPr>
        <w:drawing>
          <wp:inline distT="0" distB="0" distL="0" distR="0">
            <wp:extent cx="5391785" cy="2967355"/>
            <wp:effectExtent l="19050" t="0" r="0" b="0"/>
            <wp:docPr id="7" name="Imagem 1" descr="C:\Users\Natividade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ividade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63" w:rsidRDefault="00D5717D" w:rsidP="005677EF">
      <w:pPr>
        <w:jc w:val="both"/>
      </w:pPr>
      <w:r>
        <w:t>POBREZA - d</w:t>
      </w:r>
      <w:r w:rsidR="005677EF">
        <w:t xml:space="preserve">o ponto de vista </w:t>
      </w:r>
      <w:proofErr w:type="spellStart"/>
      <w:r w:rsidR="005677EF">
        <w:t>socio-económico</w:t>
      </w:r>
      <w:proofErr w:type="spellEnd"/>
      <w:r w:rsidR="005677EF">
        <w:t xml:space="preserve">, as relações de género podem estar associadas à propagação do vírus </w:t>
      </w:r>
      <w:proofErr w:type="gramStart"/>
      <w:r w:rsidR="005677EF">
        <w:t>HIV</w:t>
      </w:r>
      <w:proofErr w:type="gramEnd"/>
      <w:r w:rsidR="005677EF">
        <w:t>, quando o estatuto de desigualdade da mulher está ligado à pobreza, à subordinação</w:t>
      </w:r>
      <w:r w:rsidR="00F45258">
        <w:t xml:space="preserve"> sexual e </w:t>
      </w:r>
      <w:r w:rsidR="005677EF">
        <w:t xml:space="preserve">social, e à sua dependência económica relativamente ao </w:t>
      </w:r>
      <w:r w:rsidR="004609C4">
        <w:t>homem (ARNALDO e FRANCISCO</w:t>
      </w:r>
      <w:r w:rsidR="00FB6563">
        <w:t>, 2004, 17).</w:t>
      </w:r>
    </w:p>
    <w:p w:rsidR="005677EF" w:rsidRDefault="00FB6563" w:rsidP="005677EF">
      <w:pPr>
        <w:jc w:val="both"/>
      </w:pPr>
      <w:r>
        <w:t xml:space="preserve">A pobreza, </w:t>
      </w:r>
      <w:r w:rsidR="005677EF">
        <w:t>e não só sexo e exposição a sangue infetado, permite a transmissão e difusão do HIV/</w:t>
      </w:r>
      <w:proofErr w:type="gramStart"/>
      <w:r w:rsidR="005677EF">
        <w:t>SIDA .</w:t>
      </w:r>
      <w:proofErr w:type="gramEnd"/>
      <w:r w:rsidR="005677EF">
        <w:t xml:space="preserve"> A combinação da pobreza com os componentes da desigualdade</w:t>
      </w:r>
      <w:proofErr w:type="gramStart"/>
      <w:r w:rsidR="005677EF">
        <w:t>,</w:t>
      </w:r>
      <w:proofErr w:type="gramEnd"/>
      <w:r w:rsidR="005677EF">
        <w:t xml:space="preserve"> são o problema fundamental das relações de género. Em concordância com WALL (UNECA, «United </w:t>
      </w:r>
      <w:proofErr w:type="spellStart"/>
      <w:r w:rsidR="005677EF">
        <w:t>Nations</w:t>
      </w:r>
      <w:proofErr w:type="spellEnd"/>
      <w:r w:rsidR="005677EF">
        <w:t xml:space="preserve"> </w:t>
      </w:r>
      <w:proofErr w:type="spellStart"/>
      <w:r w:rsidR="00E14FBF">
        <w:t>Economic</w:t>
      </w:r>
      <w:proofErr w:type="spellEnd"/>
      <w:r w:rsidR="00E14FBF">
        <w:t xml:space="preserve"> </w:t>
      </w:r>
      <w:proofErr w:type="spellStart"/>
      <w:r w:rsidR="00E14FBF">
        <w:t>Commission</w:t>
      </w:r>
      <w:proofErr w:type="spellEnd"/>
      <w:r w:rsidR="00E14FBF">
        <w:t xml:space="preserve"> for Africa»,</w:t>
      </w:r>
      <w:r w:rsidR="005677EF">
        <w:t xml:space="preserve"> 2003: 13) podem-se estabelecer as seguintes correlações: </w:t>
      </w:r>
    </w:p>
    <w:p w:rsidR="005677EF" w:rsidRDefault="00D221D0" w:rsidP="00D221D0">
      <w:pPr>
        <w:jc w:val="both"/>
      </w:pPr>
      <w:proofErr w:type="spellStart"/>
      <w:proofErr w:type="gramStart"/>
      <w:r>
        <w:t>i.</w:t>
      </w:r>
      <w:r w:rsidR="005677EF">
        <w:t>A</w:t>
      </w:r>
      <w:proofErr w:type="spellEnd"/>
      <w:proofErr w:type="gramEnd"/>
      <w:r w:rsidR="005677EF">
        <w:t xml:space="preserve"> pobreza significa muitas vezes pura </w:t>
      </w:r>
      <w:r w:rsidR="005677EF" w:rsidRPr="00D221D0">
        <w:rPr>
          <w:caps/>
        </w:rPr>
        <w:t xml:space="preserve">ignorância </w:t>
      </w:r>
      <w:r w:rsidR="005677EF">
        <w:t>de como o HIV se transmite;</w:t>
      </w:r>
    </w:p>
    <w:p w:rsidR="005677EF" w:rsidRDefault="00D221D0" w:rsidP="00D221D0">
      <w:pPr>
        <w:jc w:val="both"/>
      </w:pPr>
      <w:proofErr w:type="spellStart"/>
      <w:proofErr w:type="gramStart"/>
      <w:r>
        <w:t>ii.</w:t>
      </w:r>
      <w:r w:rsidR="005677EF">
        <w:t>A</w:t>
      </w:r>
      <w:proofErr w:type="spellEnd"/>
      <w:proofErr w:type="gramEnd"/>
      <w:r w:rsidR="005677EF">
        <w:t xml:space="preserve"> proteção pode ser custosa; pode não haver possibilidade de escolha entre comprar um preservativo ou comprar um peixe, ou um copo de água limpa para </w:t>
      </w:r>
      <w:r w:rsidR="005677EF" w:rsidRPr="00D221D0">
        <w:rPr>
          <w:caps/>
        </w:rPr>
        <w:t>alimentar a família</w:t>
      </w:r>
      <w:r w:rsidR="005677EF">
        <w:t>;</w:t>
      </w:r>
    </w:p>
    <w:p w:rsidR="005677EF" w:rsidRDefault="00D221D0" w:rsidP="00D221D0">
      <w:pPr>
        <w:jc w:val="both"/>
      </w:pPr>
      <w:proofErr w:type="spellStart"/>
      <w:proofErr w:type="gramStart"/>
      <w:r>
        <w:t>iii.</w:t>
      </w:r>
      <w:r w:rsidR="005677EF">
        <w:t>A</w:t>
      </w:r>
      <w:proofErr w:type="spellEnd"/>
      <w:proofErr w:type="gramEnd"/>
      <w:r w:rsidR="005677EF">
        <w:t xml:space="preserve"> pobreza consiste em não ser capaz de administrar o risco. Especialmente no caso de mulheres jovens, a sua vida consiste na incerteza e no risco; a pobreza feminina é o maior fator de risco que conduz mulheres, jovens e velhos, a um comportamento de risco, como sejam </w:t>
      </w:r>
      <w:r w:rsidR="005677EF" w:rsidRPr="00D221D0">
        <w:rPr>
          <w:caps/>
        </w:rPr>
        <w:t>trabalhadoras do sexo</w:t>
      </w:r>
      <w:r w:rsidRPr="00D221D0">
        <w:rPr>
          <w:caps/>
        </w:rPr>
        <w:t xml:space="preserve"> e sexo</w:t>
      </w:r>
      <w:r w:rsidR="005677EF" w:rsidRPr="00D221D0">
        <w:rPr>
          <w:caps/>
        </w:rPr>
        <w:t xml:space="preserve"> comercial</w:t>
      </w:r>
      <w:r w:rsidR="005677EF">
        <w:t>;</w:t>
      </w:r>
      <w:r>
        <w:t xml:space="preserve"> a proporção das mulheres que fazem isso</w:t>
      </w:r>
      <w:proofErr w:type="gramStart"/>
      <w:r>
        <w:t>,</w:t>
      </w:r>
      <w:proofErr w:type="gramEnd"/>
      <w:r>
        <w:t xml:space="preserve"> está diretamente relacionada com motivos económicos</w:t>
      </w:r>
      <w:r w:rsidR="005B1846">
        <w:t xml:space="preserve"> e com o nível de </w:t>
      </w:r>
      <w:r w:rsidR="005B1846" w:rsidRPr="005B1846">
        <w:rPr>
          <w:caps/>
        </w:rPr>
        <w:t>desemprego</w:t>
      </w:r>
      <w:r w:rsidR="00E14FBF">
        <w:t xml:space="preserve"> (REID,</w:t>
      </w:r>
      <w:r w:rsidR="005B1846">
        <w:t xml:space="preserve"> 1995: 20).</w:t>
      </w:r>
    </w:p>
    <w:p w:rsidR="005677EF" w:rsidRDefault="005677EF" w:rsidP="005677EF">
      <w:pPr>
        <w:jc w:val="both"/>
      </w:pPr>
      <w:proofErr w:type="spellStart"/>
      <w:proofErr w:type="gramStart"/>
      <w:r>
        <w:t>iv.A</w:t>
      </w:r>
      <w:proofErr w:type="spellEnd"/>
      <w:proofErr w:type="gramEnd"/>
      <w:r>
        <w:t xml:space="preserve"> pobreza aumenta a </w:t>
      </w:r>
      <w:r w:rsidRPr="005B1846">
        <w:rPr>
          <w:caps/>
        </w:rPr>
        <w:t>transmissão mãe-filho</w:t>
      </w:r>
      <w:r>
        <w:t>; pode não haver alternativa económica entre amamentar e água limpa para o bebé;</w:t>
      </w:r>
    </w:p>
    <w:p w:rsidR="005677EF" w:rsidRDefault="005677EF" w:rsidP="005677EF">
      <w:pPr>
        <w:jc w:val="both"/>
      </w:pPr>
      <w:proofErr w:type="spellStart"/>
      <w:proofErr w:type="gramStart"/>
      <w:r>
        <w:lastRenderedPageBreak/>
        <w:t>v.A</w:t>
      </w:r>
      <w:proofErr w:type="spellEnd"/>
      <w:proofErr w:type="gramEnd"/>
      <w:r>
        <w:t xml:space="preserve"> pobreza contribui para a </w:t>
      </w:r>
      <w:r w:rsidRPr="005B1846">
        <w:rPr>
          <w:caps/>
        </w:rPr>
        <w:t>migração</w:t>
      </w:r>
      <w:r>
        <w:t xml:space="preserve">; a associação entre pobreza e difusão do </w:t>
      </w:r>
      <w:proofErr w:type="gramStart"/>
      <w:r>
        <w:t>HIV</w:t>
      </w:r>
      <w:proofErr w:type="gramEnd"/>
      <w:r>
        <w:t xml:space="preserve"> ocorre quando o homem deixa a sua localidade para arranjar melhor oportunidade de emprego e pode forçar o homem </w:t>
      </w:r>
      <w:r w:rsidR="00FA0CDE">
        <w:t>a</w:t>
      </w:r>
      <w:r w:rsidR="00FA0CDE" w:rsidRPr="00FA0CDE">
        <w:rPr>
          <w:smallCaps/>
          <w:vanish/>
        </w:rPr>
        <w:t>a</w:t>
      </w:r>
      <w:r w:rsidRPr="00FA0CDE">
        <w:rPr>
          <w:caps/>
        </w:rPr>
        <w:t xml:space="preserve"> sexo casual</w:t>
      </w:r>
      <w:r>
        <w:t>. O mesmo é similar aos soldados.</w:t>
      </w:r>
    </w:p>
    <w:p w:rsidR="00D5717D" w:rsidRDefault="00D5717D" w:rsidP="00F667D2">
      <w:pPr>
        <w:jc w:val="both"/>
      </w:pPr>
    </w:p>
    <w:p w:rsidR="00F667D2" w:rsidRDefault="00D5717D" w:rsidP="00F667D2">
      <w:pPr>
        <w:jc w:val="both"/>
      </w:pPr>
      <w:r>
        <w:t>POSSE DE BENS - a</w:t>
      </w:r>
      <w:r w:rsidR="00F667D2">
        <w:t xml:space="preserve"> importância da posse de bens de uso duradouro deriva do facto de eles fornecerem serviços</w:t>
      </w:r>
      <w:r w:rsidR="00E82D9D">
        <w:t xml:space="preserve">, alguns de consumo final e com efeito direto (como por exemplo a habitação) ou no acesso aos serviços para a Educação e para a Saúde (exemplo: </w:t>
      </w:r>
      <w:r w:rsidR="00E82D9D" w:rsidRPr="00CE3D97">
        <w:rPr>
          <w:caps/>
        </w:rPr>
        <w:t>meios de transporte e meios de comunicação de massa como a rádio e o televisor</w:t>
      </w:r>
      <w:r w:rsidR="00E82D9D">
        <w:t xml:space="preserve">). Alguns destes bens, de uso duradouro, podem ter um impacto </w:t>
      </w:r>
      <w:r w:rsidR="00AA0140">
        <w:t>indireto sobre o bem-estar, por constituírem meios de gerar rendimento (e</w:t>
      </w:r>
      <w:r w:rsidR="00E14FBF">
        <w:t xml:space="preserve">.g. </w:t>
      </w:r>
      <w:r w:rsidR="00AA0140" w:rsidRPr="00CE3D97">
        <w:rPr>
          <w:caps/>
        </w:rPr>
        <w:t>transporte de carga, máquinas de costura</w:t>
      </w:r>
      <w:r w:rsidR="00AA0140">
        <w:t>.</w:t>
      </w:r>
    </w:p>
    <w:p w:rsidR="00330CF5" w:rsidRDefault="00330CF5" w:rsidP="00F667D2">
      <w:pPr>
        <w:jc w:val="both"/>
      </w:pPr>
      <w:r w:rsidRPr="00330CF5">
        <w:rPr>
          <w:noProof/>
          <w:lang w:eastAsia="pt-PT"/>
        </w:rPr>
        <w:drawing>
          <wp:inline distT="0" distB="0" distL="0" distR="0">
            <wp:extent cx="5400040" cy="3648907"/>
            <wp:effectExtent l="19050" t="0" r="0" b="0"/>
            <wp:docPr id="8" name="Objecto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5869853"/>
                      <a:chOff x="0" y="274638"/>
                      <a:chExt cx="8686800" cy="5869853"/>
                    </a:xfrm>
                  </a:grpSpPr>
                  <a:sp>
                    <a:nvSpPr>
                      <a:cNvPr id="2" name="Título 1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pt-PT" dirty="0" smtClean="0"/>
                            <a:t>Posse de Bens</a:t>
                          </a:r>
                          <a:endParaRPr lang="pt-PT" dirty="0"/>
                        </a:p>
                      </a:txBody>
                      <a:useSpRect/>
                    </a:txSp>
                  </a:sp>
                  <a:sp>
                    <a:nvSpPr>
                      <a:cNvPr id="3" name="Marcador de Posição de Conteúdo 2"/>
                      <a:cNvSpPr>
                        <a:spLocks noGrp="1"/>
                      </a:cNvSpPr>
                    </a:nvSpPr>
                    <a:spPr>
                      <a:xfrm>
                        <a:off x="457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 lnSpcReduction="10000"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pt-PT" dirty="0" smtClean="0"/>
                            <a:t> </a:t>
                          </a:r>
                          <a:endParaRPr lang="pt-PT" dirty="0"/>
                        </a:p>
                      </a:txBody>
                      <a:useSpRect/>
                    </a:txSp>
                  </a:sp>
                  <a:sp>
                    <a:nvSpPr>
                      <a:cNvPr id="5" name="Marcador de Posição de Conteúdo 4"/>
                      <a:cNvSpPr>
                        <a:spLocks noGrp="1"/>
                      </a:cNvSpPr>
                    </a:nvSpPr>
                    <a:spPr>
                      <a:xfrm>
                        <a:off x="4648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 lnSpcReduction="10000"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pt-PT" dirty="0" smtClean="0"/>
                            <a:t>A máquina de costura é uma fonte de rendimento proposta pelos autores da revisão da literatura. Significa um apoio social e cultural liderado pela aquisição de TV e Rádio, por forma a combater a frustração pelo salário baixo.</a:t>
                          </a:r>
                          <a:endParaRPr lang="pt-PT" dirty="0"/>
                        </a:p>
                      </a:txBody>
                      <a:useSpRect/>
                    </a:txSp>
                  </a:sp>
                  <a:graphicFrame>
                    <a:nvGraphicFramePr>
                      <a:cNvPr id="4" name="Gráfico 3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11"/>
                      </a:graphicData>
                    </a:graphic>
                    <a:xfrm>
                      <a:off x="0" y="1295400"/>
                      <a:ext cx="4648200" cy="4849091"/>
                    </a:xfrm>
                  </a:graphicFrame>
                </lc:lockedCanvas>
              </a:graphicData>
            </a:graphic>
          </wp:inline>
        </w:drawing>
      </w:r>
    </w:p>
    <w:p w:rsidR="00AA0140" w:rsidRDefault="00AA0140" w:rsidP="00F667D2">
      <w:pPr>
        <w:jc w:val="both"/>
      </w:pPr>
      <w:r>
        <w:t xml:space="preserve">A posse de bens de riqueza, pode determinar o </w:t>
      </w:r>
      <w:r w:rsidRPr="00CB64EC">
        <w:rPr>
          <w:caps/>
        </w:rPr>
        <w:t>grau de bem-estar</w:t>
      </w:r>
      <w:r>
        <w:t xml:space="preserve">, que tem origem no grau de suscetibilidade </w:t>
      </w:r>
      <w:r w:rsidR="00264E89">
        <w:t xml:space="preserve">das </w:t>
      </w:r>
      <w:r w:rsidR="00CB64EC">
        <w:t>pessoas os</w:t>
      </w:r>
      <w:r w:rsidR="00264E89">
        <w:t xml:space="preserve"> viverem, e a enveredarem ou não, por práticas que facilitam ou não, a propagação da epidemia do </w:t>
      </w:r>
      <w:proofErr w:type="gramStart"/>
      <w:r w:rsidR="00264E89">
        <w:t>HIV</w:t>
      </w:r>
      <w:proofErr w:type="gramEnd"/>
      <w:r w:rsidR="00264E89">
        <w:t>/SIDA (PENCS</w:t>
      </w:r>
      <w:r w:rsidR="00E14FBF">
        <w:t>,</w:t>
      </w:r>
      <w:r w:rsidR="00264E89">
        <w:t xml:space="preserve"> 2004: 50).</w:t>
      </w:r>
    </w:p>
    <w:p w:rsidR="00213487" w:rsidRDefault="00213487" w:rsidP="00F667D2">
      <w:pPr>
        <w:jc w:val="both"/>
      </w:pPr>
      <w:r w:rsidRPr="00213487">
        <w:rPr>
          <w:noProof/>
          <w:lang w:eastAsia="pt-PT"/>
        </w:rPr>
        <w:lastRenderedPageBreak/>
        <w:drawing>
          <wp:inline distT="0" distB="0" distL="0" distR="0">
            <wp:extent cx="5400040" cy="3735669"/>
            <wp:effectExtent l="0" t="0" r="0" b="0"/>
            <wp:docPr id="9" name="Objecto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58200" cy="5851525"/>
                      <a:chOff x="228600" y="274638"/>
                      <a:chExt cx="8458200" cy="5851525"/>
                    </a:xfrm>
                  </a:grpSpPr>
                  <a:graphicFrame>
                    <a:nvGraphicFramePr>
                      <a:cNvPr id="4" name="Gráfico 3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12"/>
                      </a:graphicData>
                    </a:graphic>
                    <a:xfrm>
                      <a:off x="228600" y="1981200"/>
                      <a:ext cx="3886200" cy="3505200"/>
                    </a:xfrm>
                  </a:graphicFrame>
                  <a:sp>
                    <a:nvSpPr>
                      <a:cNvPr id="5" name="Rectângulo 4"/>
                      <a:cNvSpPr/>
                    </a:nvSpPr>
                    <a:spPr>
                      <a:xfrm>
                        <a:off x="1219200" y="304800"/>
                        <a:ext cx="5486400" cy="7694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pt-PT" sz="44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Desnutrição crónica em crianças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Título 11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endParaRPr lang="pt-PT" dirty="0"/>
                        </a:p>
                      </a:txBody>
                      <a:useSpRect/>
                    </a:txSp>
                  </a:sp>
                  <a:sp>
                    <a:nvSpPr>
                      <a:cNvPr id="13" name="Marcador de Posição de Conteúdo 12"/>
                      <a:cNvSpPr>
                        <a:spLocks noGrp="1"/>
                      </a:cNvSpPr>
                    </a:nvSpPr>
                    <a:spPr>
                      <a:xfrm>
                        <a:off x="457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 fontScale="92500"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pt-PT" dirty="0"/>
                        </a:p>
                      </a:txBody>
                      <a:useSpRect/>
                    </a:txSp>
                  </a:sp>
                  <a:sp>
                    <a:nvSpPr>
                      <a:cNvPr id="14" name="Marcador de Posição de Conteúdo 13"/>
                      <a:cNvSpPr>
                        <a:spLocks noGrp="1"/>
                      </a:cNvSpPr>
                    </a:nvSpPr>
                    <a:spPr>
                      <a:xfrm>
                        <a:off x="4648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 fontScale="92500"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pt-PT" dirty="0" smtClean="0"/>
                            <a:t>As crianças são o ponto de viragem na vida dos particulares e do Estado. Muitas vezes há que fazer escolhas, na decisão do uso de preservativo. A transmissão vertical mãe-filho desloca a deteção pelos postos de vigilância na quebra dos condicionalismos.</a:t>
                          </a:r>
                          <a:endParaRPr lang="pt-PT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00953" w:rsidRDefault="00100953" w:rsidP="00100953">
      <w:pPr>
        <w:jc w:val="both"/>
      </w:pPr>
      <w:r>
        <w:t>A D</w:t>
      </w:r>
      <w:r w:rsidR="00D14EBF">
        <w:t xml:space="preserve">ESNUTRIÇÃO </w:t>
      </w:r>
      <w:proofErr w:type="gramStart"/>
      <w:r w:rsidR="00D14EBF">
        <w:t xml:space="preserve">- </w:t>
      </w:r>
      <w:r>
        <w:t xml:space="preserve"> como</w:t>
      </w:r>
      <w:proofErr w:type="gramEnd"/>
      <w:r>
        <w:t xml:space="preserve"> Fator de Perpetuação da Pobreza foi trata</w:t>
      </w:r>
      <w:r w:rsidR="00E14FBF">
        <w:t>da por SHRIMPTON (</w:t>
      </w:r>
      <w:proofErr w:type="spellStart"/>
      <w:r w:rsidR="00E14FBF">
        <w:t>cit</w:t>
      </w:r>
      <w:proofErr w:type="spellEnd"/>
      <w:r w:rsidR="00E14FBF">
        <w:t xml:space="preserve"> por PENCS,</w:t>
      </w:r>
      <w:r>
        <w:t xml:space="preserve"> 2004: 96), num estudo sobre as causas e as consequências</w:t>
      </w:r>
      <w:r w:rsidR="00DF4379">
        <w:t xml:space="preserve"> da desnutrição crónica, tanto em termos de desnutrição proteico-calórico, como em termos de deficiência de micronutrientes. Constatou-se que o fator que apresenta maior grau de correlação</w:t>
      </w:r>
      <w:r w:rsidR="009447E9">
        <w:t xml:space="preserve"> com a desnutrição crónica é o baixo peso à nascença, bem como uma correlação significativa com as doenças que afetam as crianças, em particular a diarreia e a febre.</w:t>
      </w:r>
    </w:p>
    <w:p w:rsidR="00F60465" w:rsidRDefault="00F60465" w:rsidP="00100953">
      <w:pPr>
        <w:jc w:val="both"/>
      </w:pPr>
      <w:r>
        <w:t xml:space="preserve">Os estudos efetuados mostram que, como consequência da desnutrição crónica nas crianças, resultam </w:t>
      </w:r>
      <w:r w:rsidRPr="00CB64EC">
        <w:rPr>
          <w:caps/>
        </w:rPr>
        <w:t>adultos de fraca compleição física e de fraco nível intelectual</w:t>
      </w:r>
      <w:r>
        <w:t xml:space="preserve">. Tudo isto vai gerar </w:t>
      </w:r>
      <w:r w:rsidRPr="00CB64EC">
        <w:rPr>
          <w:caps/>
        </w:rPr>
        <w:t>baixa da produtividade</w:t>
      </w:r>
      <w:r>
        <w:t xml:space="preserve"> ao nível de todo o país, o que vai condicionar</w:t>
      </w:r>
      <w:r w:rsidR="00246926">
        <w:t xml:space="preserve"> novos ciclos de pobreza</w:t>
      </w:r>
    </w:p>
    <w:p w:rsidR="009B7C14" w:rsidRDefault="009B7C14" w:rsidP="000331F7">
      <w:pPr>
        <w:pStyle w:val="PargrafodaLista"/>
        <w:numPr>
          <w:ilvl w:val="2"/>
          <w:numId w:val="9"/>
        </w:numPr>
        <w:jc w:val="both"/>
      </w:pPr>
      <w:r>
        <w:t>Condições de Vida da População</w:t>
      </w:r>
      <w:r w:rsidR="00D14EBF">
        <w:t>: Habitação, Saneamento Básico e Abastecimento de Água.</w:t>
      </w:r>
    </w:p>
    <w:p w:rsidR="007354D4" w:rsidRDefault="007354D4" w:rsidP="007354D4">
      <w:pPr>
        <w:pStyle w:val="PargrafodaLista"/>
        <w:jc w:val="both"/>
      </w:pPr>
      <w:r w:rsidRPr="007354D4">
        <w:rPr>
          <w:noProof/>
          <w:lang w:eastAsia="pt-PT"/>
        </w:rPr>
        <w:drawing>
          <wp:inline distT="0" distB="0" distL="0" distR="0">
            <wp:extent cx="5401339" cy="2392326"/>
            <wp:effectExtent l="0" t="0" r="0" b="0"/>
            <wp:docPr id="10" name="Objecto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5851525"/>
                      <a:chOff x="457200" y="274638"/>
                      <a:chExt cx="8229600" cy="5851525"/>
                    </a:xfrm>
                  </a:grpSpPr>
                  <a:sp>
                    <a:nvSpPr>
                      <a:cNvPr id="2" name="Título 1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pt-PT" dirty="0" smtClean="0"/>
                            <a:t>Condições de Habitação</a:t>
                          </a:r>
                          <a:endParaRPr lang="pt-PT" dirty="0"/>
                        </a:p>
                      </a:txBody>
                      <a:useSpRect/>
                    </a:txSp>
                  </a:sp>
                  <a:sp>
                    <a:nvSpPr>
                      <a:cNvPr id="3" name="Marcador de Posição de Conteúdo 2"/>
                      <a:cNvSpPr>
                        <a:spLocks noGrp="1"/>
                      </a:cNvSpPr>
                    </a:nvSpPr>
                    <a:spPr>
                      <a:xfrm>
                        <a:off x="457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endParaRPr lang="pt-PT" dirty="0" smtClean="0"/>
                        </a:p>
                        <a:p>
                          <a:pPr>
                            <a:buNone/>
                          </a:pPr>
                          <a:endParaRPr lang="pt-PT" dirty="0"/>
                        </a:p>
                      </a:txBody>
                      <a:useSpRect/>
                    </a:txSp>
                  </a:sp>
                  <a:sp>
                    <a:nvSpPr>
                      <a:cNvPr id="5" name="Marcador de Posição de Conteúdo 4"/>
                      <a:cNvSpPr>
                        <a:spLocks noGrp="1"/>
                      </a:cNvSpPr>
                    </a:nvSpPr>
                    <a:spPr>
                      <a:xfrm>
                        <a:off x="4648200" y="1600200"/>
                        <a:ext cx="4038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pt-PT" dirty="0" smtClean="0"/>
                            <a:t>A percentagem do uso de energia elétrica é ainda pequena, e restringe-se praticamente à pop urbana. No entanto, as pesadas taxas do uso de </a:t>
                          </a:r>
                          <a:r>
                            <a:rPr lang="pt-PT" dirty="0" err="1" smtClean="0"/>
                            <a:t>pretóleo</a:t>
                          </a:r>
                          <a:r>
                            <a:rPr lang="pt-PT" dirty="0" smtClean="0"/>
                            <a:t>/gás prolongam-se pelo Maputo Cidade e outras </a:t>
                          </a:r>
                          <a:r>
                            <a:rPr lang="pt-PT" dirty="0" smtClean="0"/>
                            <a:t>M</a:t>
                          </a:r>
                          <a:r>
                            <a:rPr lang="pt-PT" dirty="0" smtClean="0"/>
                            <a:t>etrópoles Urbanas</a:t>
                          </a:r>
                          <a:endParaRPr lang="pt-PT" dirty="0"/>
                        </a:p>
                      </a:txBody>
                      <a:useSpRect/>
                    </a:txSp>
                  </a:sp>
                  <a:graphicFrame>
                    <a:nvGraphicFramePr>
                      <a:cNvPr id="6" name="Gráfico 5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13"/>
                      </a:graphicData>
                    </a:graphic>
                    <a:xfrm>
                      <a:off x="914400" y="1905000"/>
                      <a:ext cx="3048000" cy="3886200"/>
                    </a:xfrm>
                  </a:graphicFrame>
                </lc:lockedCanvas>
              </a:graphicData>
            </a:graphic>
          </wp:inline>
        </w:drawing>
      </w:r>
    </w:p>
    <w:p w:rsidR="009B7C14" w:rsidRDefault="009B7C14" w:rsidP="009B7C14">
      <w:pPr>
        <w:jc w:val="both"/>
      </w:pPr>
      <w:proofErr w:type="gramStart"/>
      <w:r>
        <w:lastRenderedPageBreak/>
        <w:t>CONDIÇÕES DA HABITAÇÃO – à medida que crescem os rendimentos, cresce</w:t>
      </w:r>
      <w:proofErr w:type="gramEnd"/>
      <w:r>
        <w:t xml:space="preserve"> também o investimento na qualidade</w:t>
      </w:r>
      <w:r w:rsidR="00217F40">
        <w:t xml:space="preserve"> da habitação, nomeadamente no material predominante no </w:t>
      </w:r>
      <w:r w:rsidR="00BE0285">
        <w:t>TETO</w:t>
      </w:r>
      <w:r w:rsidR="00217F40">
        <w:t xml:space="preserve"> da casa (substituição da cobertura de palha por materiais melhorados como zinco ou </w:t>
      </w:r>
      <w:proofErr w:type="spellStart"/>
      <w:r w:rsidR="00217F40">
        <w:t>lusalite</w:t>
      </w:r>
      <w:proofErr w:type="spellEnd"/>
      <w:r w:rsidR="00217F40">
        <w:t xml:space="preserve">); </w:t>
      </w:r>
      <w:proofErr w:type="gramStart"/>
      <w:r w:rsidR="00217F40">
        <w:t xml:space="preserve">no </w:t>
      </w:r>
      <w:r w:rsidR="00A56A73">
        <w:t xml:space="preserve"> </w:t>
      </w:r>
      <w:r w:rsidR="00217F40">
        <w:t>material</w:t>
      </w:r>
      <w:proofErr w:type="gramEnd"/>
      <w:r w:rsidR="00217F40">
        <w:t xml:space="preserve"> predominante nas </w:t>
      </w:r>
      <w:r w:rsidR="00217F40" w:rsidRPr="00BE0285">
        <w:rPr>
          <w:caps/>
        </w:rPr>
        <w:t>paredes da casa</w:t>
      </w:r>
      <w:r w:rsidR="00217F40">
        <w:t xml:space="preserve">; substituindo a </w:t>
      </w:r>
      <w:r w:rsidR="00217F40" w:rsidRPr="00E7540C">
        <w:rPr>
          <w:caps/>
        </w:rPr>
        <w:t>utilização de petróleo/gás</w:t>
      </w:r>
      <w:r w:rsidR="00217F40">
        <w:t xml:space="preserve"> como energia</w:t>
      </w:r>
      <w:r w:rsidR="004C17D3">
        <w:t xml:space="preserve"> para iluminação, para o </w:t>
      </w:r>
      <w:r w:rsidR="004C17D3" w:rsidRPr="00E7540C">
        <w:rPr>
          <w:caps/>
        </w:rPr>
        <w:t xml:space="preserve">uso de energia elétrica </w:t>
      </w:r>
      <w:r w:rsidR="004C17D3">
        <w:t>(por exemplo, só 1% da população rural é que utiliza eletricidade, contra 21% da zona urbana); no tocante à energia para cozinhar (em 2000/2001, 96% da população fazia</w:t>
      </w:r>
      <w:r w:rsidR="00B10AAC">
        <w:t xml:space="preserve"> uso de lenha e só 1% é que fazia uso da eletricidade (PENCS</w:t>
      </w:r>
      <w:r w:rsidR="00E14FBF">
        <w:t>,</w:t>
      </w:r>
      <w:r w:rsidR="00B10AAC">
        <w:t xml:space="preserve"> 2004: 52).</w:t>
      </w:r>
    </w:p>
    <w:p w:rsidR="00B10AAC" w:rsidRDefault="00B10AAC" w:rsidP="009B7C14">
      <w:pPr>
        <w:jc w:val="both"/>
      </w:pPr>
      <w:r>
        <w:t>CONDIÇÕES DE SANEAMENTO – em 2001</w:t>
      </w:r>
      <w:r w:rsidR="009E7F0E">
        <w:t xml:space="preserve">, a maioria da população (58%) vivia em casas sem instalações sanitárias e sem latrina. A pior situação foi a da Zambézia (93%) e de Nampula (73%), e </w:t>
      </w:r>
      <w:r w:rsidR="00F26B4A">
        <w:t xml:space="preserve">cuja taxa é superior </w:t>
      </w:r>
      <w:r w:rsidR="009E7F0E">
        <w:t>à média nacional</w:t>
      </w:r>
      <w:r w:rsidR="00F26B4A">
        <w:t>.</w:t>
      </w:r>
      <w:r w:rsidR="009E7F0E">
        <w:t xml:space="preserve"> </w:t>
      </w:r>
      <w:r w:rsidR="00F26B4A">
        <w:t xml:space="preserve">A </w:t>
      </w:r>
      <w:r w:rsidR="00F26B4A" w:rsidRPr="00E7540C">
        <w:rPr>
          <w:caps/>
        </w:rPr>
        <w:t>ausência de instalações sanitárias e de latrinas</w:t>
      </w:r>
      <w:r w:rsidR="00F26B4A">
        <w:t xml:space="preserve"> é um dos fatores mais preditivos da desnutrição crónica, e aparece associado a infeções gastrointestinais, e a parasitoses, que afetam a saúde</w:t>
      </w:r>
      <w:r w:rsidR="00E906E6">
        <w:t xml:space="preserve"> e o estado nutricional das mães.</w:t>
      </w:r>
    </w:p>
    <w:p w:rsidR="00E906E6" w:rsidRDefault="00E906E6" w:rsidP="009B7C14">
      <w:pPr>
        <w:jc w:val="both"/>
      </w:pPr>
      <w:r>
        <w:t xml:space="preserve">CONDIÇÕES DE ABASTECIMENTO DE ÁGUA – em 2001, </w:t>
      </w:r>
      <w:r w:rsidR="00A56A73">
        <w:t xml:space="preserve">só uma minoria da população (24%) tinha </w:t>
      </w:r>
      <w:r w:rsidR="00A56A73" w:rsidRPr="00E7540C">
        <w:rPr>
          <w:caps/>
        </w:rPr>
        <w:t>acesso a água potável canalizada</w:t>
      </w:r>
      <w:r w:rsidR="00A56A73">
        <w:t xml:space="preserve"> (dentro ou fora de casa), enquanto 13% utilizavam água </w:t>
      </w:r>
      <w:proofErr w:type="gramStart"/>
      <w:r w:rsidR="00A56A73">
        <w:t>de  poços</w:t>
      </w:r>
      <w:proofErr w:type="gramEnd"/>
      <w:r w:rsidR="00A56A73">
        <w:t xml:space="preserve">  protegidos, 42% de poços não protegidos, e 17% usavam águas superficiais. Não denota muito progresso os anos 2002/03</w:t>
      </w:r>
      <w:r w:rsidR="00971E78">
        <w:t>, com percentagens de 16% para água canalizada, 20% para água de poços protegidos, 42% para água de poços não protegidos e 16%</w:t>
      </w:r>
      <w:r w:rsidR="00E14FBF">
        <w:t xml:space="preserve"> para águas superficiais (PENCS,</w:t>
      </w:r>
      <w:r w:rsidR="00971E78">
        <w:t xml:space="preserve"> 2004: 53)</w:t>
      </w:r>
    </w:p>
    <w:p w:rsidR="007D3F34" w:rsidRDefault="007D3F34" w:rsidP="009B7C14">
      <w:pPr>
        <w:jc w:val="both"/>
      </w:pPr>
    </w:p>
    <w:p w:rsidR="007D3F34" w:rsidRDefault="007D3F34" w:rsidP="009E185F">
      <w:pPr>
        <w:jc w:val="both"/>
      </w:pPr>
      <w:r>
        <w:t>INDICADORES DE IMPACTO GLOBAL</w:t>
      </w:r>
    </w:p>
    <w:p w:rsidR="00A3033C" w:rsidRDefault="002D1CF7" w:rsidP="002D1CF7">
      <w:pPr>
        <w:jc w:val="both"/>
      </w:pPr>
      <w:r>
        <w:t>São fatores (ou variáveis) com as quais faz todo o sentido cruzar</w:t>
      </w:r>
      <w:r w:rsidR="000B53ED">
        <w:t xml:space="preserve"> a prevalência </w:t>
      </w:r>
      <w:proofErr w:type="spellStart"/>
      <w:proofErr w:type="gramStart"/>
      <w:r w:rsidR="000B53ED">
        <w:t>socio-cultural</w:t>
      </w:r>
      <w:proofErr w:type="spellEnd"/>
      <w:r w:rsidR="000B53ED">
        <w:t xml:space="preserve">  antropológica</w:t>
      </w:r>
      <w:proofErr w:type="gramEnd"/>
      <w:r w:rsidR="000B53ED">
        <w:t xml:space="preserve"> em termos de Valores Ético-Filosóficos, seguidos pela Comunidade Política que é Moçambique</w:t>
      </w:r>
      <w:r w:rsidR="00424FDC">
        <w:t>,</w:t>
      </w:r>
      <w:r w:rsidR="00787A32">
        <w:t xml:space="preserve"> e cujo tecido humano, em termos de fazedores de opinião e constituição de senso comum, já abordamos na caracterização</w:t>
      </w:r>
      <w:r w:rsidR="008C6F89">
        <w:t xml:space="preserve"> humana do país.</w:t>
      </w:r>
      <w:r w:rsidR="000B53ED">
        <w:t xml:space="preserve"> </w:t>
      </w:r>
      <w:r w:rsidR="008C6F89">
        <w:t>Digamos que é importante aqui,</w:t>
      </w:r>
      <w:r w:rsidR="000B53ED">
        <w:t xml:space="preserve"> a metafisica e a posição das confissões religiosas, face à abordagem de temas como a vida, a doença, o sexo</w:t>
      </w:r>
      <w:r w:rsidR="00424FDC">
        <w:t xml:space="preserve"> (reprodução e prazer), a solidariedade</w:t>
      </w:r>
      <w:r w:rsidR="000B53ED">
        <w:t xml:space="preserve"> </w:t>
      </w:r>
      <w:r w:rsidR="00424FDC">
        <w:t xml:space="preserve">(no amor e na amizade; na família e no trabalho; no emprego e no desemprego). Eis pois, algumas </w:t>
      </w:r>
      <w:r w:rsidR="008C6F89">
        <w:t xml:space="preserve">outras </w:t>
      </w:r>
      <w:r w:rsidR="00424FDC">
        <w:t>preocupações</w:t>
      </w:r>
      <w:r w:rsidR="003C0689">
        <w:t xml:space="preserve">, </w:t>
      </w:r>
      <w:r w:rsidR="008C6F89">
        <w:t>(</w:t>
      </w:r>
      <w:r w:rsidR="003C0689">
        <w:t>para além das religiosas e dos princípio éticos</w:t>
      </w:r>
      <w:r w:rsidR="008C6F89">
        <w:t>)</w:t>
      </w:r>
      <w:r w:rsidR="003C0689">
        <w:t>, que competem diretamente com a univ</w:t>
      </w:r>
      <w:r w:rsidR="008C6F89">
        <w:t>ersalidade dos Direitos Humanos, cuja dualidade igualdade/desigualdade se debate entre o direito à igualdade da condição humana, e o direito à diferença</w:t>
      </w:r>
      <w:r w:rsidR="006C7C2D">
        <w:t>, não só</w:t>
      </w:r>
      <w:r w:rsidR="008C6F89">
        <w:t xml:space="preserve"> em termos biológicos</w:t>
      </w:r>
      <w:r w:rsidR="006C7C2D">
        <w:t xml:space="preserve">, bem como de opinião política e religiosa e de raça e, </w:t>
      </w:r>
      <w:proofErr w:type="gramStart"/>
      <w:r w:rsidR="006C7C2D">
        <w:t>em  como</w:t>
      </w:r>
      <w:proofErr w:type="gramEnd"/>
      <w:r w:rsidR="006C7C2D">
        <w:t xml:space="preserve"> temos vindo a falar, no direito à preferência</w:t>
      </w:r>
      <w:r w:rsidR="008C6F89">
        <w:t xml:space="preserve"> </w:t>
      </w:r>
      <w:r w:rsidR="006C7C2D">
        <w:t>sexual.</w:t>
      </w:r>
    </w:p>
    <w:p w:rsidR="002D1CF7" w:rsidRDefault="002D1CF7" w:rsidP="002D1CF7">
      <w:pPr>
        <w:jc w:val="both"/>
      </w:pPr>
    </w:p>
    <w:p w:rsidR="000331F7" w:rsidRDefault="000331F7" w:rsidP="000331F7">
      <w:pPr>
        <w:pStyle w:val="PargrafodaLista"/>
        <w:ind w:left="435"/>
        <w:jc w:val="both"/>
      </w:pPr>
    </w:p>
    <w:p w:rsidR="00B940AE" w:rsidRDefault="00AA4FC9" w:rsidP="00A3033C">
      <w:pPr>
        <w:pStyle w:val="PargrafodaLista"/>
        <w:numPr>
          <w:ilvl w:val="2"/>
          <w:numId w:val="14"/>
        </w:numPr>
        <w:jc w:val="both"/>
      </w:pPr>
      <w:r>
        <w:t>P</w:t>
      </w:r>
      <w:r w:rsidR="00B940AE">
        <w:t>osição das Confissões Religiosas</w:t>
      </w:r>
    </w:p>
    <w:p w:rsidR="00B940AE" w:rsidRDefault="00B940AE" w:rsidP="00B940AE">
      <w:pPr>
        <w:jc w:val="both"/>
      </w:pPr>
      <w:r>
        <w:t>Segundo o Recenseamento Geral da População de 1997, 23</w:t>
      </w:r>
      <w:r w:rsidR="0073652C">
        <w:t>.</w:t>
      </w:r>
      <w:r>
        <w:t>8%</w:t>
      </w:r>
      <w:r w:rsidR="0073652C">
        <w:t xml:space="preserve"> da população são CATÓLICOS; 23.</w:t>
      </w:r>
      <w:r>
        <w:t>1</w:t>
      </w:r>
      <w:r w:rsidR="0073652C">
        <w:t>% são SEM RELIGIÃO; 17.5% são ZIONES; 7.9% são de OUTRAS RELIGIÕES; 7.8% das DIVERSAS denominações PROTESTANTES e 2.1% são animistas (</w:t>
      </w:r>
      <w:r w:rsidR="00E14FBF">
        <w:t>PENCS,</w:t>
      </w:r>
      <w:r w:rsidR="005969C9">
        <w:t xml:space="preserve"> 2004: 69).</w:t>
      </w:r>
    </w:p>
    <w:p w:rsidR="00004C19" w:rsidRDefault="005969C9" w:rsidP="00B940AE">
      <w:pPr>
        <w:jc w:val="both"/>
      </w:pPr>
      <w:r>
        <w:lastRenderedPageBreak/>
        <w:t>Algumas confissões religiosas, como por exemplo a C</w:t>
      </w:r>
      <w:r w:rsidR="00435F73">
        <w:t>ATÓLICA</w:t>
      </w:r>
      <w:r>
        <w:t>, são bastante críticas em relação às estratégias de prevenção do HIV</w:t>
      </w:r>
      <w:r w:rsidR="00435F73">
        <w:t xml:space="preserve">/SIDA que privilegiam a EDUCAÇÃO SEXUAL e promovem o uso do PRESERVATIVO, pois consideram </w:t>
      </w:r>
      <w:proofErr w:type="gramStart"/>
      <w:r w:rsidR="00435F73">
        <w:t>que  desse</w:t>
      </w:r>
      <w:proofErr w:type="gramEnd"/>
      <w:r w:rsidR="00435F73">
        <w:t xml:space="preserve"> modo se encoraja a promiscuidade. Os ISLÂMICOS têm uma posição mais extrema pois sustentam que o HIV/SIDA é uma doença que não afeta os </w:t>
      </w:r>
      <w:r w:rsidR="00653649">
        <w:t>seus crentes, uma vez que eles seguem os preceitos religiosos que impõem a FIDELIDADE CONJUGAL e condenam a PROMISCUIDADE SEXUAL, categoria</w:t>
      </w:r>
      <w:r w:rsidR="00816417">
        <w:t xml:space="preserve">s </w:t>
      </w:r>
      <w:proofErr w:type="gramStart"/>
      <w:r w:rsidR="00816417">
        <w:t xml:space="preserve">que </w:t>
      </w:r>
      <w:r w:rsidR="00653649">
        <w:t xml:space="preserve"> incluem</w:t>
      </w:r>
      <w:proofErr w:type="gramEnd"/>
      <w:r w:rsidR="00653649">
        <w:t xml:space="preserve">, </w:t>
      </w:r>
      <w:r w:rsidR="00816417">
        <w:t>d</w:t>
      </w:r>
      <w:r w:rsidR="00653649">
        <w:t>esde práticas homossexuais, sexo comercial, a banalização do sexo promovida pelos meios de  comunicação social</w:t>
      </w:r>
      <w:r w:rsidR="00E14FBF">
        <w:t xml:space="preserve"> (PENCS,</w:t>
      </w:r>
      <w:r w:rsidR="00ED453A">
        <w:t xml:space="preserve"> 2004: 69)</w:t>
      </w:r>
    </w:p>
    <w:p w:rsidR="00004C19" w:rsidRDefault="00004C19" w:rsidP="00004C19">
      <w:pPr>
        <w:pStyle w:val="PargrafodaLista"/>
        <w:jc w:val="both"/>
      </w:pPr>
    </w:p>
    <w:p w:rsidR="006C02BC" w:rsidRDefault="006C02BC" w:rsidP="00A3033C">
      <w:pPr>
        <w:pStyle w:val="PargrafodaLista"/>
        <w:numPr>
          <w:ilvl w:val="2"/>
          <w:numId w:val="14"/>
        </w:numPr>
        <w:jc w:val="both"/>
      </w:pPr>
      <w:r>
        <w:t>Direitos Humanos e Princípios Éticos</w:t>
      </w:r>
    </w:p>
    <w:p w:rsidR="00A3033C" w:rsidRDefault="00AF08AB" w:rsidP="006C02BC">
      <w:pPr>
        <w:jc w:val="both"/>
      </w:pPr>
      <w:r>
        <w:t xml:space="preserve">Em Moçambique, a ocorrência da pobreza e as dificuldades económicas que, de uma maneira geral, limitam a </w:t>
      </w:r>
      <w:proofErr w:type="gramStart"/>
      <w:r>
        <w:t>capacidade  de</w:t>
      </w:r>
      <w:proofErr w:type="gramEnd"/>
      <w:r>
        <w:t xml:space="preserve"> resposta à pandemia</w:t>
      </w:r>
      <w:r w:rsidR="00BF3E1A">
        <w:t>, refletem o fraco nível de integração de medidas de respeito e preservação dos direitos humanos, em ações levadas a cabo em diversos níveis, como por exemplo o Plano Estratégico Nacional de Combate às DST/HIV/SIDA (PENCS), e o Conselho Nacional de Combate ao Sida (CNCS), são disso expressão (PENCS, 2004: 105)</w:t>
      </w:r>
      <w:r w:rsidR="00BC3486">
        <w:t>.</w:t>
      </w:r>
    </w:p>
    <w:p w:rsidR="00BC3486" w:rsidRDefault="00BC3486" w:rsidP="006C02BC">
      <w:pPr>
        <w:jc w:val="both"/>
      </w:pPr>
      <w:r>
        <w:t xml:space="preserve">Na prática, o problema que se coloca ao combate ao </w:t>
      </w:r>
      <w:proofErr w:type="gramStart"/>
      <w:r>
        <w:t>HIV</w:t>
      </w:r>
      <w:proofErr w:type="gramEnd"/>
      <w:r>
        <w:t xml:space="preserve">, e decorrente dos Direitos Humanos, é como lidar com a dualidade cultural de género, </w:t>
      </w:r>
      <w:r w:rsidRPr="001016D6">
        <w:rPr>
          <w:caps/>
        </w:rPr>
        <w:t>igualdade/ desigualdade</w:t>
      </w:r>
      <w:r>
        <w:t>, como o principal alimentador do contágio pelo HIV.</w:t>
      </w:r>
    </w:p>
    <w:p w:rsidR="00BC3486" w:rsidRDefault="00BC3486" w:rsidP="006C02BC">
      <w:pPr>
        <w:jc w:val="both"/>
      </w:pPr>
      <w:r>
        <w:t xml:space="preserve">Procura-se, quanto antes, </w:t>
      </w:r>
      <w:r w:rsidR="005B375C">
        <w:t>a I</w:t>
      </w:r>
      <w:r w:rsidR="001016D6">
        <w:t>GUALDADE</w:t>
      </w:r>
      <w:r w:rsidR="005B375C">
        <w:t xml:space="preserve"> de Género, de forma a valorizar de igual modo, os distintos papéis que homens e mulheres desempenham na sociedade, de forma a mitigar o </w:t>
      </w:r>
      <w:r w:rsidR="00EA7239">
        <w:t xml:space="preserve">substrato que </w:t>
      </w:r>
      <w:r w:rsidR="005B375C">
        <w:t xml:space="preserve">a pobreza permite, infetando cerca de metade da população, que como já dissemos na «Prevalência do </w:t>
      </w:r>
      <w:proofErr w:type="gramStart"/>
      <w:r w:rsidR="005B375C">
        <w:t>HIV</w:t>
      </w:r>
      <w:proofErr w:type="gramEnd"/>
      <w:r w:rsidR="005B375C">
        <w:t>, por sexo e idade», é feminina</w:t>
      </w:r>
      <w:r w:rsidR="001016D6">
        <w:t>.</w:t>
      </w:r>
    </w:p>
    <w:p w:rsidR="001016D6" w:rsidRDefault="001016D6" w:rsidP="006C02BC">
      <w:pPr>
        <w:jc w:val="both"/>
      </w:pPr>
      <w:r>
        <w:t>Esta Igualdade de Género é exequível uma vez que, homens e mulheres são ambos elementos constitutivos da humanidade. No polo da Desigualdade, esbarramos no DIREITO À DIFERENÇA. Se reconhecemos</w:t>
      </w:r>
      <w:r w:rsidR="00EA7239">
        <w:t xml:space="preserve"> o direito à diferença biológica, também se reconhece o direito de pertencer a diferentes classes sociais, opiniões políticas, religiões, etnias, raças, ou preferências sexuais.</w:t>
      </w:r>
    </w:p>
    <w:p w:rsidR="00EA7239" w:rsidRDefault="00EA7239" w:rsidP="006C02BC">
      <w:pPr>
        <w:jc w:val="both"/>
      </w:pPr>
      <w:r>
        <w:t>É com este panorama</w:t>
      </w:r>
      <w:r w:rsidR="005F0E9B">
        <w:t>, que aprendemos com Helena RATO que, ao chefiar um grupo de investigadores, nos mostrou a diferença na igualdade.</w:t>
      </w:r>
    </w:p>
    <w:p w:rsidR="00A3033C" w:rsidRDefault="00A3033C" w:rsidP="006C02BC">
      <w:pPr>
        <w:jc w:val="both"/>
      </w:pPr>
    </w:p>
    <w:p w:rsidR="008175C8" w:rsidRDefault="008175C8" w:rsidP="006C02BC">
      <w:pPr>
        <w:jc w:val="both"/>
      </w:pPr>
      <w:r>
        <w:t xml:space="preserve">PRINCÍPIOS ÉTICOS – </w:t>
      </w:r>
      <w:r w:rsidR="007323CB">
        <w:t>referir o dever que cabe ao Estado de fazer verificar Princípios Éticos</w:t>
      </w:r>
      <w:r w:rsidR="000C4777">
        <w:t xml:space="preserve"> e legislar sobre Códigos de Conduta e Práticas Profissionais relevantes para o </w:t>
      </w:r>
      <w:proofErr w:type="gramStart"/>
      <w:r w:rsidR="000C4777">
        <w:t>HIV</w:t>
      </w:r>
      <w:proofErr w:type="gramEnd"/>
      <w:r w:rsidR="000C4777">
        <w:t>/SIDA. Outras quebras de ética são:</w:t>
      </w:r>
      <w:r w:rsidR="00AF7653">
        <w:t xml:space="preserve"> </w:t>
      </w:r>
      <w:r>
        <w:t xml:space="preserve">a falta de </w:t>
      </w:r>
      <w:r w:rsidR="00AF7653">
        <w:t>confidencialidade no tratamento da doença, bem como r</w:t>
      </w:r>
      <w:r>
        <w:t>evelar o E</w:t>
      </w:r>
      <w:r w:rsidR="00AF7653">
        <w:t>statuto de Seropositividade</w:t>
      </w:r>
      <w:r>
        <w:t xml:space="preserve"> como obrigação para admissão a um emprego, ou a perda</w:t>
      </w:r>
      <w:r w:rsidR="007323CB">
        <w:t xml:space="preserve"> de um;</w:t>
      </w:r>
    </w:p>
    <w:p w:rsidR="005B1B93" w:rsidRDefault="007323CB" w:rsidP="006C02BC">
      <w:pPr>
        <w:jc w:val="both"/>
      </w:pPr>
      <w:r>
        <w:t>Proteção das PVHS contra o ESTIGMA E A DISCRIMINAÇÃO, desemboca na rejeição social e isolamento a que estas PVHS são alvo, atingem igualmente o seu núcleo familiar e amigos (PENCS, 2004: 105).</w:t>
      </w:r>
    </w:p>
    <w:sectPr w:rsidR="005B1B93" w:rsidSect="00E44F09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F7" w:rsidRDefault="007059F7" w:rsidP="006C77F5">
      <w:pPr>
        <w:spacing w:after="0" w:line="240" w:lineRule="auto"/>
      </w:pPr>
      <w:r>
        <w:separator/>
      </w:r>
    </w:p>
  </w:endnote>
  <w:endnote w:type="continuationSeparator" w:id="0">
    <w:p w:rsidR="007059F7" w:rsidRDefault="007059F7" w:rsidP="006C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5603"/>
      <w:docPartObj>
        <w:docPartGallery w:val="Page Numbers (Bottom of Page)"/>
        <w:docPartUnique/>
      </w:docPartObj>
    </w:sdtPr>
    <w:sdtContent>
      <w:p w:rsidR="00BE64EE" w:rsidRDefault="000B77D6">
        <w:pPr>
          <w:pStyle w:val="Rodap"/>
          <w:jc w:val="right"/>
        </w:pPr>
        <w:fldSimple w:instr=" PAGE   \* MERGEFORMAT ">
          <w:r w:rsidR="00A50A2D">
            <w:rPr>
              <w:noProof/>
            </w:rPr>
            <w:t>43</w:t>
          </w:r>
        </w:fldSimple>
      </w:p>
    </w:sdtContent>
  </w:sdt>
  <w:p w:rsidR="00787A32" w:rsidRDefault="00787A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F7" w:rsidRDefault="007059F7" w:rsidP="006C77F5">
      <w:pPr>
        <w:spacing w:after="0" w:line="240" w:lineRule="auto"/>
      </w:pPr>
      <w:r>
        <w:separator/>
      </w:r>
    </w:p>
  </w:footnote>
  <w:footnote w:type="continuationSeparator" w:id="0">
    <w:p w:rsidR="007059F7" w:rsidRDefault="007059F7" w:rsidP="006C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32" w:rsidRPr="00415B01" w:rsidRDefault="00787A32">
    <w:pPr>
      <w:pStyle w:val="Cabealho"/>
      <w:rPr>
        <w:i/>
      </w:rPr>
    </w:pPr>
    <w:r w:rsidRPr="00415B01">
      <w:rPr>
        <w:i/>
      </w:rPr>
      <w:t>,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220"/>
    <w:multiLevelType w:val="hybridMultilevel"/>
    <w:tmpl w:val="26DE9DA2"/>
    <w:lvl w:ilvl="0" w:tplc="B888C5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41B3"/>
    <w:multiLevelType w:val="multilevel"/>
    <w:tmpl w:val="64E4016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83E5BC5"/>
    <w:multiLevelType w:val="hybridMultilevel"/>
    <w:tmpl w:val="940E5DDE"/>
    <w:lvl w:ilvl="0" w:tplc="4386DB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845B0"/>
    <w:multiLevelType w:val="multilevel"/>
    <w:tmpl w:val="80246C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22B22E4"/>
    <w:multiLevelType w:val="hybridMultilevel"/>
    <w:tmpl w:val="9B7A3EDA"/>
    <w:lvl w:ilvl="0" w:tplc="6942897A">
      <w:start w:val="5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A32E1D"/>
    <w:multiLevelType w:val="multilevel"/>
    <w:tmpl w:val="AAA2ABE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4565CB"/>
    <w:multiLevelType w:val="hybridMultilevel"/>
    <w:tmpl w:val="56D6EA8A"/>
    <w:lvl w:ilvl="0" w:tplc="F4AC1A8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D144B33"/>
    <w:multiLevelType w:val="hybridMultilevel"/>
    <w:tmpl w:val="3A2E438E"/>
    <w:lvl w:ilvl="0" w:tplc="39864F7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584287"/>
    <w:multiLevelType w:val="multilevel"/>
    <w:tmpl w:val="0EE2698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CA83F2F"/>
    <w:multiLevelType w:val="multilevel"/>
    <w:tmpl w:val="5976962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1EC2EA0"/>
    <w:multiLevelType w:val="hybridMultilevel"/>
    <w:tmpl w:val="0EB6A360"/>
    <w:lvl w:ilvl="0" w:tplc="933610D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815D8B"/>
    <w:multiLevelType w:val="multilevel"/>
    <w:tmpl w:val="BCEA12D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2">
    <w:nsid w:val="75E659FC"/>
    <w:multiLevelType w:val="multilevel"/>
    <w:tmpl w:val="CEB2112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F7C1D59"/>
    <w:multiLevelType w:val="multilevel"/>
    <w:tmpl w:val="2A08FD2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6B4"/>
    <w:rsid w:val="000029E4"/>
    <w:rsid w:val="00004C19"/>
    <w:rsid w:val="0000576D"/>
    <w:rsid w:val="00014A61"/>
    <w:rsid w:val="000331F7"/>
    <w:rsid w:val="000346DF"/>
    <w:rsid w:val="00035FF4"/>
    <w:rsid w:val="0004477A"/>
    <w:rsid w:val="00045CF5"/>
    <w:rsid w:val="000513DA"/>
    <w:rsid w:val="00053F36"/>
    <w:rsid w:val="0007382C"/>
    <w:rsid w:val="0009705E"/>
    <w:rsid w:val="000B468B"/>
    <w:rsid w:val="000B53ED"/>
    <w:rsid w:val="000B77D6"/>
    <w:rsid w:val="000C4777"/>
    <w:rsid w:val="000C62B7"/>
    <w:rsid w:val="000D4A7E"/>
    <w:rsid w:val="000E7EB5"/>
    <w:rsid w:val="00100953"/>
    <w:rsid w:val="001016D6"/>
    <w:rsid w:val="00114916"/>
    <w:rsid w:val="0012280E"/>
    <w:rsid w:val="001240CF"/>
    <w:rsid w:val="00124159"/>
    <w:rsid w:val="00175DDD"/>
    <w:rsid w:val="00176712"/>
    <w:rsid w:val="00176BCD"/>
    <w:rsid w:val="0018064C"/>
    <w:rsid w:val="00186CE9"/>
    <w:rsid w:val="00190004"/>
    <w:rsid w:val="001B011F"/>
    <w:rsid w:val="001B2D91"/>
    <w:rsid w:val="001B7469"/>
    <w:rsid w:val="001C09FE"/>
    <w:rsid w:val="001C3FC0"/>
    <w:rsid w:val="001F3993"/>
    <w:rsid w:val="001F46F8"/>
    <w:rsid w:val="00213487"/>
    <w:rsid w:val="00217F40"/>
    <w:rsid w:val="00222242"/>
    <w:rsid w:val="00230F23"/>
    <w:rsid w:val="00241D4B"/>
    <w:rsid w:val="00243207"/>
    <w:rsid w:val="002449A5"/>
    <w:rsid w:val="00246926"/>
    <w:rsid w:val="00251004"/>
    <w:rsid w:val="00264E89"/>
    <w:rsid w:val="00267300"/>
    <w:rsid w:val="00282A26"/>
    <w:rsid w:val="002848DE"/>
    <w:rsid w:val="00295F89"/>
    <w:rsid w:val="002A0055"/>
    <w:rsid w:val="002B0A70"/>
    <w:rsid w:val="002C78A7"/>
    <w:rsid w:val="002D06AD"/>
    <w:rsid w:val="002D1CF7"/>
    <w:rsid w:val="002E167C"/>
    <w:rsid w:val="002E32E8"/>
    <w:rsid w:val="00306993"/>
    <w:rsid w:val="00321912"/>
    <w:rsid w:val="00330CF5"/>
    <w:rsid w:val="0033228B"/>
    <w:rsid w:val="00342581"/>
    <w:rsid w:val="003656A7"/>
    <w:rsid w:val="00380B55"/>
    <w:rsid w:val="00384E41"/>
    <w:rsid w:val="003A7396"/>
    <w:rsid w:val="003B06B0"/>
    <w:rsid w:val="003B24CF"/>
    <w:rsid w:val="003B534F"/>
    <w:rsid w:val="003B5A6C"/>
    <w:rsid w:val="003C02AF"/>
    <w:rsid w:val="003C0689"/>
    <w:rsid w:val="003C61BA"/>
    <w:rsid w:val="003C7E43"/>
    <w:rsid w:val="003D0D67"/>
    <w:rsid w:val="003E1039"/>
    <w:rsid w:val="003E4149"/>
    <w:rsid w:val="003E5C91"/>
    <w:rsid w:val="0040084B"/>
    <w:rsid w:val="00402AAE"/>
    <w:rsid w:val="004057B3"/>
    <w:rsid w:val="00411CAC"/>
    <w:rsid w:val="00415B01"/>
    <w:rsid w:val="00424FDC"/>
    <w:rsid w:val="004349C4"/>
    <w:rsid w:val="00435F73"/>
    <w:rsid w:val="0045079C"/>
    <w:rsid w:val="00454132"/>
    <w:rsid w:val="0045464E"/>
    <w:rsid w:val="004609C4"/>
    <w:rsid w:val="00461794"/>
    <w:rsid w:val="00486697"/>
    <w:rsid w:val="004B5D71"/>
    <w:rsid w:val="004B7186"/>
    <w:rsid w:val="004C13C0"/>
    <w:rsid w:val="004C17D3"/>
    <w:rsid w:val="004C1BAE"/>
    <w:rsid w:val="004C5920"/>
    <w:rsid w:val="004E0021"/>
    <w:rsid w:val="004F4869"/>
    <w:rsid w:val="004F6B70"/>
    <w:rsid w:val="00505424"/>
    <w:rsid w:val="00516F4E"/>
    <w:rsid w:val="0051717D"/>
    <w:rsid w:val="00530748"/>
    <w:rsid w:val="00531056"/>
    <w:rsid w:val="00540742"/>
    <w:rsid w:val="00544CB0"/>
    <w:rsid w:val="00546053"/>
    <w:rsid w:val="00547BD0"/>
    <w:rsid w:val="005677EF"/>
    <w:rsid w:val="00584FD9"/>
    <w:rsid w:val="00586B72"/>
    <w:rsid w:val="005925B6"/>
    <w:rsid w:val="005969C9"/>
    <w:rsid w:val="005B03FE"/>
    <w:rsid w:val="005B1846"/>
    <w:rsid w:val="005B1B93"/>
    <w:rsid w:val="005B375C"/>
    <w:rsid w:val="005E741B"/>
    <w:rsid w:val="005F0E9B"/>
    <w:rsid w:val="005F12CE"/>
    <w:rsid w:val="005F4F86"/>
    <w:rsid w:val="00621CDD"/>
    <w:rsid w:val="00631B84"/>
    <w:rsid w:val="00632180"/>
    <w:rsid w:val="00633EE0"/>
    <w:rsid w:val="00636C36"/>
    <w:rsid w:val="00637AD6"/>
    <w:rsid w:val="00643D4B"/>
    <w:rsid w:val="00653649"/>
    <w:rsid w:val="00654215"/>
    <w:rsid w:val="006557A1"/>
    <w:rsid w:val="00660474"/>
    <w:rsid w:val="0066386B"/>
    <w:rsid w:val="006671FF"/>
    <w:rsid w:val="00670004"/>
    <w:rsid w:val="00672ABA"/>
    <w:rsid w:val="00674D77"/>
    <w:rsid w:val="006759C3"/>
    <w:rsid w:val="0069461B"/>
    <w:rsid w:val="006A552A"/>
    <w:rsid w:val="006C02BC"/>
    <w:rsid w:val="006C34FE"/>
    <w:rsid w:val="006C5120"/>
    <w:rsid w:val="006C77F5"/>
    <w:rsid w:val="006C7C2D"/>
    <w:rsid w:val="006D4BF9"/>
    <w:rsid w:val="006E0722"/>
    <w:rsid w:val="006E487C"/>
    <w:rsid w:val="006F1A5E"/>
    <w:rsid w:val="006F2DED"/>
    <w:rsid w:val="007059F7"/>
    <w:rsid w:val="007323CB"/>
    <w:rsid w:val="007354D4"/>
    <w:rsid w:val="0073652C"/>
    <w:rsid w:val="00751DF5"/>
    <w:rsid w:val="0075396C"/>
    <w:rsid w:val="00783A3B"/>
    <w:rsid w:val="00787A32"/>
    <w:rsid w:val="00790B9A"/>
    <w:rsid w:val="00794D78"/>
    <w:rsid w:val="0079729D"/>
    <w:rsid w:val="007A64D1"/>
    <w:rsid w:val="007B1EEA"/>
    <w:rsid w:val="007B5672"/>
    <w:rsid w:val="007B5931"/>
    <w:rsid w:val="007D3F34"/>
    <w:rsid w:val="007D6ED7"/>
    <w:rsid w:val="007F2BFA"/>
    <w:rsid w:val="007F591E"/>
    <w:rsid w:val="00816417"/>
    <w:rsid w:val="008175C8"/>
    <w:rsid w:val="008227B1"/>
    <w:rsid w:val="00826F1D"/>
    <w:rsid w:val="00832B40"/>
    <w:rsid w:val="008356FE"/>
    <w:rsid w:val="00835AD9"/>
    <w:rsid w:val="00852B3E"/>
    <w:rsid w:val="00862C25"/>
    <w:rsid w:val="00877678"/>
    <w:rsid w:val="00890C6B"/>
    <w:rsid w:val="00894440"/>
    <w:rsid w:val="008A0DF6"/>
    <w:rsid w:val="008B1C71"/>
    <w:rsid w:val="008B4406"/>
    <w:rsid w:val="008C23D6"/>
    <w:rsid w:val="008C6F89"/>
    <w:rsid w:val="008D256D"/>
    <w:rsid w:val="009226BF"/>
    <w:rsid w:val="0093260B"/>
    <w:rsid w:val="00942106"/>
    <w:rsid w:val="009447E9"/>
    <w:rsid w:val="00944997"/>
    <w:rsid w:val="009470A5"/>
    <w:rsid w:val="00953A8E"/>
    <w:rsid w:val="00971E78"/>
    <w:rsid w:val="009B7C14"/>
    <w:rsid w:val="009C77A1"/>
    <w:rsid w:val="009E185F"/>
    <w:rsid w:val="009E6060"/>
    <w:rsid w:val="009E7F0E"/>
    <w:rsid w:val="009F68FC"/>
    <w:rsid w:val="00A3033C"/>
    <w:rsid w:val="00A44757"/>
    <w:rsid w:val="00A50A2D"/>
    <w:rsid w:val="00A5360E"/>
    <w:rsid w:val="00A56A73"/>
    <w:rsid w:val="00A618FE"/>
    <w:rsid w:val="00A80FFB"/>
    <w:rsid w:val="00A84ED5"/>
    <w:rsid w:val="00A94400"/>
    <w:rsid w:val="00A977D8"/>
    <w:rsid w:val="00A97D57"/>
    <w:rsid w:val="00AA0140"/>
    <w:rsid w:val="00AA4FC9"/>
    <w:rsid w:val="00AA69E6"/>
    <w:rsid w:val="00AD1CDA"/>
    <w:rsid w:val="00AE228A"/>
    <w:rsid w:val="00AE57DA"/>
    <w:rsid w:val="00AF08AB"/>
    <w:rsid w:val="00AF1410"/>
    <w:rsid w:val="00AF522B"/>
    <w:rsid w:val="00AF7653"/>
    <w:rsid w:val="00B00A1A"/>
    <w:rsid w:val="00B00EE8"/>
    <w:rsid w:val="00B07D20"/>
    <w:rsid w:val="00B10AAC"/>
    <w:rsid w:val="00B267D6"/>
    <w:rsid w:val="00B44713"/>
    <w:rsid w:val="00B538ED"/>
    <w:rsid w:val="00B72574"/>
    <w:rsid w:val="00B75442"/>
    <w:rsid w:val="00B85665"/>
    <w:rsid w:val="00B940AE"/>
    <w:rsid w:val="00BA19A3"/>
    <w:rsid w:val="00BC3486"/>
    <w:rsid w:val="00BD33B8"/>
    <w:rsid w:val="00BD39F3"/>
    <w:rsid w:val="00BE0285"/>
    <w:rsid w:val="00BE2B24"/>
    <w:rsid w:val="00BE64EE"/>
    <w:rsid w:val="00BF233D"/>
    <w:rsid w:val="00BF3E1A"/>
    <w:rsid w:val="00C024CF"/>
    <w:rsid w:val="00C06790"/>
    <w:rsid w:val="00C174C6"/>
    <w:rsid w:val="00C17BF2"/>
    <w:rsid w:val="00C212AB"/>
    <w:rsid w:val="00C31AF3"/>
    <w:rsid w:val="00C36544"/>
    <w:rsid w:val="00C36E0B"/>
    <w:rsid w:val="00C37780"/>
    <w:rsid w:val="00C70BE2"/>
    <w:rsid w:val="00CA07CE"/>
    <w:rsid w:val="00CB64EC"/>
    <w:rsid w:val="00CC24DB"/>
    <w:rsid w:val="00CC6468"/>
    <w:rsid w:val="00CE3D97"/>
    <w:rsid w:val="00CF1967"/>
    <w:rsid w:val="00CF32CE"/>
    <w:rsid w:val="00D14373"/>
    <w:rsid w:val="00D147D5"/>
    <w:rsid w:val="00D14EBF"/>
    <w:rsid w:val="00D17469"/>
    <w:rsid w:val="00D20A0C"/>
    <w:rsid w:val="00D221D0"/>
    <w:rsid w:val="00D22CE1"/>
    <w:rsid w:val="00D250B3"/>
    <w:rsid w:val="00D2791F"/>
    <w:rsid w:val="00D31F57"/>
    <w:rsid w:val="00D42F70"/>
    <w:rsid w:val="00D5717D"/>
    <w:rsid w:val="00D7756B"/>
    <w:rsid w:val="00D8599A"/>
    <w:rsid w:val="00D87867"/>
    <w:rsid w:val="00DA516C"/>
    <w:rsid w:val="00DA7F41"/>
    <w:rsid w:val="00DC178F"/>
    <w:rsid w:val="00DC3CBE"/>
    <w:rsid w:val="00DC663B"/>
    <w:rsid w:val="00DC73E0"/>
    <w:rsid w:val="00DF4379"/>
    <w:rsid w:val="00E131CF"/>
    <w:rsid w:val="00E14C1C"/>
    <w:rsid w:val="00E14F8D"/>
    <w:rsid w:val="00E14FBF"/>
    <w:rsid w:val="00E375C1"/>
    <w:rsid w:val="00E37D4D"/>
    <w:rsid w:val="00E44F09"/>
    <w:rsid w:val="00E4705D"/>
    <w:rsid w:val="00E57282"/>
    <w:rsid w:val="00E7540C"/>
    <w:rsid w:val="00E82D9D"/>
    <w:rsid w:val="00E839E6"/>
    <w:rsid w:val="00E906E6"/>
    <w:rsid w:val="00EA7239"/>
    <w:rsid w:val="00EA7464"/>
    <w:rsid w:val="00EB2F0E"/>
    <w:rsid w:val="00EC258D"/>
    <w:rsid w:val="00EC4CEA"/>
    <w:rsid w:val="00EC5864"/>
    <w:rsid w:val="00ED453A"/>
    <w:rsid w:val="00EF0A45"/>
    <w:rsid w:val="00EF3033"/>
    <w:rsid w:val="00F00936"/>
    <w:rsid w:val="00F03489"/>
    <w:rsid w:val="00F131FF"/>
    <w:rsid w:val="00F220FE"/>
    <w:rsid w:val="00F25BD1"/>
    <w:rsid w:val="00F26B4A"/>
    <w:rsid w:val="00F43147"/>
    <w:rsid w:val="00F45258"/>
    <w:rsid w:val="00F60465"/>
    <w:rsid w:val="00F667D2"/>
    <w:rsid w:val="00F7595D"/>
    <w:rsid w:val="00F762AA"/>
    <w:rsid w:val="00F82F81"/>
    <w:rsid w:val="00F968E8"/>
    <w:rsid w:val="00FA0CDE"/>
    <w:rsid w:val="00FA7DCE"/>
    <w:rsid w:val="00FB2DDB"/>
    <w:rsid w:val="00FB6563"/>
    <w:rsid w:val="00FB798D"/>
    <w:rsid w:val="00FC1616"/>
    <w:rsid w:val="00FC424B"/>
    <w:rsid w:val="00FD16B4"/>
    <w:rsid w:val="00FD5A5B"/>
    <w:rsid w:val="00FF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16B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8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06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6C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C77F5"/>
  </w:style>
  <w:style w:type="paragraph" w:styleId="Rodap">
    <w:name w:val="footer"/>
    <w:basedOn w:val="Normal"/>
    <w:link w:val="RodapCarcter"/>
    <w:uiPriority w:val="99"/>
    <w:unhideWhenUsed/>
    <w:rsid w:val="006C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C7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tividade\Documents\Homo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tividade\Documents\Drog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tividade\Documents\Posse%20Ben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tividade\Documents\Desnutri&#231;&#227;o%20Cr&#243;nic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tividade\Documents\Habita&#231;&#227;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Folha1!$B$6</c:f>
              <c:strCache>
                <c:ptCount val="1"/>
                <c:pt idx="0">
                  <c:v>2002</c:v>
                </c:pt>
              </c:strCache>
            </c:strRef>
          </c:tx>
          <c:cat>
            <c:strRef>
              <c:f>Folha1!$C$5:$E$5</c:f>
              <c:strCache>
                <c:ptCount val="3"/>
                <c:pt idx="0">
                  <c:v>Total</c:v>
                </c:pt>
                <c:pt idx="1">
                  <c:v>Mulheres</c:v>
                </c:pt>
                <c:pt idx="2">
                  <c:v>Homens</c:v>
                </c:pt>
              </c:strCache>
            </c:strRef>
          </c:cat>
          <c:val>
            <c:numRef>
              <c:f>Folha1!$C$6:$E$6</c:f>
              <c:numCache>
                <c:formatCode>0.00%</c:formatCode>
                <c:ptCount val="3"/>
                <c:pt idx="0">
                  <c:v>0.32100000000000173</c:v>
                </c:pt>
                <c:pt idx="1">
                  <c:v>0.37200000000000155</c:v>
                </c:pt>
                <c:pt idx="2">
                  <c:v>0.28780000000000155</c:v>
                </c:pt>
              </c:numCache>
            </c:numRef>
          </c:val>
        </c:ser>
        <c:dLbls>
          <c:showVal val="1"/>
        </c:dLbls>
        <c:axId val="68470656"/>
        <c:axId val="68472192"/>
      </c:barChart>
      <c:catAx>
        <c:axId val="68470656"/>
        <c:scaling>
          <c:orientation val="minMax"/>
        </c:scaling>
        <c:axPos val="b"/>
        <c:tickLblPos val="nextTo"/>
        <c:crossAx val="68472192"/>
        <c:crosses val="autoZero"/>
        <c:auto val="1"/>
        <c:lblAlgn val="ctr"/>
        <c:lblOffset val="100"/>
      </c:catAx>
      <c:valAx>
        <c:axId val="68472192"/>
        <c:scaling>
          <c:orientation val="minMax"/>
        </c:scaling>
        <c:axPos val="l"/>
        <c:majorGridlines/>
        <c:numFmt formatCode="0.00%" sourceLinked="1"/>
        <c:tickLblPos val="nextTo"/>
        <c:crossAx val="6847065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plotArea>
      <c:layout>
        <c:manualLayout>
          <c:layoutTarget val="inner"/>
          <c:xMode val="edge"/>
          <c:yMode val="edge"/>
          <c:x val="7.4586497175334526E-2"/>
          <c:y val="0.13023361836396882"/>
          <c:w val="0.89893522051272723"/>
          <c:h val="0.76573700817509416"/>
        </c:manualLayout>
      </c:layout>
      <c:lineChart>
        <c:grouping val="standard"/>
        <c:ser>
          <c:idx val="1"/>
          <c:order val="0"/>
          <c:cat>
            <c:numRef>
              <c:f>Folha1!$B$4:$D$4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Folha1!$B$5:$D$5</c:f>
              <c:numCache>
                <c:formatCode>General</c:formatCode>
                <c:ptCount val="3"/>
                <c:pt idx="0">
                  <c:v>539</c:v>
                </c:pt>
                <c:pt idx="1">
                  <c:v>596</c:v>
                </c:pt>
                <c:pt idx="2">
                  <c:v>630</c:v>
                </c:pt>
              </c:numCache>
            </c:numRef>
          </c:val>
        </c:ser>
        <c:dLbls>
          <c:showVal val="1"/>
        </c:dLbls>
        <c:marker val="1"/>
        <c:axId val="69083904"/>
        <c:axId val="74298880"/>
      </c:lineChart>
      <c:catAx>
        <c:axId val="69083904"/>
        <c:scaling>
          <c:orientation val="minMax"/>
        </c:scaling>
        <c:axPos val="b"/>
        <c:numFmt formatCode="General" sourceLinked="1"/>
        <c:majorTickMark val="none"/>
        <c:tickLblPos val="nextTo"/>
        <c:crossAx val="74298880"/>
        <c:crosses val="autoZero"/>
        <c:auto val="1"/>
        <c:lblAlgn val="ctr"/>
        <c:lblOffset val="100"/>
      </c:catAx>
      <c:valAx>
        <c:axId val="74298880"/>
        <c:scaling>
          <c:orientation val="minMax"/>
          <c:min val="500"/>
        </c:scaling>
        <c:axPos val="l"/>
        <c:numFmt formatCode="General" sourceLinked="1"/>
        <c:tickLblPos val="nextTo"/>
        <c:crossAx val="69083904"/>
        <c:crosses val="autoZero"/>
        <c:crossBetween val="between"/>
      </c:valAx>
      <c:spPr>
        <a:solidFill>
          <a:schemeClr val="bg1"/>
        </a:solidFill>
        <a:ln>
          <a:solidFill>
            <a:schemeClr val="tx1">
              <a:lumMod val="85000"/>
              <a:lumOff val="15000"/>
            </a:schemeClr>
          </a:solidFill>
        </a:ln>
        <a:effectLst>
          <a:glow rad="228600">
            <a:schemeClr val="accent3">
              <a:satMod val="175000"/>
              <a:alpha val="40000"/>
            </a:schemeClr>
          </a:glow>
        </a:effectLst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plotArea>
      <c:layout>
        <c:manualLayout>
          <c:layoutTarget val="inner"/>
          <c:xMode val="edge"/>
          <c:yMode val="edge"/>
          <c:x val="4.8848012875539637E-2"/>
          <c:y val="3.4014622534409025E-2"/>
          <c:w val="0.56724369003668362"/>
          <c:h val="0.89720408026467369"/>
        </c:manualLayout>
      </c:layout>
      <c:barChart>
        <c:barDir val="col"/>
        <c:grouping val="clustered"/>
        <c:ser>
          <c:idx val="0"/>
          <c:order val="0"/>
          <c:tx>
            <c:strRef>
              <c:f>Folha1!$A$4</c:f>
              <c:strCache>
                <c:ptCount val="1"/>
                <c:pt idx="0">
                  <c:v>Total 2002/2003</c:v>
                </c:pt>
              </c:strCache>
            </c:strRef>
          </c:tx>
          <c:cat>
            <c:strRef>
              <c:f>Folha1!$B$3:$D$3</c:f>
              <c:strCache>
                <c:ptCount val="3"/>
                <c:pt idx="0">
                  <c:v>Máquina Costura</c:v>
                </c:pt>
                <c:pt idx="1">
                  <c:v>Televisor</c:v>
                </c:pt>
                <c:pt idx="2">
                  <c:v>Rádio</c:v>
                </c:pt>
              </c:strCache>
            </c:strRef>
          </c:cat>
          <c:val>
            <c:numRef>
              <c:f>Folha1!$B$4:$D$4</c:f>
              <c:numCache>
                <c:formatCode>General</c:formatCode>
                <c:ptCount val="3"/>
                <c:pt idx="0">
                  <c:v>3.3</c:v>
                </c:pt>
                <c:pt idx="1">
                  <c:v>6.3</c:v>
                </c:pt>
                <c:pt idx="2">
                  <c:v>45.5</c:v>
                </c:pt>
              </c:numCache>
            </c:numRef>
          </c:val>
        </c:ser>
        <c:ser>
          <c:idx val="1"/>
          <c:order val="1"/>
          <c:tx>
            <c:strRef>
              <c:f>Folha1!$A$5</c:f>
              <c:strCache>
                <c:ptCount val="1"/>
                <c:pt idx="0">
                  <c:v>Rural 2002/2003</c:v>
                </c:pt>
              </c:strCache>
            </c:strRef>
          </c:tx>
          <c:cat>
            <c:strRef>
              <c:f>Folha1!$B$3:$D$3</c:f>
              <c:strCache>
                <c:ptCount val="3"/>
                <c:pt idx="0">
                  <c:v>Máquina Costura</c:v>
                </c:pt>
                <c:pt idx="1">
                  <c:v>Televisor</c:v>
                </c:pt>
                <c:pt idx="2">
                  <c:v>Rádio</c:v>
                </c:pt>
              </c:strCache>
            </c:strRef>
          </c:cat>
          <c:val>
            <c:numRef>
              <c:f>Folha1!$B$5:$D$5</c:f>
              <c:numCache>
                <c:formatCode>General</c:formatCode>
                <c:ptCount val="3"/>
                <c:pt idx="0">
                  <c:v>2.1</c:v>
                </c:pt>
                <c:pt idx="1">
                  <c:v>0.70000000000000062</c:v>
                </c:pt>
                <c:pt idx="2">
                  <c:v>41.5</c:v>
                </c:pt>
              </c:numCache>
            </c:numRef>
          </c:val>
        </c:ser>
        <c:ser>
          <c:idx val="2"/>
          <c:order val="2"/>
          <c:tx>
            <c:strRef>
              <c:f>Folha1!$A$6</c:f>
              <c:strCache>
                <c:ptCount val="1"/>
                <c:pt idx="0">
                  <c:v>Urbano 2002/2003</c:v>
                </c:pt>
              </c:strCache>
            </c:strRef>
          </c:tx>
          <c:cat>
            <c:strRef>
              <c:f>Folha1!$B$3:$D$3</c:f>
              <c:strCache>
                <c:ptCount val="3"/>
                <c:pt idx="0">
                  <c:v>Máquina Costura</c:v>
                </c:pt>
                <c:pt idx="1">
                  <c:v>Televisor</c:v>
                </c:pt>
                <c:pt idx="2">
                  <c:v>Rádio</c:v>
                </c:pt>
              </c:strCache>
            </c:strRef>
          </c:cat>
          <c:val>
            <c:numRef>
              <c:f>Folha1!$B$6:$D$6</c:f>
              <c:numCache>
                <c:formatCode>General</c:formatCode>
                <c:ptCount val="3"/>
                <c:pt idx="0">
                  <c:v>6</c:v>
                </c:pt>
                <c:pt idx="1">
                  <c:v>19.5</c:v>
                </c:pt>
                <c:pt idx="2">
                  <c:v>54.8</c:v>
                </c:pt>
              </c:numCache>
            </c:numRef>
          </c:val>
        </c:ser>
        <c:ser>
          <c:idx val="3"/>
          <c:order val="3"/>
          <c:tx>
            <c:strRef>
              <c:f>Folha1!$A$12</c:f>
              <c:strCache>
                <c:ptCount val="1"/>
                <c:pt idx="0">
                  <c:v>Total 2000/2001</c:v>
                </c:pt>
              </c:strCache>
            </c:strRef>
          </c:tx>
          <c:val>
            <c:numRef>
              <c:f>Folha1!$B$12:$D$12</c:f>
              <c:numCache>
                <c:formatCode>General</c:formatCode>
                <c:ptCount val="3"/>
                <c:pt idx="0">
                  <c:v>4.7</c:v>
                </c:pt>
                <c:pt idx="1">
                  <c:v>5.0999999999999996</c:v>
                </c:pt>
                <c:pt idx="2">
                  <c:v>49.5</c:v>
                </c:pt>
              </c:numCache>
            </c:numRef>
          </c:val>
        </c:ser>
        <c:ser>
          <c:idx val="4"/>
          <c:order val="4"/>
          <c:tx>
            <c:strRef>
              <c:f>Folha1!$A$13</c:f>
              <c:strCache>
                <c:ptCount val="1"/>
                <c:pt idx="0">
                  <c:v>Rural 2000/2001</c:v>
                </c:pt>
              </c:strCache>
            </c:strRef>
          </c:tx>
          <c:val>
            <c:numRef>
              <c:f>Folha1!$B$13:$D$13</c:f>
              <c:numCache>
                <c:formatCode>General</c:formatCode>
                <c:ptCount val="3"/>
                <c:pt idx="0">
                  <c:v>3.3</c:v>
                </c:pt>
                <c:pt idx="1">
                  <c:v>0.30000000000000032</c:v>
                </c:pt>
                <c:pt idx="2">
                  <c:v>43.6</c:v>
                </c:pt>
              </c:numCache>
            </c:numRef>
          </c:val>
        </c:ser>
        <c:ser>
          <c:idx val="5"/>
          <c:order val="5"/>
          <c:tx>
            <c:strRef>
              <c:f>Folha1!$A$14</c:f>
              <c:strCache>
                <c:ptCount val="1"/>
                <c:pt idx="0">
                  <c:v>Urbano 2000/2001</c:v>
                </c:pt>
              </c:strCache>
            </c:strRef>
          </c:tx>
          <c:val>
            <c:numRef>
              <c:f>Folha1!$B$14:$D$14</c:f>
              <c:numCache>
                <c:formatCode>General</c:formatCode>
                <c:ptCount val="3"/>
                <c:pt idx="0">
                  <c:v>8.4</c:v>
                </c:pt>
                <c:pt idx="1">
                  <c:v>18</c:v>
                </c:pt>
                <c:pt idx="2">
                  <c:v>65.3</c:v>
                </c:pt>
              </c:numCache>
            </c:numRef>
          </c:val>
        </c:ser>
        <c:axId val="77222272"/>
        <c:axId val="77223808"/>
      </c:barChart>
      <c:catAx>
        <c:axId val="77222272"/>
        <c:scaling>
          <c:orientation val="minMax"/>
        </c:scaling>
        <c:axPos val="b"/>
        <c:majorTickMark val="none"/>
        <c:tickLblPos val="nextTo"/>
        <c:crossAx val="77223808"/>
        <c:crosses val="autoZero"/>
        <c:auto val="1"/>
        <c:lblAlgn val="ctr"/>
        <c:lblOffset val="100"/>
      </c:catAx>
      <c:valAx>
        <c:axId val="772238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7222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68468388946665"/>
          <c:y val="0.3579198658057785"/>
          <c:w val="0.341302574445909"/>
          <c:h val="0.28416006216422918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pieChart>
        <c:varyColors val="1"/>
        <c:ser>
          <c:idx val="0"/>
          <c:order val="0"/>
          <c:dLbls>
            <c:dLblPos val="ctr"/>
            <c:showVal val="1"/>
            <c:showLeaderLines val="1"/>
          </c:dLbls>
          <c:cat>
            <c:strRef>
              <c:f>Folha1!$C$3:$E$3</c:f>
              <c:strCache>
                <c:ptCount val="3"/>
                <c:pt idx="0">
                  <c:v>Total</c:v>
                </c:pt>
                <c:pt idx="1">
                  <c:v>Zona Rural</c:v>
                </c:pt>
                <c:pt idx="2">
                  <c:v>Zona Urbana</c:v>
                </c:pt>
              </c:strCache>
            </c:strRef>
          </c:cat>
          <c:val>
            <c:numRef>
              <c:f>Folha1!$C$4:$E$4</c:f>
              <c:numCache>
                <c:formatCode>0%</c:formatCode>
                <c:ptCount val="3"/>
                <c:pt idx="0">
                  <c:v>0.41000000000000031</c:v>
                </c:pt>
                <c:pt idx="1">
                  <c:v>0.49000000000000032</c:v>
                </c:pt>
                <c:pt idx="2">
                  <c:v>0.29000000000000031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ayout/>
    </c:legend>
    <c:plotVisOnly val="1"/>
  </c:chart>
  <c:spPr>
    <a:effectLst>
      <a:glow rad="139700">
        <a:schemeClr val="accent4">
          <a:satMod val="175000"/>
          <a:alpha val="40000"/>
        </a:schemeClr>
      </a:glow>
    </a:effectLst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Folha1!$C$4</c:f>
              <c:strCache>
                <c:ptCount val="1"/>
                <c:pt idx="0">
                  <c:v>2000/2001</c:v>
                </c:pt>
              </c:strCache>
            </c:strRef>
          </c:tx>
          <c:cat>
            <c:strRef>
              <c:f>Folha1!$D$3:$G$3</c:f>
              <c:strCache>
                <c:ptCount val="4"/>
                <c:pt idx="0">
                  <c:v>petróleo/gás</c:v>
                </c:pt>
                <c:pt idx="1">
                  <c:v>energia elétrica</c:v>
                </c:pt>
                <c:pt idx="2">
                  <c:v>pop rural</c:v>
                </c:pt>
                <c:pt idx="3">
                  <c:v>pop urbana</c:v>
                </c:pt>
              </c:strCache>
            </c:strRef>
          </c:cat>
          <c:val>
            <c:numRef>
              <c:f>Folha1!$D$4:$G$4</c:f>
              <c:numCache>
                <c:formatCode>0%</c:formatCode>
                <c:ptCount val="4"/>
                <c:pt idx="0">
                  <c:v>0.52</c:v>
                </c:pt>
                <c:pt idx="1">
                  <c:v>6.0000000000000032E-2</c:v>
                </c:pt>
                <c:pt idx="2">
                  <c:v>1.0000000000000005E-2</c:v>
                </c:pt>
                <c:pt idx="3">
                  <c:v>0.21000000000000021</c:v>
                </c:pt>
              </c:numCache>
            </c:numRef>
          </c:val>
        </c:ser>
        <c:ser>
          <c:idx val="1"/>
          <c:order val="1"/>
          <c:tx>
            <c:strRef>
              <c:f>Folha1!$C$5</c:f>
              <c:strCache>
                <c:ptCount val="1"/>
                <c:pt idx="0">
                  <c:v>2002/2003</c:v>
                </c:pt>
              </c:strCache>
            </c:strRef>
          </c:tx>
          <c:cat>
            <c:strRef>
              <c:f>Folha1!$D$3:$G$3</c:f>
              <c:strCache>
                <c:ptCount val="4"/>
                <c:pt idx="0">
                  <c:v>petróleo/gás</c:v>
                </c:pt>
                <c:pt idx="1">
                  <c:v>energia elétrica</c:v>
                </c:pt>
                <c:pt idx="2">
                  <c:v>pop rural</c:v>
                </c:pt>
                <c:pt idx="3">
                  <c:v>pop urbana</c:v>
                </c:pt>
              </c:strCache>
            </c:strRef>
          </c:cat>
          <c:val>
            <c:numRef>
              <c:f>Folha1!$D$5:$G$5</c:f>
              <c:numCache>
                <c:formatCode>0%</c:formatCode>
                <c:ptCount val="4"/>
                <c:pt idx="0">
                  <c:v>0.54</c:v>
                </c:pt>
                <c:pt idx="1">
                  <c:v>7.0000000000000021E-2</c:v>
                </c:pt>
              </c:numCache>
            </c:numRef>
          </c:val>
        </c:ser>
        <c:dLbls>
          <c:showVal val="1"/>
        </c:dLbls>
        <c:axId val="77177600"/>
        <c:axId val="77179136"/>
      </c:barChart>
      <c:catAx>
        <c:axId val="77177600"/>
        <c:scaling>
          <c:orientation val="minMax"/>
        </c:scaling>
        <c:axPos val="b"/>
        <c:tickLblPos val="nextTo"/>
        <c:crossAx val="77179136"/>
        <c:crosses val="autoZero"/>
        <c:auto val="1"/>
        <c:lblAlgn val="ctr"/>
        <c:lblOffset val="100"/>
      </c:catAx>
      <c:valAx>
        <c:axId val="77179136"/>
        <c:scaling>
          <c:orientation val="minMax"/>
        </c:scaling>
        <c:axPos val="l"/>
        <c:majorGridlines/>
        <c:numFmt formatCode="0%" sourceLinked="1"/>
        <c:tickLblPos val="nextTo"/>
        <c:crossAx val="771776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8</Pages>
  <Words>1959</Words>
  <Characters>10581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88</cp:revision>
  <cp:lastPrinted>2012-08-02T16:06:00Z</cp:lastPrinted>
  <dcterms:created xsi:type="dcterms:W3CDTF">2012-03-22T15:46:00Z</dcterms:created>
  <dcterms:modified xsi:type="dcterms:W3CDTF">2013-02-16T12:39:00Z</dcterms:modified>
</cp:coreProperties>
</file>