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b/>
        </w:rPr>
      </w:pPr>
    </w:p>
    <w:p w:rsidR="004367E1" w:rsidRPr="004367E1" w:rsidRDefault="004367E1" w:rsidP="004367E1">
      <w:pPr>
        <w:spacing w:line="360" w:lineRule="auto"/>
        <w:ind w:left="567" w:right="517" w:firstLine="284"/>
        <w:jc w:val="center"/>
        <w:rPr>
          <w:rFonts w:asciiTheme="minorHAnsi" w:hAnsiTheme="minorHAnsi" w:cs="Courier New"/>
          <w:b/>
          <w:sz w:val="32"/>
          <w:szCs w:val="32"/>
        </w:rPr>
      </w:pPr>
      <w:r w:rsidRPr="004367E1">
        <w:rPr>
          <w:rFonts w:asciiTheme="minorHAnsi" w:hAnsiTheme="minorHAnsi" w:cs="Courier New"/>
          <w:b/>
          <w:sz w:val="32"/>
          <w:szCs w:val="32"/>
        </w:rPr>
        <w:t xml:space="preserve">Protocolo para detecção de </w:t>
      </w:r>
      <w:proofErr w:type="spellStart"/>
      <w:r w:rsidRPr="004367E1">
        <w:rPr>
          <w:rFonts w:asciiTheme="minorHAnsi" w:hAnsiTheme="minorHAnsi" w:cs="Courier New"/>
          <w:b/>
          <w:i/>
          <w:sz w:val="32"/>
          <w:szCs w:val="32"/>
        </w:rPr>
        <w:t>Trichinella</w:t>
      </w:r>
      <w:proofErr w:type="spellEnd"/>
      <w:r w:rsidRPr="004367E1">
        <w:rPr>
          <w:rFonts w:asciiTheme="minorHAnsi" w:hAnsiTheme="minorHAnsi" w:cs="Courier New"/>
          <w:b/>
          <w:i/>
          <w:sz w:val="32"/>
          <w:szCs w:val="32"/>
        </w:rPr>
        <w:t xml:space="preserve"> </w:t>
      </w:r>
      <w:proofErr w:type="spellStart"/>
      <w:r w:rsidRPr="004367E1">
        <w:rPr>
          <w:rFonts w:asciiTheme="minorHAnsi" w:hAnsiTheme="minorHAnsi" w:cs="Courier New"/>
          <w:b/>
          <w:i/>
          <w:sz w:val="32"/>
          <w:szCs w:val="32"/>
        </w:rPr>
        <w:t>spira</w:t>
      </w:r>
      <w:r>
        <w:rPr>
          <w:rFonts w:asciiTheme="minorHAnsi" w:hAnsiTheme="minorHAnsi" w:cs="Courier New"/>
          <w:b/>
          <w:i/>
          <w:sz w:val="32"/>
          <w:szCs w:val="32"/>
        </w:rPr>
        <w:t>l</w:t>
      </w:r>
      <w:r w:rsidRPr="004367E1">
        <w:rPr>
          <w:rFonts w:asciiTheme="minorHAnsi" w:hAnsiTheme="minorHAnsi" w:cs="Courier New"/>
          <w:b/>
          <w:i/>
          <w:sz w:val="32"/>
          <w:szCs w:val="32"/>
        </w:rPr>
        <w:t>lis</w:t>
      </w:r>
      <w:proofErr w:type="spellEnd"/>
    </w:p>
    <w:p w:rsidR="004367E1" w:rsidRPr="004367E1" w:rsidRDefault="004367E1" w:rsidP="004367E1">
      <w:pPr>
        <w:spacing w:line="360" w:lineRule="auto"/>
        <w:ind w:left="567" w:right="517" w:firstLine="284"/>
        <w:jc w:val="center"/>
        <w:rPr>
          <w:rFonts w:asciiTheme="minorHAnsi" w:hAnsiTheme="minorHAnsi" w:cs="Courier New"/>
          <w:b/>
        </w:rPr>
      </w:pPr>
      <w:r w:rsidRPr="004367E1">
        <w:rPr>
          <w:rFonts w:asciiTheme="minorHAnsi" w:hAnsiTheme="minorHAnsi"/>
          <w:b/>
        </w:rPr>
        <w:t>Método da digestão artificial de amostras colectivas</w:t>
      </w:r>
    </w:p>
    <w:p w:rsid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b/>
        </w:rPr>
      </w:pPr>
    </w:p>
    <w:p w:rsid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b/>
        </w:rPr>
      </w:pP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b/>
        </w:rPr>
      </w:pPr>
      <w:r w:rsidRPr="00DA39B4">
        <w:rPr>
          <w:rFonts w:asciiTheme="minorHAnsi" w:hAnsiTheme="minorHAnsi" w:cs="Courier New"/>
          <w:b/>
        </w:rPr>
        <w:t>Colheita de Amostras: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b/>
        </w:rPr>
      </w:pPr>
      <w:r w:rsidRPr="00DA39B4">
        <w:rPr>
          <w:rFonts w:asciiTheme="minorHAnsi" w:hAnsiTheme="minorHAnsi" w:cs="Courier New"/>
        </w:rPr>
        <w:tab/>
        <w:t xml:space="preserve">Carcaças Inteiras de </w:t>
      </w:r>
      <w:r w:rsidRPr="00DA39B4">
        <w:rPr>
          <w:rFonts w:asciiTheme="minorHAnsi" w:hAnsiTheme="minorHAnsi" w:cs="Courier New"/>
          <w:b/>
        </w:rPr>
        <w:t>Suínos</w:t>
      </w:r>
      <w:r w:rsidRPr="00DA39B4">
        <w:rPr>
          <w:rFonts w:asciiTheme="minorHAnsi" w:hAnsiTheme="minorHAnsi" w:cs="Courier New"/>
        </w:rPr>
        <w:t xml:space="preserve">: Pilares do Diafragma </w:t>
      </w:r>
      <w:r w:rsidRPr="00DA39B4">
        <w:rPr>
          <w:rFonts w:asciiTheme="minorHAnsi" w:hAnsiTheme="minorHAnsi" w:cs="Courier New"/>
        </w:rPr>
        <w:sym w:font="Wingdings" w:char="F0E0"/>
      </w:r>
      <w:r w:rsidRPr="00DA39B4">
        <w:rPr>
          <w:rFonts w:asciiTheme="minorHAnsi" w:hAnsiTheme="minorHAnsi" w:cs="Courier New"/>
        </w:rPr>
        <w:t xml:space="preserve"> </w:t>
      </w:r>
      <w:smartTag w:uri="urn:schemas-microsoft-com:office:smarttags" w:element="metricconverter">
        <w:smartTagPr>
          <w:attr w:name="ProductID" w:val="1 grama"/>
        </w:smartTagPr>
        <w:r w:rsidRPr="00DA39B4">
          <w:rPr>
            <w:rFonts w:asciiTheme="minorHAnsi" w:hAnsiTheme="minorHAnsi" w:cs="Courier New"/>
            <w:b/>
          </w:rPr>
          <w:t>1 grama</w:t>
        </w:r>
      </w:smartTag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b/>
        </w:rPr>
      </w:pPr>
      <w:r w:rsidRPr="00DA39B4">
        <w:rPr>
          <w:rFonts w:asciiTheme="minorHAnsi" w:hAnsiTheme="minorHAnsi" w:cs="Courier New"/>
          <w:b/>
        </w:rPr>
        <w:t xml:space="preserve">Grupos Completos de Amostras (100 Amostras </w:t>
      </w:r>
      <w:r w:rsidRPr="00DA39B4">
        <w:rPr>
          <w:rFonts w:asciiTheme="minorHAnsi" w:hAnsiTheme="minorHAnsi" w:cs="Courier New"/>
          <w:b/>
        </w:rPr>
        <w:sym w:font="Wingdings" w:char="F0E0"/>
      </w:r>
      <w:r w:rsidRPr="00DA39B4">
        <w:rPr>
          <w:rFonts w:asciiTheme="minorHAnsi" w:hAnsiTheme="minorHAnsi" w:cs="Courier New"/>
          <w:b/>
        </w:rPr>
        <w:t xml:space="preserve"> </w:t>
      </w:r>
      <w:smartTag w:uri="urn:schemas-microsoft-com:office:smarttags" w:element="metricconverter">
        <w:smartTagPr>
          <w:attr w:name="ProductID" w:val="100 gramas"/>
        </w:smartTagPr>
        <w:r w:rsidRPr="00DA39B4">
          <w:rPr>
            <w:rFonts w:asciiTheme="minorHAnsi" w:hAnsiTheme="minorHAnsi" w:cs="Courier New"/>
            <w:b/>
          </w:rPr>
          <w:t>100 gramas</w:t>
        </w:r>
      </w:smartTag>
      <w:r w:rsidRPr="00DA39B4">
        <w:rPr>
          <w:rFonts w:asciiTheme="minorHAnsi" w:hAnsiTheme="minorHAnsi" w:cs="Courier New"/>
          <w:b/>
        </w:rPr>
        <w:t>):</w:t>
      </w:r>
    </w:p>
    <w:p w:rsid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ab/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b/>
        </w:rPr>
      </w:pPr>
      <w:r w:rsidRPr="00DA39B4">
        <w:rPr>
          <w:rFonts w:asciiTheme="minorHAnsi" w:hAnsiTheme="minorHAnsi" w:cs="Courier New"/>
          <w:b/>
          <w:u w:val="single"/>
        </w:rPr>
        <w:t>Procedimento</w:t>
      </w:r>
      <w:r w:rsidRPr="00DA39B4">
        <w:rPr>
          <w:rFonts w:asciiTheme="minorHAnsi" w:hAnsiTheme="minorHAnsi" w:cs="Courier New"/>
          <w:b/>
        </w:rPr>
        <w:t>: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Aquecer </w:t>
      </w:r>
      <w:smartTag w:uri="urn:schemas-microsoft-com:office:smarttags" w:element="metricconverter">
        <w:smartTagPr>
          <w:attr w:name="ProductID" w:val="2,0 L"/>
        </w:smartTagPr>
        <w:r w:rsidRPr="00DA39B4">
          <w:rPr>
            <w:rFonts w:asciiTheme="minorHAnsi" w:hAnsiTheme="minorHAnsi" w:cs="Courier New"/>
            <w:b/>
          </w:rPr>
          <w:t>2,0 L</w:t>
        </w:r>
      </w:smartTag>
      <w:r w:rsidRPr="00DA39B4">
        <w:rPr>
          <w:rFonts w:asciiTheme="minorHAnsi" w:hAnsiTheme="minorHAnsi" w:cs="Courier New"/>
        </w:rPr>
        <w:t xml:space="preserve"> de água da torneira a </w:t>
      </w:r>
      <w:r w:rsidRPr="00DA39B4">
        <w:rPr>
          <w:rFonts w:asciiTheme="minorHAnsi" w:hAnsiTheme="minorHAnsi" w:cs="Courier New"/>
          <w:b/>
        </w:rPr>
        <w:t>45ºC</w:t>
      </w:r>
      <w:r w:rsidRPr="00DA39B4">
        <w:rPr>
          <w:rFonts w:asciiTheme="minorHAnsi" w:hAnsiTheme="minorHAnsi" w:cs="Courier New"/>
        </w:rPr>
        <w:t xml:space="preserve"> num copo/tina (em banho-maria ou placa de aquecimento);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Adicionar </w:t>
      </w:r>
      <w:r w:rsidRPr="00DA39B4">
        <w:rPr>
          <w:rFonts w:asciiTheme="minorHAnsi" w:hAnsiTheme="minorHAnsi" w:cs="Courier New"/>
          <w:b/>
        </w:rPr>
        <w:t>16 ± 0,5 ml</w:t>
      </w:r>
      <w:r w:rsidRPr="00DA39B4">
        <w:rPr>
          <w:rFonts w:asciiTheme="minorHAnsi" w:hAnsiTheme="minorHAnsi" w:cs="Courier New"/>
        </w:rPr>
        <w:t xml:space="preserve"> de </w:t>
      </w:r>
      <w:proofErr w:type="spellStart"/>
      <w:r w:rsidRPr="00DA39B4">
        <w:rPr>
          <w:rFonts w:asciiTheme="minorHAnsi" w:hAnsiTheme="minorHAnsi" w:cs="Courier New"/>
          <w:b/>
        </w:rPr>
        <w:t>HCl</w:t>
      </w:r>
      <w:proofErr w:type="spellEnd"/>
      <w:r w:rsidRPr="00DA39B4">
        <w:rPr>
          <w:rFonts w:asciiTheme="minorHAnsi" w:hAnsiTheme="minorHAnsi" w:cs="Courier New"/>
          <w:b/>
        </w:rPr>
        <w:t xml:space="preserve"> 25%</w:t>
      </w:r>
      <w:r w:rsidRPr="00DA39B4">
        <w:rPr>
          <w:rFonts w:asciiTheme="minorHAnsi" w:hAnsiTheme="minorHAnsi" w:cs="Courier New"/>
        </w:rPr>
        <w:t>;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>Colocar copo/tina na placa pré-aquecida com o agitador magnético, controlar a temperatura (45ºC);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Adicionar </w:t>
      </w:r>
      <w:smartTag w:uri="urn:schemas-microsoft-com:office:smarttags" w:element="metricconverter">
        <w:smartTagPr>
          <w:attr w:name="ProductID" w:val="10 g"/>
        </w:smartTagPr>
        <w:r w:rsidRPr="00DA39B4">
          <w:rPr>
            <w:rFonts w:asciiTheme="minorHAnsi" w:hAnsiTheme="minorHAnsi" w:cs="Courier New"/>
            <w:b/>
          </w:rPr>
          <w:t>10 g</w:t>
        </w:r>
      </w:smartTag>
      <w:r w:rsidRPr="00DA39B4">
        <w:rPr>
          <w:rFonts w:asciiTheme="minorHAnsi" w:hAnsiTheme="minorHAnsi" w:cs="Courier New"/>
          <w:b/>
        </w:rPr>
        <w:t xml:space="preserve"> ± </w:t>
      </w:r>
      <w:smartTag w:uri="urn:schemas-microsoft-com:office:smarttags" w:element="metricconverter">
        <w:smartTagPr>
          <w:attr w:name="ProductID" w:val="0,2 g"/>
        </w:smartTagPr>
        <w:r w:rsidRPr="00DA39B4">
          <w:rPr>
            <w:rFonts w:asciiTheme="minorHAnsi" w:hAnsiTheme="minorHAnsi" w:cs="Courier New"/>
            <w:b/>
          </w:rPr>
          <w:t>0,2 g</w:t>
        </w:r>
      </w:smartTag>
      <w:r w:rsidRPr="00DA39B4">
        <w:rPr>
          <w:rFonts w:asciiTheme="minorHAnsi" w:hAnsiTheme="minorHAnsi" w:cs="Courier New"/>
        </w:rPr>
        <w:t xml:space="preserve"> de </w:t>
      </w:r>
      <w:r w:rsidRPr="00DA39B4">
        <w:rPr>
          <w:rFonts w:asciiTheme="minorHAnsi" w:hAnsiTheme="minorHAnsi" w:cs="Courier New"/>
          <w:b/>
        </w:rPr>
        <w:t>Pepsina</w:t>
      </w:r>
      <w:r w:rsidRPr="00DA39B4">
        <w:rPr>
          <w:rFonts w:asciiTheme="minorHAnsi" w:hAnsiTheme="minorHAnsi" w:cs="Courier New"/>
        </w:rPr>
        <w:t>;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18"/>
          <w:szCs w:val="18"/>
        </w:rPr>
      </w:pPr>
      <w:r w:rsidRPr="00DA39B4">
        <w:rPr>
          <w:rFonts w:asciiTheme="minorHAnsi" w:hAnsiTheme="minorHAnsi" w:cs="Courier New"/>
          <w:sz w:val="18"/>
          <w:szCs w:val="18"/>
        </w:rPr>
        <w:t>Notas: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18"/>
          <w:szCs w:val="18"/>
        </w:rPr>
      </w:pPr>
      <w:r w:rsidRPr="00DA39B4">
        <w:rPr>
          <w:rFonts w:asciiTheme="minorHAnsi" w:hAnsiTheme="minorHAnsi" w:cs="Courier New"/>
          <w:sz w:val="18"/>
          <w:szCs w:val="18"/>
        </w:rPr>
        <w:t xml:space="preserve">- A solução </w:t>
      </w:r>
      <w:proofErr w:type="spellStart"/>
      <w:r w:rsidRPr="00DA39B4">
        <w:rPr>
          <w:rFonts w:asciiTheme="minorHAnsi" w:hAnsiTheme="minorHAnsi" w:cs="Courier New"/>
          <w:sz w:val="18"/>
          <w:szCs w:val="18"/>
        </w:rPr>
        <w:t>Ácido-péptica</w:t>
      </w:r>
      <w:proofErr w:type="spellEnd"/>
      <w:r w:rsidRPr="00DA39B4">
        <w:rPr>
          <w:rFonts w:asciiTheme="minorHAnsi" w:hAnsiTheme="minorHAnsi" w:cs="Courier New"/>
          <w:sz w:val="18"/>
          <w:szCs w:val="18"/>
        </w:rPr>
        <w:t xml:space="preserve"> deve ser consistente em qualidade e preparada de modo a não afectar a actividade da pepsina. Importante adicionar o </w:t>
      </w:r>
      <w:proofErr w:type="spellStart"/>
      <w:r w:rsidRPr="00DA39B4">
        <w:rPr>
          <w:rFonts w:asciiTheme="minorHAnsi" w:hAnsiTheme="minorHAnsi" w:cs="Courier New"/>
          <w:sz w:val="18"/>
          <w:szCs w:val="18"/>
        </w:rPr>
        <w:t>HCl</w:t>
      </w:r>
      <w:proofErr w:type="spellEnd"/>
      <w:r w:rsidRPr="00DA39B4">
        <w:rPr>
          <w:rFonts w:asciiTheme="minorHAnsi" w:hAnsiTheme="minorHAnsi" w:cs="Courier New"/>
          <w:sz w:val="18"/>
          <w:szCs w:val="18"/>
        </w:rPr>
        <w:t xml:space="preserve"> à água e só depois a Pepsina.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18"/>
          <w:szCs w:val="18"/>
        </w:rPr>
      </w:pPr>
      <w:r w:rsidRPr="00DA39B4">
        <w:rPr>
          <w:rFonts w:asciiTheme="minorHAnsi" w:hAnsiTheme="minorHAnsi" w:cs="Courier New"/>
          <w:sz w:val="18"/>
          <w:szCs w:val="18"/>
        </w:rPr>
        <w:t>- A temperatura durante o processo de digestão não deve exceder os 45 ±2 ºC, pois temperaturas superiores podem inactivar a Pepsina.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Triturar as </w:t>
      </w:r>
      <w:smartTag w:uri="urn:schemas-microsoft-com:office:smarttags" w:element="metricconverter">
        <w:smartTagPr>
          <w:attr w:name="ProductID" w:val="100 g"/>
        </w:smartTagPr>
        <w:r w:rsidRPr="00DA39B4">
          <w:rPr>
            <w:rFonts w:asciiTheme="minorHAnsi" w:hAnsiTheme="minorHAnsi" w:cs="Courier New"/>
          </w:rPr>
          <w:t>100 g</w:t>
        </w:r>
      </w:smartTag>
      <w:r w:rsidRPr="00DA39B4">
        <w:rPr>
          <w:rFonts w:asciiTheme="minorHAnsi" w:hAnsiTheme="minorHAnsi" w:cs="Courier New"/>
        </w:rPr>
        <w:t xml:space="preserve"> de amostras (carne sem qualquer </w:t>
      </w:r>
      <w:proofErr w:type="spellStart"/>
      <w:r w:rsidRPr="00DA39B4">
        <w:rPr>
          <w:rFonts w:asciiTheme="minorHAnsi" w:hAnsiTheme="minorHAnsi" w:cs="Courier New"/>
        </w:rPr>
        <w:t>fáscia</w:t>
      </w:r>
      <w:proofErr w:type="spellEnd"/>
      <w:r w:rsidRPr="00DA39B4">
        <w:rPr>
          <w:rFonts w:asciiTheme="minorHAnsi" w:hAnsiTheme="minorHAnsi" w:cs="Courier New"/>
        </w:rPr>
        <w:t xml:space="preserve"> ou gordura);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Transferir a carne triturada para o copo/tina com a solução </w:t>
      </w:r>
      <w:proofErr w:type="spellStart"/>
      <w:r w:rsidRPr="00DA39B4">
        <w:rPr>
          <w:rFonts w:asciiTheme="minorHAnsi" w:hAnsiTheme="minorHAnsi" w:cs="Courier New"/>
        </w:rPr>
        <w:t>Ácido-Peptídica</w:t>
      </w:r>
      <w:proofErr w:type="spellEnd"/>
      <w:r w:rsidRPr="00DA39B4">
        <w:rPr>
          <w:rFonts w:asciiTheme="minorHAnsi" w:hAnsiTheme="minorHAnsi" w:cs="Courier New"/>
        </w:rPr>
        <w:t xml:space="preserve"> já aquecida;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>Regular o agitador magnético na máxima agitação sem provocar salpicos;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Tempo de digestão das partículas de carne: </w:t>
      </w:r>
      <w:r w:rsidRPr="00DA39B4">
        <w:rPr>
          <w:rFonts w:asciiTheme="minorHAnsi" w:hAnsiTheme="minorHAnsi" w:cs="Courier New"/>
          <w:b/>
        </w:rPr>
        <w:t>30 minutos</w:t>
      </w:r>
      <w:r w:rsidRPr="00DA39B4">
        <w:rPr>
          <w:rFonts w:asciiTheme="minorHAnsi" w:hAnsiTheme="minorHAnsi" w:cs="Courier New"/>
        </w:rPr>
        <w:t xml:space="preserve">, normalmente são necessários períodos de digestão mais longos, não devem ser superior a </w:t>
      </w:r>
      <w:r w:rsidRPr="00DA39B4">
        <w:rPr>
          <w:rFonts w:asciiTheme="minorHAnsi" w:hAnsiTheme="minorHAnsi" w:cs="Courier New"/>
          <w:b/>
        </w:rPr>
        <w:t>60 minutos</w:t>
      </w:r>
      <w:r w:rsidRPr="00DA39B4">
        <w:rPr>
          <w:rFonts w:asciiTheme="minorHAnsi" w:hAnsiTheme="minorHAnsi" w:cs="Courier New"/>
        </w:rPr>
        <w:t>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  <w:b/>
        </w:rPr>
        <w:t>Filtrar</w:t>
      </w:r>
      <w:r w:rsidRPr="00DA39B4">
        <w:rPr>
          <w:rFonts w:asciiTheme="minorHAnsi" w:hAnsiTheme="minorHAnsi" w:cs="Courier New"/>
        </w:rPr>
        <w:t xml:space="preserve"> a Amostra digerida para a ampola de decantação passando-a pela peneira com malha de 180 </w:t>
      </w:r>
      <w:proofErr w:type="spellStart"/>
      <w:r w:rsidRPr="00DA39B4">
        <w:rPr>
          <w:rFonts w:asciiTheme="minorHAnsi" w:hAnsiTheme="minorHAnsi" w:cs="Courier New"/>
        </w:rPr>
        <w:t>μm</w:t>
      </w:r>
      <w:proofErr w:type="spellEnd"/>
      <w:r w:rsidRPr="00DA39B4">
        <w:rPr>
          <w:rFonts w:asciiTheme="minorHAnsi" w:hAnsiTheme="minorHAnsi" w:cs="Courier New"/>
        </w:rPr>
        <w:t xml:space="preserve"> e respectivo funil (processo satisfatório se na peneira ficar retido ≤ 5% do peso inicial da Amostra);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Deixar sedimentar a Amostra na ampola de decantação durante </w:t>
      </w:r>
      <w:r w:rsidRPr="00DA39B4">
        <w:rPr>
          <w:rFonts w:asciiTheme="minorHAnsi" w:hAnsiTheme="minorHAnsi" w:cs="Courier New"/>
          <w:b/>
        </w:rPr>
        <w:t>30 minutos</w:t>
      </w:r>
      <w:r w:rsidRPr="00DA39B4">
        <w:rPr>
          <w:rFonts w:asciiTheme="minorHAnsi" w:hAnsiTheme="minorHAnsi" w:cs="Courier New"/>
        </w:rPr>
        <w:t>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Transferir para uma proveta graduada </w:t>
      </w:r>
      <w:r w:rsidRPr="00DA39B4">
        <w:rPr>
          <w:rFonts w:asciiTheme="minorHAnsi" w:hAnsiTheme="minorHAnsi" w:cs="Courier New"/>
          <w:b/>
        </w:rPr>
        <w:t>40 ml</w:t>
      </w:r>
      <w:r w:rsidRPr="00DA39B4">
        <w:rPr>
          <w:rFonts w:asciiTheme="minorHAnsi" w:hAnsiTheme="minorHAnsi" w:cs="Courier New"/>
        </w:rPr>
        <w:t xml:space="preserve"> do fluido digerido;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Deixar repousar </w:t>
      </w:r>
      <w:r w:rsidRPr="00DA39B4">
        <w:rPr>
          <w:rFonts w:asciiTheme="minorHAnsi" w:hAnsiTheme="minorHAnsi" w:cs="Courier New"/>
          <w:b/>
        </w:rPr>
        <w:t>10 minutos</w:t>
      </w:r>
      <w:r w:rsidRPr="00DA39B4">
        <w:rPr>
          <w:rFonts w:asciiTheme="minorHAnsi" w:hAnsiTheme="minorHAnsi" w:cs="Courier New"/>
        </w:rPr>
        <w:t>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lastRenderedPageBreak/>
        <w:t xml:space="preserve">Retirar por aspiração com uma pipeta </w:t>
      </w:r>
      <w:r w:rsidRPr="00DA39B4">
        <w:rPr>
          <w:rFonts w:asciiTheme="minorHAnsi" w:hAnsiTheme="minorHAnsi" w:cs="Courier New"/>
          <w:b/>
        </w:rPr>
        <w:t>30 ml</w:t>
      </w:r>
      <w:r w:rsidRPr="00DA39B4">
        <w:rPr>
          <w:rFonts w:asciiTheme="minorHAnsi" w:hAnsiTheme="minorHAnsi" w:cs="Courier New"/>
        </w:rPr>
        <w:t xml:space="preserve"> do </w:t>
      </w:r>
      <w:proofErr w:type="spellStart"/>
      <w:r w:rsidRPr="00DA39B4">
        <w:rPr>
          <w:rFonts w:asciiTheme="minorHAnsi" w:hAnsiTheme="minorHAnsi" w:cs="Courier New"/>
        </w:rPr>
        <w:t>sobrenadante</w:t>
      </w:r>
      <w:proofErr w:type="spellEnd"/>
      <w:r w:rsidRPr="00DA39B4">
        <w:rPr>
          <w:rFonts w:asciiTheme="minorHAnsi" w:hAnsiTheme="minorHAnsi" w:cs="Courier New"/>
        </w:rPr>
        <w:t xml:space="preserve"> e desprezar;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Verter os </w:t>
      </w:r>
      <w:r w:rsidRPr="00DA39B4">
        <w:rPr>
          <w:rFonts w:asciiTheme="minorHAnsi" w:hAnsiTheme="minorHAnsi" w:cs="Courier New"/>
          <w:b/>
        </w:rPr>
        <w:t>10 ml</w:t>
      </w:r>
      <w:r w:rsidRPr="00DA39B4">
        <w:rPr>
          <w:rFonts w:asciiTheme="minorHAnsi" w:hAnsiTheme="minorHAnsi" w:cs="Courier New"/>
        </w:rPr>
        <w:t xml:space="preserve"> de sedimento remanescente para a </w:t>
      </w:r>
      <w:r w:rsidRPr="00DA39B4">
        <w:rPr>
          <w:rFonts w:asciiTheme="minorHAnsi" w:hAnsiTheme="minorHAnsi" w:cs="Courier New"/>
          <w:b/>
        </w:rPr>
        <w:t xml:space="preserve">Placa de </w:t>
      </w:r>
      <w:proofErr w:type="spellStart"/>
      <w:r w:rsidRPr="00DA39B4">
        <w:rPr>
          <w:rFonts w:asciiTheme="minorHAnsi" w:hAnsiTheme="minorHAnsi" w:cs="Courier New"/>
          <w:b/>
        </w:rPr>
        <w:t>Petri</w:t>
      </w:r>
      <w:proofErr w:type="spellEnd"/>
      <w:r w:rsidRPr="00DA39B4">
        <w:rPr>
          <w:rFonts w:asciiTheme="minorHAnsi" w:hAnsiTheme="minorHAnsi" w:cs="Courier New"/>
        </w:rPr>
        <w:t xml:space="preserve"> quadriculada;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</w:rPr>
        <w:t xml:space="preserve">Enxaguar a proveta graduada com mais 10 ml de água da torneira e acrescentar esse volume ao sedimento na Placa de </w:t>
      </w:r>
      <w:proofErr w:type="spellStart"/>
      <w:r w:rsidRPr="00DA39B4">
        <w:rPr>
          <w:rFonts w:asciiTheme="minorHAnsi" w:hAnsiTheme="minorHAnsi" w:cs="Courier New"/>
        </w:rPr>
        <w:t>Petri</w:t>
      </w:r>
      <w:proofErr w:type="spellEnd"/>
      <w:r w:rsidRPr="00DA39B4">
        <w:rPr>
          <w:rFonts w:asciiTheme="minorHAnsi" w:hAnsiTheme="minorHAnsi" w:cs="Courier New"/>
        </w:rPr>
        <w:t xml:space="preserve"> a observar;</w:t>
      </w:r>
    </w:p>
    <w:p w:rsidR="00DA39B4" w:rsidRPr="00DA39B4" w:rsidRDefault="00DA39B4" w:rsidP="00DA39B4">
      <w:pPr>
        <w:numPr>
          <w:ilvl w:val="0"/>
          <w:numId w:val="1"/>
        </w:num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  <w:r w:rsidRPr="00DA39B4">
        <w:rPr>
          <w:rFonts w:asciiTheme="minorHAnsi" w:hAnsiTheme="minorHAnsi" w:cs="Courier New"/>
          <w:b/>
        </w:rPr>
        <w:t>Observação</w:t>
      </w:r>
      <w:r w:rsidRPr="00DA39B4">
        <w:rPr>
          <w:rFonts w:asciiTheme="minorHAnsi" w:hAnsiTheme="minorHAnsi" w:cs="Courier New"/>
        </w:rPr>
        <w:t xml:space="preserve"> ao </w:t>
      </w:r>
      <w:proofErr w:type="spellStart"/>
      <w:r w:rsidRPr="00DA39B4">
        <w:rPr>
          <w:rFonts w:asciiTheme="minorHAnsi" w:hAnsiTheme="minorHAnsi" w:cs="Courier New"/>
        </w:rPr>
        <w:t>estereomicroscópio</w:t>
      </w:r>
      <w:proofErr w:type="spellEnd"/>
      <w:r w:rsidRPr="00DA39B4">
        <w:rPr>
          <w:rFonts w:asciiTheme="minorHAnsi" w:hAnsiTheme="minorHAnsi" w:cs="Courier New"/>
        </w:rPr>
        <w:t xml:space="preserve"> com uma ampliação de </w:t>
      </w:r>
      <w:smartTag w:uri="urn:schemas-microsoft-com:office:smarttags" w:element="metricconverter">
        <w:smartTagPr>
          <w:attr w:name="ProductID" w:val="15 a"/>
        </w:smartTagPr>
        <w:r w:rsidRPr="00DA39B4">
          <w:rPr>
            <w:rFonts w:asciiTheme="minorHAnsi" w:hAnsiTheme="minorHAnsi" w:cs="Courier New"/>
          </w:rPr>
          <w:t>15 a</w:t>
        </w:r>
      </w:smartTag>
      <w:r w:rsidRPr="00DA39B4">
        <w:rPr>
          <w:rFonts w:asciiTheme="minorHAnsi" w:hAnsiTheme="minorHAnsi" w:cs="Courier New"/>
        </w:rPr>
        <w:t xml:space="preserve"> 20X;</w:t>
      </w: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</w:p>
    <w:p w:rsidR="00DA39B4" w:rsidRPr="00DA39B4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</w:rPr>
      </w:pPr>
    </w:p>
    <w:p w:rsidR="00DA39B4" w:rsidRPr="004367E1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20"/>
          <w:szCs w:val="20"/>
        </w:rPr>
      </w:pPr>
      <w:r w:rsidRPr="004367E1">
        <w:rPr>
          <w:rFonts w:asciiTheme="minorHAnsi" w:hAnsiTheme="minorHAnsi" w:cs="Courier New"/>
          <w:sz w:val="20"/>
          <w:szCs w:val="20"/>
        </w:rPr>
        <w:t>Notas:</w:t>
      </w:r>
    </w:p>
    <w:p w:rsidR="00DA39B4" w:rsidRPr="004367E1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20"/>
          <w:szCs w:val="20"/>
        </w:rPr>
      </w:pPr>
      <w:r w:rsidRPr="004367E1">
        <w:rPr>
          <w:rFonts w:asciiTheme="minorHAnsi" w:hAnsiTheme="minorHAnsi" w:cs="Courier New"/>
          <w:sz w:val="20"/>
          <w:szCs w:val="20"/>
        </w:rPr>
        <w:t>- Em caso algum adiar a observação da Amostra final;</w:t>
      </w:r>
    </w:p>
    <w:p w:rsidR="00DA39B4" w:rsidRPr="004367E1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20"/>
          <w:szCs w:val="20"/>
        </w:rPr>
      </w:pPr>
      <w:r w:rsidRPr="004367E1">
        <w:rPr>
          <w:rFonts w:asciiTheme="minorHAnsi" w:hAnsiTheme="minorHAnsi" w:cs="Courier New"/>
          <w:sz w:val="20"/>
          <w:szCs w:val="20"/>
        </w:rPr>
        <w:t>- Se a Amostra final não for observada de imediato deve proceder-se à sua clarificação.</w:t>
      </w:r>
    </w:p>
    <w:p w:rsidR="00DA39B4" w:rsidRPr="004367E1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20"/>
          <w:szCs w:val="20"/>
        </w:rPr>
      </w:pPr>
      <w:r w:rsidRPr="004367E1">
        <w:rPr>
          <w:rFonts w:asciiTheme="minorHAnsi" w:hAnsiTheme="minorHAnsi" w:cs="Courier New"/>
          <w:sz w:val="20"/>
          <w:szCs w:val="20"/>
        </w:rPr>
        <w:t xml:space="preserve">- Se a Amostra não for límpida que permita uma boa observação do fundo da Placa de </w:t>
      </w:r>
      <w:proofErr w:type="spellStart"/>
      <w:r w:rsidRPr="004367E1">
        <w:rPr>
          <w:rFonts w:asciiTheme="minorHAnsi" w:hAnsiTheme="minorHAnsi" w:cs="Courier New"/>
          <w:sz w:val="20"/>
          <w:szCs w:val="20"/>
        </w:rPr>
        <w:t>Petri</w:t>
      </w:r>
      <w:proofErr w:type="spellEnd"/>
      <w:r w:rsidRPr="004367E1">
        <w:rPr>
          <w:rFonts w:asciiTheme="minorHAnsi" w:hAnsiTheme="minorHAnsi" w:cs="Courier New"/>
          <w:sz w:val="20"/>
          <w:szCs w:val="20"/>
        </w:rPr>
        <w:t xml:space="preserve">, deve igualmente proceder-se à sua clarificação (deve permitir a leitura de letras de jornal através da Placa de </w:t>
      </w:r>
      <w:proofErr w:type="spellStart"/>
      <w:r w:rsidRPr="004367E1">
        <w:rPr>
          <w:rFonts w:asciiTheme="minorHAnsi" w:hAnsiTheme="minorHAnsi" w:cs="Courier New"/>
          <w:sz w:val="20"/>
          <w:szCs w:val="20"/>
        </w:rPr>
        <w:t>Petri</w:t>
      </w:r>
      <w:proofErr w:type="spellEnd"/>
      <w:r w:rsidRPr="004367E1">
        <w:rPr>
          <w:rFonts w:asciiTheme="minorHAnsi" w:hAnsiTheme="minorHAnsi" w:cs="Courier New"/>
          <w:sz w:val="20"/>
          <w:szCs w:val="20"/>
        </w:rPr>
        <w:t>);</w:t>
      </w:r>
    </w:p>
    <w:p w:rsidR="00DA39B4" w:rsidRPr="004367E1" w:rsidRDefault="00DA39B4" w:rsidP="00DA39B4">
      <w:pPr>
        <w:spacing w:line="360" w:lineRule="auto"/>
        <w:ind w:left="567" w:right="517" w:firstLine="284"/>
        <w:jc w:val="both"/>
        <w:rPr>
          <w:rFonts w:asciiTheme="minorHAnsi" w:hAnsiTheme="minorHAnsi" w:cs="Courier New"/>
          <w:sz w:val="20"/>
          <w:szCs w:val="20"/>
        </w:rPr>
      </w:pPr>
      <w:r w:rsidRPr="004367E1">
        <w:rPr>
          <w:rFonts w:asciiTheme="minorHAnsi" w:hAnsiTheme="minorHAnsi" w:cs="Courier New"/>
          <w:sz w:val="20"/>
          <w:szCs w:val="20"/>
        </w:rPr>
        <w:t xml:space="preserve">- Para grupos até </w:t>
      </w:r>
      <w:smartTag w:uri="urn:schemas-microsoft-com:office:smarttags" w:element="metricconverter">
        <w:smartTagPr>
          <w:attr w:name="ProductID" w:val="50 gramas"/>
        </w:smartTagPr>
        <w:r w:rsidRPr="004367E1">
          <w:rPr>
            <w:rFonts w:asciiTheme="minorHAnsi" w:hAnsiTheme="minorHAnsi" w:cs="Courier New"/>
            <w:sz w:val="20"/>
            <w:szCs w:val="20"/>
          </w:rPr>
          <w:t>50 gramas</w:t>
        </w:r>
      </w:smartTag>
      <w:r w:rsidRPr="004367E1">
        <w:rPr>
          <w:rFonts w:asciiTheme="minorHAnsi" w:hAnsiTheme="minorHAnsi" w:cs="Courier New"/>
          <w:sz w:val="20"/>
          <w:szCs w:val="20"/>
        </w:rPr>
        <w:t xml:space="preserve"> a solução </w:t>
      </w:r>
      <w:proofErr w:type="spellStart"/>
      <w:r w:rsidRPr="004367E1">
        <w:rPr>
          <w:rFonts w:asciiTheme="minorHAnsi" w:hAnsiTheme="minorHAnsi" w:cs="Courier New"/>
          <w:sz w:val="20"/>
          <w:szCs w:val="20"/>
        </w:rPr>
        <w:t>Ácido-péptica</w:t>
      </w:r>
      <w:proofErr w:type="spellEnd"/>
      <w:r w:rsidRPr="004367E1">
        <w:rPr>
          <w:rFonts w:asciiTheme="minorHAnsi" w:hAnsiTheme="minorHAnsi" w:cs="Courier New"/>
          <w:sz w:val="20"/>
          <w:szCs w:val="20"/>
        </w:rPr>
        <w:t xml:space="preserve"> pode ser composta por </w:t>
      </w:r>
      <w:smartTag w:uri="urn:schemas-microsoft-com:office:smarttags" w:element="metricconverter">
        <w:smartTagPr>
          <w:attr w:name="ProductID" w:val="1 L"/>
        </w:smartTagPr>
        <w:r w:rsidRPr="004367E1">
          <w:rPr>
            <w:rFonts w:asciiTheme="minorHAnsi" w:hAnsiTheme="minorHAnsi" w:cs="Courier New"/>
            <w:sz w:val="20"/>
            <w:szCs w:val="20"/>
          </w:rPr>
          <w:t>1 L</w:t>
        </w:r>
      </w:smartTag>
      <w:r w:rsidRPr="004367E1">
        <w:rPr>
          <w:rFonts w:asciiTheme="minorHAnsi" w:hAnsiTheme="minorHAnsi" w:cs="Courier New"/>
          <w:sz w:val="20"/>
          <w:szCs w:val="20"/>
        </w:rPr>
        <w:t xml:space="preserve"> de água, 8 ml de </w:t>
      </w:r>
      <w:proofErr w:type="spellStart"/>
      <w:r w:rsidRPr="004367E1">
        <w:rPr>
          <w:rFonts w:asciiTheme="minorHAnsi" w:hAnsiTheme="minorHAnsi" w:cs="Courier New"/>
          <w:sz w:val="20"/>
          <w:szCs w:val="20"/>
        </w:rPr>
        <w:t>HCl</w:t>
      </w:r>
      <w:proofErr w:type="spellEnd"/>
      <w:r w:rsidRPr="004367E1">
        <w:rPr>
          <w:rFonts w:asciiTheme="minorHAnsi" w:hAnsiTheme="minorHAnsi" w:cs="Courier New"/>
          <w:sz w:val="20"/>
          <w:szCs w:val="20"/>
        </w:rPr>
        <w:t xml:space="preserve"> (25%) e </w:t>
      </w:r>
      <w:smartTag w:uri="urn:schemas-microsoft-com:office:smarttags" w:element="metricconverter">
        <w:smartTagPr>
          <w:attr w:name="ProductID" w:val="5 gramas"/>
        </w:smartTagPr>
        <w:r w:rsidRPr="004367E1">
          <w:rPr>
            <w:rFonts w:asciiTheme="minorHAnsi" w:hAnsiTheme="minorHAnsi" w:cs="Courier New"/>
            <w:sz w:val="20"/>
            <w:szCs w:val="20"/>
          </w:rPr>
          <w:t>5 gramas</w:t>
        </w:r>
      </w:smartTag>
      <w:r w:rsidRPr="004367E1">
        <w:rPr>
          <w:rFonts w:asciiTheme="minorHAnsi" w:hAnsiTheme="minorHAnsi" w:cs="Courier New"/>
          <w:sz w:val="20"/>
          <w:szCs w:val="20"/>
        </w:rPr>
        <w:t xml:space="preserve"> de Pepsina.</w:t>
      </w:r>
    </w:p>
    <w:p w:rsidR="00295283" w:rsidRDefault="00295283" w:rsidP="00DA39B4">
      <w:pPr>
        <w:ind w:right="517"/>
      </w:pPr>
    </w:p>
    <w:sectPr w:rsidR="00295283" w:rsidSect="00EC7C64">
      <w:pgSz w:w="11906" w:h="16838"/>
      <w:pgMar w:top="899" w:right="746" w:bottom="89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1C1F"/>
    <w:multiLevelType w:val="hybridMultilevel"/>
    <w:tmpl w:val="F9CA4EB0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9B4"/>
    <w:rsid w:val="00027B4F"/>
    <w:rsid w:val="00036FB0"/>
    <w:rsid w:val="00212AAE"/>
    <w:rsid w:val="00295283"/>
    <w:rsid w:val="003A7B84"/>
    <w:rsid w:val="004367E1"/>
    <w:rsid w:val="00484949"/>
    <w:rsid w:val="00660995"/>
    <w:rsid w:val="0066690F"/>
    <w:rsid w:val="006F0F20"/>
    <w:rsid w:val="00920EEF"/>
    <w:rsid w:val="00A82952"/>
    <w:rsid w:val="00D10B3B"/>
    <w:rsid w:val="00DA39B4"/>
    <w:rsid w:val="00FE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FE0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FE0A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E0A56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FE0A56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SemEspaamento">
    <w:name w:val="No Spacing"/>
    <w:uiPriority w:val="1"/>
    <w:qFormat/>
    <w:rsid w:val="00FE0A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iagem">
  <a:themeElements>
    <a:clrScheme name="Viagem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iagem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Viagem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2052</Characters>
  <Application>Microsoft Office Word</Application>
  <DocSecurity>0</DocSecurity>
  <Lines>17</Lines>
  <Paragraphs>4</Paragraphs>
  <ScaleCrop>false</ScaleCrop>
  <Company>TOSHIBA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</dc:creator>
  <cp:keywords/>
  <dc:description/>
  <cp:lastModifiedBy>Bento</cp:lastModifiedBy>
  <cp:revision>3</cp:revision>
  <dcterms:created xsi:type="dcterms:W3CDTF">2010-05-06T19:30:00Z</dcterms:created>
  <dcterms:modified xsi:type="dcterms:W3CDTF">2010-05-07T10:29:00Z</dcterms:modified>
</cp:coreProperties>
</file>