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hAnsi="Times New Roman" w:cs="Times New Roman"/>
          <w:i/>
          <w:iCs/>
          <w:sz w:val="24"/>
          <w:szCs w:val="24"/>
        </w:rPr>
        <w:t xml:space="preserve">Eur. J. Entomol. </w:t>
      </w:r>
      <w:r w:rsidRPr="008E18B8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8E18B8">
        <w:rPr>
          <w:rFonts w:ascii="Times New Roman" w:eastAsia="TimesNewRomanPSMT" w:hAnsi="Times New Roman" w:cs="Times New Roman"/>
          <w:sz w:val="24"/>
          <w:szCs w:val="24"/>
        </w:rPr>
        <w:t>(1): 20–26, 2015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>doi: 10.14411/eje.2015.019</w:t>
      </w:r>
    </w:p>
    <w:p w:rsid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ISSN 1210-5759 (print), 1802-8829 (online)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E18B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Bactrocera</w:t>
      </w:r>
      <w:proofErr w:type="spellEnd"/>
      <w:r w:rsidRPr="008E18B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E18B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oleae</w:t>
      </w:r>
      <w:proofErr w:type="spellEnd"/>
      <w:r w:rsidRPr="008E18B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Diptera</w:t>
      </w:r>
      <w:proofErr w:type="spellEnd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Tephritidae</w:t>
      </w:r>
      <w:proofErr w:type="spellEnd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) org</w:t>
      </w:r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anophosphate resistance alleles </w:t>
      </w:r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in Iberia: Recent expansion and variable frequencies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hAnsi="Times New Roman" w:cs="Times New Roman"/>
          <w:sz w:val="24"/>
          <w:szCs w:val="24"/>
        </w:rPr>
        <w:t xml:space="preserve">Isabel </w:t>
      </w:r>
      <w:r w:rsidRPr="008E18B8">
        <w:rPr>
          <w:rFonts w:ascii="Times New Roman" w:eastAsia="TimesNewRomanPSMT" w:hAnsi="Times New Roman" w:cs="Times New Roman"/>
          <w:sz w:val="24"/>
          <w:szCs w:val="24"/>
        </w:rPr>
        <w:t xml:space="preserve">Pereira -Castro 1, *, </w:t>
      </w:r>
      <w:r w:rsidRPr="008E18B8">
        <w:rPr>
          <w:rFonts w:ascii="Times New Roman" w:hAnsi="Times New Roman" w:cs="Times New Roman"/>
          <w:sz w:val="24"/>
          <w:szCs w:val="24"/>
        </w:rPr>
        <w:t xml:space="preserve">Barbara </w:t>
      </w:r>
      <w:r w:rsidRPr="008E18B8">
        <w:rPr>
          <w:rFonts w:ascii="Times New Roman" w:eastAsia="TimesNewRomanPSMT" w:hAnsi="Times New Roman" w:cs="Times New Roman"/>
          <w:sz w:val="24"/>
          <w:szCs w:val="24"/>
        </w:rPr>
        <w:t xml:space="preserve">van Asch 1, *, </w:t>
      </w:r>
      <w:r w:rsidRPr="008E18B8">
        <w:rPr>
          <w:rFonts w:ascii="Times New Roman" w:hAnsi="Times New Roman" w:cs="Times New Roman"/>
          <w:sz w:val="24"/>
          <w:szCs w:val="24"/>
        </w:rPr>
        <w:t xml:space="preserve">Fernando </w:t>
      </w:r>
      <w:r w:rsidRPr="008E18B8">
        <w:rPr>
          <w:rFonts w:ascii="Times New Roman" w:eastAsia="TimesNewRomanPSMT" w:hAnsi="Times New Roman" w:cs="Times New Roman"/>
          <w:sz w:val="24"/>
          <w:szCs w:val="24"/>
        </w:rPr>
        <w:t>Trindade Rei 2</w:t>
      </w:r>
    </w:p>
    <w:p w:rsid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 xml:space="preserve">and </w:t>
      </w:r>
      <w:r w:rsidRPr="008E18B8">
        <w:rPr>
          <w:rFonts w:ascii="Times New Roman" w:hAnsi="Times New Roman" w:cs="Times New Roman"/>
          <w:sz w:val="24"/>
          <w:szCs w:val="24"/>
        </w:rPr>
        <w:t xml:space="preserve">Luís </w:t>
      </w:r>
      <w:r w:rsidRPr="008E18B8">
        <w:rPr>
          <w:rFonts w:ascii="Times New Roman" w:eastAsia="TimesNewRomanPSMT" w:hAnsi="Times New Roman" w:cs="Times New Roman"/>
          <w:sz w:val="24"/>
          <w:szCs w:val="24"/>
        </w:rPr>
        <w:t>Tei xeira da Costa 2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>1 Instituto de Patologia e Imunologia Molecular da Universidade do Porto (IPATIMUP), Rua Dr. Roberto Frias, s/n, 4200-465 Porto,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>Portugal; e-mails: isabelpereiracastro@gmail.com; basch@ipatimup.pt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>2 Instituto de Ciências Agrárias e Ambientais Mediterrânicas (ICAAM), Universidade de Évora, Núcleo da Mitra, Apartado 94,</w:t>
      </w: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8E18B8">
        <w:rPr>
          <w:rFonts w:ascii="Times New Roman" w:eastAsia="TimesNewRomanPSMT" w:hAnsi="Times New Roman" w:cs="Times New Roman"/>
          <w:sz w:val="24"/>
          <w:szCs w:val="24"/>
        </w:rPr>
        <w:t>7002-774 Évora, Portugal; e-mails: frei@uevora.pt; luisteixeiracosta@gmail.com</w:t>
      </w:r>
    </w:p>
    <w:p w:rsid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E18B8" w:rsidRP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words.</w:t>
      </w:r>
      <w:proofErr w:type="gramEnd"/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Diptera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Tephritidae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organophosphate, resistance,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Bactrocera</w:t>
      </w:r>
      <w:proofErr w:type="spellEnd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oleae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acetylcholinesterase, genetics, olive, </w:t>
      </w:r>
      <w:proofErr w:type="gram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olive</w:t>
      </w:r>
      <w:proofErr w:type="gram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fly</w:t>
      </w:r>
    </w:p>
    <w:p w:rsidR="008E18B8" w:rsidRDefault="008E18B8" w:rsidP="008E1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956F9" w:rsidRPr="008E18B8" w:rsidRDefault="008E18B8" w:rsidP="008E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E18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Abstract.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olive fly,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Bactrocera</w:t>
      </w:r>
      <w:proofErr w:type="spellEnd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oleae</w:t>
      </w:r>
      <w:proofErr w:type="spellEnd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(Rossi, 1790) (</w:t>
      </w:r>
      <w:proofErr w:type="spell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Diptera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Tephritidae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), is the most important pest 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 olive trees globally, causing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losses that, in the absence of control measures, can exceed 90% of the crop. In the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Mediterranean basin, where the overwhelming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majority of production is concen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trated (~ 98%), organophosphate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insecticides (OPs) have been the main tool for </w:t>
      </w:r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oleae</w:t>
      </w:r>
      <w:proofErr w:type="spellEnd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control fo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r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last four decades, leading to the development of resistance to these compounds. Mutations of the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Ace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gene, which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codes for acetylcholinesterase,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the target enzyme of OPs and other insecticides, have been identified as the underlying cause, with studi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es reporting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mid to very high frequencies of resistance alleles in sever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al countries. Interestingly, no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resistance allele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 were detected in Portugal, at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Western end of the Mediterranean basin. As the original study was done almost a decade ago and did 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not include many samples, we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decided to re-evaluate the situation, by </w:t>
      </w:r>
      <w:proofErr w:type="spellStart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analysing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 larger number of individuals from multiple locations in Western and Southern Iberia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(Portugal and Spain). In our present study, resistance-associated </w:t>
      </w:r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Ace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alleles were found to have bec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ome widespread in both regions,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but with highly varying frequencies. Together with the observed haplotype distributions, this finding is consi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stent with previous suggestions </w:t>
      </w:r>
      <w:bookmarkStart w:id="0" w:name="_GoBack"/>
      <w:bookmarkEnd w:id="0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of a recent, selection-driven spread and has implications for the importance of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Ace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mutations i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n organophosphate resistance in </w:t>
      </w:r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field as well as the importance of gene flow between Mediterranean populations of </w:t>
      </w:r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proofErr w:type="spellStart"/>
      <w:r w:rsidRPr="008E18B8">
        <w:rPr>
          <w:rFonts w:ascii="Times New Roman" w:hAnsi="Times New Roman" w:cs="Times New Roman"/>
          <w:i/>
          <w:iCs/>
          <w:sz w:val="24"/>
          <w:szCs w:val="24"/>
          <w:lang w:val="en-US"/>
        </w:rPr>
        <w:t>oleae</w:t>
      </w:r>
      <w:proofErr w:type="spellEnd"/>
      <w:r w:rsidRPr="008E18B8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sectPr w:rsidR="003956F9" w:rsidRPr="008E1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B8"/>
    <w:rsid w:val="003956F9"/>
    <w:rsid w:val="008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2065</Characters>
  <Application>Microsoft Office Word</Application>
  <DocSecurity>0</DocSecurity>
  <Lines>17</Lines>
  <Paragraphs>4</Paragraphs>
  <ScaleCrop>false</ScaleCrop>
  <Company>Hewlett-Packard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</dc:creator>
  <cp:lastModifiedBy>frei</cp:lastModifiedBy>
  <cp:revision>1</cp:revision>
  <dcterms:created xsi:type="dcterms:W3CDTF">2015-02-27T12:47:00Z</dcterms:created>
  <dcterms:modified xsi:type="dcterms:W3CDTF">2015-02-27T12:49:00Z</dcterms:modified>
</cp:coreProperties>
</file>