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4CF" w:rsidRPr="00BD24CF" w:rsidRDefault="00BD24CF" w:rsidP="00BD24CF">
      <w:pPr>
        <w:autoSpaceDE w:val="0"/>
        <w:autoSpaceDN w:val="0"/>
        <w:adjustRightInd w:val="0"/>
        <w:spacing w:after="0" w:line="240" w:lineRule="auto"/>
        <w:rPr>
          <w:rFonts w:ascii="AdvMyriadPro-B" w:hAnsi="AdvMyriadPro-B" w:cs="AdvMyriadPro-B"/>
          <w:color w:val="231F20"/>
          <w:sz w:val="15"/>
          <w:szCs w:val="15"/>
          <w:lang w:val="en-US"/>
        </w:rPr>
      </w:pPr>
      <w:r w:rsidRPr="00BD24CF">
        <w:rPr>
          <w:rFonts w:ascii="AdvMyriadPro-B" w:hAnsi="AdvMyriadPro-B" w:cs="AdvMyriadPro-B"/>
          <w:color w:val="231F20"/>
          <w:sz w:val="15"/>
          <w:szCs w:val="15"/>
          <w:lang w:val="en-US"/>
        </w:rPr>
        <w:t>http://informahealthcare.com/mdn</w:t>
      </w:r>
    </w:p>
    <w:p w:rsidR="00BD24CF" w:rsidRPr="00BD24CF" w:rsidRDefault="00BD24CF" w:rsidP="00BD24CF">
      <w:pPr>
        <w:autoSpaceDE w:val="0"/>
        <w:autoSpaceDN w:val="0"/>
        <w:adjustRightInd w:val="0"/>
        <w:spacing w:after="0" w:line="240" w:lineRule="auto"/>
        <w:rPr>
          <w:rFonts w:ascii="AdvMyriadPro-R" w:hAnsi="AdvMyriadPro-R" w:cs="AdvMyriadPro-R"/>
          <w:color w:val="231F20"/>
          <w:sz w:val="15"/>
          <w:szCs w:val="15"/>
          <w:lang w:val="en-US"/>
        </w:rPr>
      </w:pPr>
      <w:r w:rsidRPr="00BD24CF">
        <w:rPr>
          <w:rFonts w:ascii="AdvMyriadPro-R" w:hAnsi="AdvMyriadPro-R" w:cs="AdvMyriadPro-R"/>
          <w:color w:val="231F20"/>
          <w:sz w:val="15"/>
          <w:szCs w:val="15"/>
          <w:lang w:val="en-US"/>
        </w:rPr>
        <w:t>ISSN: 1940-1736 (print), 1940-1744 (electronic)</w:t>
      </w:r>
    </w:p>
    <w:p w:rsidR="00BD24CF" w:rsidRPr="00BD24CF" w:rsidRDefault="00BD24CF" w:rsidP="00BD24CF">
      <w:pPr>
        <w:autoSpaceDE w:val="0"/>
        <w:autoSpaceDN w:val="0"/>
        <w:adjustRightInd w:val="0"/>
        <w:spacing w:after="0" w:line="240" w:lineRule="auto"/>
        <w:rPr>
          <w:rFonts w:ascii="AdvOT5fcf1b24" w:hAnsi="AdvOT5fcf1b24" w:cs="AdvOT5fcf1b24"/>
          <w:color w:val="231F20"/>
          <w:sz w:val="15"/>
          <w:szCs w:val="15"/>
          <w:lang w:val="en-US"/>
        </w:rPr>
      </w:pPr>
      <w:r w:rsidRPr="00BD24CF">
        <w:rPr>
          <w:rFonts w:ascii="AdvOT5fcf1b24" w:hAnsi="AdvOT5fcf1b24" w:cs="AdvOT5fcf1b24"/>
          <w:color w:val="231F20"/>
          <w:sz w:val="15"/>
          <w:szCs w:val="15"/>
          <w:lang w:val="en-US"/>
        </w:rPr>
        <w:t>Mitochondrial DNA, Early Online: 1–2</w:t>
      </w:r>
    </w:p>
    <w:p w:rsidR="00BD24CF" w:rsidRPr="00BD24CF" w:rsidRDefault="00BD24CF" w:rsidP="00BD24CF">
      <w:pPr>
        <w:autoSpaceDE w:val="0"/>
        <w:autoSpaceDN w:val="0"/>
        <w:adjustRightInd w:val="0"/>
        <w:spacing w:after="0" w:line="240" w:lineRule="auto"/>
        <w:rPr>
          <w:rFonts w:ascii="AdvOT5fcf1b24" w:hAnsi="AdvOT5fcf1b24" w:cs="AdvOT5fcf1b24"/>
          <w:color w:val="231F20"/>
          <w:sz w:val="15"/>
          <w:szCs w:val="15"/>
          <w:lang w:val="en-US"/>
        </w:rPr>
      </w:pPr>
      <w:r w:rsidRPr="00BD24CF">
        <w:rPr>
          <w:rFonts w:ascii="AdvP42A1B7" w:hAnsi="AdvP42A1B7" w:cs="AdvP42A1B7"/>
          <w:color w:val="231F20"/>
          <w:sz w:val="13"/>
          <w:szCs w:val="13"/>
          <w:lang w:val="en-US"/>
        </w:rPr>
        <w:t xml:space="preserve">! </w:t>
      </w:r>
      <w:r w:rsidRPr="00BD24CF">
        <w:rPr>
          <w:rFonts w:ascii="AdvOT5fcf1b24" w:hAnsi="AdvOT5fcf1b24" w:cs="AdvOT5fcf1b24"/>
          <w:color w:val="231F20"/>
          <w:sz w:val="15"/>
          <w:szCs w:val="15"/>
          <w:lang w:val="en-US"/>
        </w:rPr>
        <w:t xml:space="preserve">2014 </w:t>
      </w:r>
      <w:proofErr w:type="spellStart"/>
      <w:r w:rsidRPr="00BD24CF">
        <w:rPr>
          <w:rFonts w:ascii="AdvOT5fcf1b24" w:hAnsi="AdvOT5fcf1b24" w:cs="AdvOT5fcf1b24"/>
          <w:color w:val="231F20"/>
          <w:sz w:val="15"/>
          <w:szCs w:val="15"/>
          <w:lang w:val="en-US"/>
        </w:rPr>
        <w:t>Informa</w:t>
      </w:r>
      <w:proofErr w:type="spellEnd"/>
      <w:r w:rsidRPr="00BD24CF">
        <w:rPr>
          <w:rFonts w:ascii="AdvOT5fcf1b24" w:hAnsi="AdvOT5fcf1b24" w:cs="AdvOT5fcf1b24"/>
          <w:color w:val="231F20"/>
          <w:sz w:val="15"/>
          <w:szCs w:val="15"/>
          <w:lang w:val="en-US"/>
        </w:rPr>
        <w:t xml:space="preserve"> UK Ltd. DOI: 10.3109/19401736.2014.982579</w:t>
      </w:r>
    </w:p>
    <w:p w:rsidR="00BD24CF" w:rsidRPr="00BD24CF" w:rsidRDefault="00BD24CF" w:rsidP="00BD24CF">
      <w:pPr>
        <w:autoSpaceDE w:val="0"/>
        <w:autoSpaceDN w:val="0"/>
        <w:adjustRightInd w:val="0"/>
        <w:spacing w:after="0" w:line="240" w:lineRule="auto"/>
        <w:rPr>
          <w:rFonts w:ascii="AdvMyriadPro-R" w:hAnsi="AdvMyriadPro-R" w:cs="AdvMyriadPro-R"/>
          <w:color w:val="231F20"/>
          <w:lang w:val="en-US"/>
        </w:rPr>
      </w:pPr>
      <w:r w:rsidRPr="00BD24CF">
        <w:rPr>
          <w:rFonts w:ascii="AdvMyriadPro-R" w:hAnsi="AdvMyriadPro-R" w:cs="AdvMyriadPro-R"/>
          <w:color w:val="231F20"/>
          <w:lang w:val="en-US"/>
        </w:rPr>
        <w:t>MITOGENOME ANNOUNCEMENT</w:t>
      </w:r>
    </w:p>
    <w:p w:rsidR="00BD24CF" w:rsidRDefault="00BD24CF" w:rsidP="00BD24CF">
      <w:pPr>
        <w:autoSpaceDE w:val="0"/>
        <w:autoSpaceDN w:val="0"/>
        <w:adjustRightInd w:val="0"/>
        <w:spacing w:after="0" w:line="240" w:lineRule="auto"/>
        <w:rPr>
          <w:rFonts w:ascii="AdvMyriadPro-SB" w:hAnsi="AdvMyriadPro-SB" w:cs="AdvMyriadPro-SB"/>
          <w:color w:val="231F20"/>
          <w:sz w:val="32"/>
          <w:szCs w:val="32"/>
          <w:lang w:val="en-US"/>
        </w:rPr>
      </w:pPr>
    </w:p>
    <w:p w:rsidR="00BD24CF" w:rsidRPr="00BD24CF" w:rsidRDefault="00BD24CF" w:rsidP="00BD24CF">
      <w:pPr>
        <w:autoSpaceDE w:val="0"/>
        <w:autoSpaceDN w:val="0"/>
        <w:adjustRightInd w:val="0"/>
        <w:spacing w:after="0" w:line="240" w:lineRule="auto"/>
        <w:rPr>
          <w:rFonts w:ascii="AdvMyriadPro-SB" w:hAnsi="AdvMyriadPro-SB" w:cs="AdvMyriadPro-SB"/>
          <w:color w:val="231F20"/>
          <w:sz w:val="32"/>
          <w:szCs w:val="32"/>
          <w:lang w:val="en-US"/>
        </w:rPr>
      </w:pPr>
      <w:r w:rsidRPr="00BD24CF">
        <w:rPr>
          <w:rFonts w:ascii="AdvMyriadPro-SB" w:hAnsi="AdvMyriadPro-SB" w:cs="AdvMyriadPro-SB"/>
          <w:color w:val="231F20"/>
          <w:sz w:val="32"/>
          <w:szCs w:val="32"/>
          <w:lang w:val="en-US"/>
        </w:rPr>
        <w:t xml:space="preserve">The mitochondrial genome of </w:t>
      </w:r>
      <w:r w:rsidRPr="00BD24CF">
        <w:rPr>
          <w:rFonts w:ascii="AdvMyriadPro-SBI" w:hAnsi="AdvMyriadPro-SBI" w:cs="AdvMyriadPro-SBI"/>
          <w:color w:val="231F20"/>
          <w:sz w:val="32"/>
          <w:szCs w:val="32"/>
          <w:lang w:val="en-US"/>
        </w:rPr>
        <w:t xml:space="preserve">Prays </w:t>
      </w:r>
      <w:proofErr w:type="spellStart"/>
      <w:r w:rsidRPr="00BD24CF">
        <w:rPr>
          <w:rFonts w:ascii="AdvMyriadPro-SBI" w:hAnsi="AdvMyriadPro-SBI" w:cs="AdvMyriadPro-SBI"/>
          <w:color w:val="231F20"/>
          <w:sz w:val="32"/>
          <w:szCs w:val="32"/>
          <w:lang w:val="en-US"/>
        </w:rPr>
        <w:t>oleae</w:t>
      </w:r>
      <w:proofErr w:type="spellEnd"/>
      <w:r w:rsidRPr="00BD24CF">
        <w:rPr>
          <w:rFonts w:ascii="AdvMyriadPro-SBI" w:hAnsi="AdvMyriadPro-SBI" w:cs="AdvMyriadPro-SBI"/>
          <w:color w:val="231F20"/>
          <w:sz w:val="32"/>
          <w:szCs w:val="32"/>
          <w:lang w:val="en-US"/>
        </w:rPr>
        <w:t xml:space="preserve"> </w:t>
      </w:r>
      <w:r w:rsidR="00E222E2">
        <w:rPr>
          <w:rFonts w:ascii="AdvMyriadPro-SB" w:hAnsi="AdvMyriadPro-SB" w:cs="AdvMyriadPro-SB"/>
          <w:color w:val="231F20"/>
          <w:sz w:val="32"/>
          <w:szCs w:val="32"/>
          <w:lang w:val="en-US"/>
        </w:rPr>
        <w:t>(</w:t>
      </w:r>
      <w:proofErr w:type="spellStart"/>
      <w:r w:rsidR="00E222E2">
        <w:rPr>
          <w:rFonts w:ascii="AdvMyriadPro-SB" w:hAnsi="AdvMyriadPro-SB" w:cs="AdvMyriadPro-SB"/>
          <w:color w:val="231F20"/>
          <w:sz w:val="32"/>
          <w:szCs w:val="32"/>
          <w:lang w:val="en-US"/>
        </w:rPr>
        <w:t>Insecta</w:t>
      </w:r>
      <w:proofErr w:type="spellEnd"/>
      <w:r w:rsidR="00E222E2">
        <w:rPr>
          <w:rFonts w:ascii="AdvMyriadPro-SB" w:hAnsi="AdvMyriadPro-SB" w:cs="AdvMyriadPro-SB"/>
          <w:color w:val="231F20"/>
          <w:sz w:val="32"/>
          <w:szCs w:val="32"/>
          <w:lang w:val="en-US"/>
        </w:rPr>
        <w:t xml:space="preserve">: </w:t>
      </w:r>
      <w:bookmarkStart w:id="0" w:name="_GoBack"/>
      <w:bookmarkEnd w:id="0"/>
      <w:proofErr w:type="spellStart"/>
      <w:r>
        <w:rPr>
          <w:rFonts w:ascii="AdvMyriadPro-SB" w:hAnsi="AdvMyriadPro-SB" w:cs="AdvMyriadPro-SB"/>
          <w:color w:val="231F20"/>
          <w:sz w:val="32"/>
          <w:szCs w:val="32"/>
          <w:lang w:val="en-US"/>
        </w:rPr>
        <w:t>Lepidoptera</w:t>
      </w:r>
      <w:proofErr w:type="gramStart"/>
      <w:r>
        <w:rPr>
          <w:rFonts w:ascii="AdvMyriadPro-SB" w:hAnsi="AdvMyriadPro-SB" w:cs="AdvMyriadPro-SB"/>
          <w:color w:val="231F20"/>
          <w:sz w:val="32"/>
          <w:szCs w:val="32"/>
          <w:lang w:val="en-US"/>
        </w:rPr>
        <w:t>:</w:t>
      </w:r>
      <w:r w:rsidRPr="00BD24CF">
        <w:rPr>
          <w:rFonts w:ascii="AdvMyriadPro-SB" w:hAnsi="AdvMyriadPro-SB" w:cs="AdvMyriadPro-SB"/>
          <w:color w:val="231F20"/>
          <w:sz w:val="32"/>
          <w:szCs w:val="32"/>
          <w:lang w:val="en-US"/>
        </w:rPr>
        <w:t>Praydidae</w:t>
      </w:r>
      <w:proofErr w:type="spellEnd"/>
      <w:proofErr w:type="gramEnd"/>
      <w:r w:rsidRPr="00BD24CF">
        <w:rPr>
          <w:rFonts w:ascii="AdvMyriadPro-SB" w:hAnsi="AdvMyriadPro-SB" w:cs="AdvMyriadPro-SB"/>
          <w:color w:val="231F20"/>
          <w:sz w:val="32"/>
          <w:szCs w:val="32"/>
          <w:lang w:val="en-US"/>
        </w:rPr>
        <w:t>)</w:t>
      </w:r>
    </w:p>
    <w:p w:rsidR="00BD24CF" w:rsidRPr="00E222E2" w:rsidRDefault="00BD24CF" w:rsidP="00BD24CF">
      <w:pPr>
        <w:autoSpaceDE w:val="0"/>
        <w:autoSpaceDN w:val="0"/>
        <w:adjustRightInd w:val="0"/>
        <w:spacing w:after="0" w:line="240" w:lineRule="auto"/>
        <w:rPr>
          <w:rFonts w:ascii="AdvMyriadPro-R" w:hAnsi="AdvMyriadPro-R" w:cs="AdvMyriadPro-R"/>
          <w:color w:val="231F20"/>
          <w:sz w:val="21"/>
          <w:szCs w:val="21"/>
          <w:lang w:val="en-US"/>
        </w:rPr>
      </w:pPr>
    </w:p>
    <w:p w:rsidR="00BD24CF" w:rsidRDefault="00BD24CF" w:rsidP="00BD24CF">
      <w:pPr>
        <w:autoSpaceDE w:val="0"/>
        <w:autoSpaceDN w:val="0"/>
        <w:adjustRightInd w:val="0"/>
        <w:spacing w:after="0" w:line="240" w:lineRule="auto"/>
        <w:rPr>
          <w:rFonts w:ascii="AdvMyriadPro-R" w:hAnsi="AdvMyriadPro-R" w:cs="AdvMyriadPro-R"/>
          <w:color w:val="231F20"/>
          <w:sz w:val="14"/>
          <w:szCs w:val="14"/>
        </w:rPr>
      </w:pPr>
      <w:r>
        <w:rPr>
          <w:rFonts w:ascii="AdvMyriadPro-R" w:hAnsi="AdvMyriadPro-R" w:cs="AdvMyriadPro-R"/>
          <w:color w:val="231F20"/>
          <w:sz w:val="21"/>
          <w:szCs w:val="21"/>
        </w:rPr>
        <w:t>Barbara van Asch</w:t>
      </w:r>
      <w:r>
        <w:rPr>
          <w:rFonts w:ascii="AdvMyriadPro-R" w:hAnsi="AdvMyriadPro-R" w:cs="AdvMyriadPro-R"/>
          <w:color w:val="231F20"/>
          <w:sz w:val="14"/>
          <w:szCs w:val="14"/>
        </w:rPr>
        <w:t>1</w:t>
      </w:r>
      <w:r>
        <w:rPr>
          <w:rFonts w:ascii="AdvP479F8A" w:hAnsi="AdvP479F8A" w:cs="AdvP479F8A"/>
          <w:color w:val="231F20"/>
          <w:sz w:val="21"/>
          <w:szCs w:val="21"/>
        </w:rPr>
        <w:t>*</w:t>
      </w:r>
      <w:r>
        <w:rPr>
          <w:rFonts w:ascii="AdvMyriadPro-R" w:hAnsi="AdvMyriadPro-R" w:cs="AdvMyriadPro-R"/>
          <w:color w:val="231F20"/>
          <w:sz w:val="21"/>
          <w:szCs w:val="21"/>
        </w:rPr>
        <w:t>, Imen Blibech</w:t>
      </w:r>
      <w:r>
        <w:rPr>
          <w:rFonts w:ascii="AdvMyriadPro-R" w:hAnsi="AdvMyriadPro-R" w:cs="AdvMyriadPro-R"/>
          <w:color w:val="231F20"/>
          <w:sz w:val="14"/>
          <w:szCs w:val="14"/>
        </w:rPr>
        <w:t>2</w:t>
      </w:r>
      <w:r>
        <w:rPr>
          <w:rFonts w:ascii="AdvP479F8A" w:hAnsi="AdvP479F8A" w:cs="AdvP479F8A"/>
          <w:color w:val="231F20"/>
          <w:sz w:val="21"/>
          <w:szCs w:val="21"/>
        </w:rPr>
        <w:t>*</w:t>
      </w:r>
      <w:r>
        <w:rPr>
          <w:rFonts w:ascii="AdvMyriadPro-R" w:hAnsi="AdvMyriadPro-R" w:cs="AdvMyriadPro-R"/>
          <w:color w:val="231F20"/>
          <w:sz w:val="21"/>
          <w:szCs w:val="21"/>
        </w:rPr>
        <w:t>, Isabel Pereira-Castro</w:t>
      </w:r>
      <w:r>
        <w:rPr>
          <w:rFonts w:ascii="AdvMyriadPro-R" w:hAnsi="AdvMyriadPro-R" w:cs="AdvMyriadPro-R"/>
          <w:color w:val="231F20"/>
          <w:sz w:val="14"/>
          <w:szCs w:val="14"/>
        </w:rPr>
        <w:t>1</w:t>
      </w:r>
      <w:r>
        <w:rPr>
          <w:rFonts w:ascii="AdvMyriadPro-R" w:hAnsi="AdvMyriadPro-R" w:cs="AdvMyriadPro-R"/>
          <w:color w:val="231F20"/>
          <w:sz w:val="21"/>
          <w:szCs w:val="21"/>
        </w:rPr>
        <w:t>, Fernando Trindade Rei</w:t>
      </w:r>
      <w:r>
        <w:rPr>
          <w:rFonts w:ascii="AdvMyriadPro-R" w:hAnsi="AdvMyriadPro-R" w:cs="AdvMyriadPro-R"/>
          <w:color w:val="231F20"/>
          <w:sz w:val="14"/>
          <w:szCs w:val="14"/>
        </w:rPr>
        <w:t>3</w:t>
      </w:r>
      <w:r>
        <w:rPr>
          <w:rFonts w:ascii="AdvMyriadPro-R" w:hAnsi="AdvMyriadPro-R" w:cs="AdvMyriadPro-R"/>
          <w:color w:val="231F20"/>
          <w:sz w:val="21"/>
          <w:szCs w:val="21"/>
        </w:rPr>
        <w:t>, and Lu</w:t>
      </w:r>
      <w:r w:rsidR="00E222E2">
        <w:rPr>
          <w:rFonts w:ascii="AdvMyriadPro-R" w:hAnsi="AdvMyriadPro-R" w:cs="AdvMyriadPro-R"/>
          <w:color w:val="231F20"/>
          <w:sz w:val="21"/>
          <w:szCs w:val="21"/>
        </w:rPr>
        <w:t>í</w:t>
      </w:r>
      <w:r>
        <w:rPr>
          <w:rFonts w:ascii="AdvMyriadPro-R" w:hAnsi="AdvMyriadPro-R" w:cs="AdvMyriadPro-R"/>
          <w:color w:val="231F20"/>
          <w:sz w:val="21"/>
          <w:szCs w:val="21"/>
        </w:rPr>
        <w:t>s Teixeira da Costa</w:t>
      </w:r>
      <w:r>
        <w:rPr>
          <w:rFonts w:ascii="AdvMyriadPro-R" w:hAnsi="AdvMyriadPro-R" w:cs="AdvMyriadPro-R"/>
          <w:color w:val="231F20"/>
          <w:sz w:val="14"/>
          <w:szCs w:val="14"/>
        </w:rPr>
        <w:t>3</w:t>
      </w:r>
    </w:p>
    <w:p w:rsidR="00BD24CF" w:rsidRDefault="00BD24CF" w:rsidP="00BD24CF">
      <w:pPr>
        <w:autoSpaceDE w:val="0"/>
        <w:autoSpaceDN w:val="0"/>
        <w:adjustRightInd w:val="0"/>
        <w:spacing w:after="0" w:line="240" w:lineRule="auto"/>
        <w:rPr>
          <w:rFonts w:ascii="AdvMyriadPro-R" w:hAnsi="AdvMyriadPro-R" w:cs="AdvMyriadPro-R"/>
          <w:color w:val="231F20"/>
          <w:sz w:val="14"/>
          <w:szCs w:val="14"/>
        </w:rPr>
      </w:pPr>
    </w:p>
    <w:p w:rsidR="00BD24CF" w:rsidRDefault="00BD24CF" w:rsidP="00BD24CF">
      <w:pPr>
        <w:autoSpaceDE w:val="0"/>
        <w:autoSpaceDN w:val="0"/>
        <w:adjustRightInd w:val="0"/>
        <w:spacing w:after="0" w:line="240" w:lineRule="auto"/>
        <w:rPr>
          <w:rFonts w:ascii="AdvMyriadPro-I" w:hAnsi="AdvMyriadPro-I" w:cs="AdvMyriadPro-I"/>
          <w:color w:val="231F20"/>
          <w:sz w:val="17"/>
          <w:szCs w:val="17"/>
        </w:rPr>
      </w:pPr>
      <w:r>
        <w:rPr>
          <w:rFonts w:ascii="AdvMyriadPro-I" w:hAnsi="AdvMyriadPro-I" w:cs="AdvMyriadPro-I"/>
          <w:color w:val="231F20"/>
          <w:sz w:val="11"/>
          <w:szCs w:val="11"/>
        </w:rPr>
        <w:t>1</w:t>
      </w:r>
      <w:r>
        <w:rPr>
          <w:rFonts w:ascii="AdvMyriadPro-I" w:hAnsi="AdvMyriadPro-I" w:cs="AdvMyriadPro-I"/>
          <w:color w:val="231F20"/>
          <w:sz w:val="17"/>
          <w:szCs w:val="17"/>
        </w:rPr>
        <w:t xml:space="preserve">Instituto de Patologia e Imunologia Molecular da Universidade do Porto (IPATIMUP), Porto, Portugal, </w:t>
      </w:r>
      <w:r>
        <w:rPr>
          <w:rFonts w:ascii="AdvMyriadPro-I" w:hAnsi="AdvMyriadPro-I" w:cs="AdvMyriadPro-I"/>
          <w:color w:val="231F20"/>
          <w:sz w:val="11"/>
          <w:szCs w:val="11"/>
        </w:rPr>
        <w:t>2</w:t>
      </w:r>
      <w:r>
        <w:rPr>
          <w:rFonts w:ascii="AdvMyriadPro-I" w:hAnsi="AdvMyriadPro-I" w:cs="AdvMyriadPro-I"/>
          <w:color w:val="231F20"/>
          <w:sz w:val="17"/>
          <w:szCs w:val="17"/>
        </w:rPr>
        <w:t>Laboratory of Genetic Resources and</w:t>
      </w:r>
    </w:p>
    <w:p w:rsidR="00BD24CF" w:rsidRDefault="00BD24CF" w:rsidP="00BD24CF">
      <w:pPr>
        <w:autoSpaceDE w:val="0"/>
        <w:autoSpaceDN w:val="0"/>
        <w:adjustRightInd w:val="0"/>
        <w:spacing w:after="0" w:line="240" w:lineRule="auto"/>
        <w:rPr>
          <w:rFonts w:ascii="AdvMyriadPro-I" w:hAnsi="AdvMyriadPro-I" w:cs="AdvMyriadPro-I"/>
          <w:color w:val="231F20"/>
          <w:sz w:val="17"/>
          <w:szCs w:val="17"/>
        </w:rPr>
      </w:pPr>
      <w:r>
        <w:rPr>
          <w:rFonts w:ascii="AdvMyriadPro-I" w:hAnsi="AdvMyriadPro-I" w:cs="AdvMyriadPro-I"/>
          <w:color w:val="231F20"/>
          <w:sz w:val="17"/>
          <w:szCs w:val="17"/>
        </w:rPr>
        <w:t xml:space="preserve">Protection of the Olive Tree, Olive Tree Institute, Sousse Station, Sousse, Tunisia, and </w:t>
      </w:r>
      <w:r>
        <w:rPr>
          <w:rFonts w:ascii="AdvMyriadPro-I" w:hAnsi="AdvMyriadPro-I" w:cs="AdvMyriadPro-I"/>
          <w:color w:val="231F20"/>
          <w:sz w:val="11"/>
          <w:szCs w:val="11"/>
        </w:rPr>
        <w:t>3</w:t>
      </w:r>
      <w:r>
        <w:rPr>
          <w:rFonts w:ascii="AdvMyriadPro-I" w:hAnsi="AdvMyriadPro-I" w:cs="AdvMyriadPro-I"/>
          <w:color w:val="231F20"/>
          <w:sz w:val="17"/>
          <w:szCs w:val="17"/>
        </w:rPr>
        <w:t>Instituto de Cieˆncias Agra´rias e Ambientais Mediterraˆnicas</w:t>
      </w:r>
    </w:p>
    <w:p w:rsidR="00BD24CF" w:rsidRDefault="00BD24CF" w:rsidP="00BD24CF">
      <w:pPr>
        <w:autoSpaceDE w:val="0"/>
        <w:autoSpaceDN w:val="0"/>
        <w:adjustRightInd w:val="0"/>
        <w:spacing w:after="0" w:line="240" w:lineRule="auto"/>
        <w:rPr>
          <w:rFonts w:ascii="AdvMyriadPro-I" w:hAnsi="AdvMyriadPro-I" w:cs="AdvMyriadPro-I"/>
          <w:color w:val="231F20"/>
          <w:sz w:val="17"/>
          <w:szCs w:val="17"/>
        </w:rPr>
      </w:pPr>
      <w:r>
        <w:rPr>
          <w:rFonts w:ascii="AdvMyriadPro-I" w:hAnsi="AdvMyriadPro-I" w:cs="AdvMyriadPro-I"/>
          <w:color w:val="231F20"/>
          <w:sz w:val="17"/>
          <w:szCs w:val="17"/>
        </w:rPr>
        <w:t>(ICAAM), Universidade de E´vora, E´vora, Portugal</w:t>
      </w:r>
    </w:p>
    <w:p w:rsidR="00BD24CF" w:rsidRDefault="00BD24CF" w:rsidP="00BD24CF">
      <w:pPr>
        <w:autoSpaceDE w:val="0"/>
        <w:autoSpaceDN w:val="0"/>
        <w:adjustRightInd w:val="0"/>
        <w:spacing w:after="0" w:line="240" w:lineRule="auto"/>
        <w:rPr>
          <w:rFonts w:ascii="AdvMyriadPro-B" w:hAnsi="AdvMyriadPro-B" w:cs="AdvMyriadPro-B"/>
          <w:color w:val="231F20"/>
          <w:sz w:val="17"/>
          <w:szCs w:val="17"/>
          <w:lang w:val="en-US"/>
        </w:rPr>
      </w:pPr>
    </w:p>
    <w:p w:rsidR="00BD24CF" w:rsidRPr="00BD24CF" w:rsidRDefault="00BD24CF" w:rsidP="00BD24CF">
      <w:pPr>
        <w:autoSpaceDE w:val="0"/>
        <w:autoSpaceDN w:val="0"/>
        <w:adjustRightInd w:val="0"/>
        <w:spacing w:after="0" w:line="240" w:lineRule="auto"/>
        <w:rPr>
          <w:rFonts w:ascii="AdvMyriadPro-B" w:hAnsi="AdvMyriadPro-B" w:cs="AdvMyriadPro-B"/>
          <w:b/>
          <w:color w:val="231F20"/>
          <w:sz w:val="17"/>
          <w:szCs w:val="17"/>
          <w:lang w:val="en-US"/>
        </w:rPr>
      </w:pPr>
      <w:r w:rsidRPr="00BD24CF">
        <w:rPr>
          <w:rFonts w:ascii="AdvMyriadPro-B" w:hAnsi="AdvMyriadPro-B" w:cs="AdvMyriadPro-B"/>
          <w:b/>
          <w:color w:val="231F20"/>
          <w:sz w:val="17"/>
          <w:szCs w:val="17"/>
          <w:lang w:val="en-US"/>
        </w:rPr>
        <w:t>Abstract</w:t>
      </w:r>
    </w:p>
    <w:p w:rsidR="00BD24CF" w:rsidRPr="00BD24CF" w:rsidRDefault="00BD24CF" w:rsidP="00BD24CF">
      <w:pPr>
        <w:autoSpaceDE w:val="0"/>
        <w:autoSpaceDN w:val="0"/>
        <w:adjustRightInd w:val="0"/>
        <w:spacing w:after="0" w:line="240" w:lineRule="auto"/>
        <w:rPr>
          <w:rFonts w:ascii="AdvMyriadPro-I" w:hAnsi="AdvMyriadPro-I" w:cs="AdvMyriadPro-I"/>
          <w:b/>
          <w:color w:val="231F20"/>
          <w:sz w:val="17"/>
          <w:szCs w:val="17"/>
          <w:lang w:val="en-US"/>
        </w:rPr>
      </w:pPr>
    </w:p>
    <w:p w:rsidR="00BD24CF" w:rsidRPr="00BD24CF" w:rsidRDefault="00BD24CF" w:rsidP="00BD24CF">
      <w:pPr>
        <w:autoSpaceDE w:val="0"/>
        <w:autoSpaceDN w:val="0"/>
        <w:adjustRightInd w:val="0"/>
        <w:spacing w:after="0" w:line="240" w:lineRule="auto"/>
        <w:jc w:val="both"/>
        <w:rPr>
          <w:rFonts w:ascii="AdvMyriadPro-R" w:hAnsi="AdvMyriadPro-R" w:cs="AdvMyriadPro-R"/>
          <w:color w:val="231F20"/>
          <w:sz w:val="17"/>
          <w:szCs w:val="17"/>
          <w:lang w:val="en-US"/>
        </w:rPr>
      </w:pPr>
      <w:r w:rsidRPr="00BD24CF">
        <w:rPr>
          <w:rFonts w:ascii="AdvMyriadPro-I" w:hAnsi="AdvMyriadPro-I" w:cs="AdvMyriadPro-I"/>
          <w:color w:val="231F20"/>
          <w:sz w:val="17"/>
          <w:szCs w:val="17"/>
          <w:lang w:val="en-US"/>
        </w:rPr>
        <w:t xml:space="preserve">Prays </w:t>
      </w:r>
      <w:proofErr w:type="spellStart"/>
      <w:r w:rsidRPr="00BD24CF">
        <w:rPr>
          <w:rFonts w:ascii="AdvMyriadPro-I" w:hAnsi="AdvMyriadPro-I" w:cs="AdvMyriadPro-I"/>
          <w:color w:val="231F20"/>
          <w:sz w:val="17"/>
          <w:szCs w:val="17"/>
          <w:lang w:val="en-US"/>
        </w:rPr>
        <w:t>oleae</w:t>
      </w:r>
      <w:proofErr w:type="spellEnd"/>
      <w:r w:rsidRPr="00BD24CF">
        <w:rPr>
          <w:rFonts w:ascii="AdvMyriadPro-I" w:hAnsi="AdvMyriadPro-I" w:cs="AdvMyriadPro-I"/>
          <w:color w:val="231F20"/>
          <w:sz w:val="17"/>
          <w:szCs w:val="17"/>
          <w:lang w:val="en-US"/>
        </w:rPr>
        <w:t xml:space="preserve"> </w:t>
      </w:r>
      <w:r w:rsidRPr="00BD24CF">
        <w:rPr>
          <w:rFonts w:ascii="AdvMyriadPro-R" w:hAnsi="AdvMyriadPro-R" w:cs="AdvMyriadPro-R"/>
          <w:color w:val="231F20"/>
          <w:sz w:val="17"/>
          <w:szCs w:val="17"/>
          <w:lang w:val="en-US"/>
        </w:rPr>
        <w:t>is one of the most important olive tree pes</w:t>
      </w:r>
      <w:r>
        <w:rPr>
          <w:rFonts w:ascii="AdvMyriadPro-R" w:hAnsi="AdvMyriadPro-R" w:cs="AdvMyriadPro-R"/>
          <w:color w:val="231F20"/>
          <w:sz w:val="17"/>
          <w:szCs w:val="17"/>
          <w:lang w:val="en-US"/>
        </w:rPr>
        <w:t xml:space="preserve">ts and a species of interest in </w:t>
      </w:r>
      <w:r w:rsidRPr="00BD24CF">
        <w:rPr>
          <w:rFonts w:ascii="AdvMyriadPro-R" w:hAnsi="AdvMyriadPro-R" w:cs="AdvMyriadPro-R"/>
          <w:color w:val="231F20"/>
          <w:sz w:val="17"/>
          <w:szCs w:val="17"/>
          <w:lang w:val="en-US"/>
        </w:rPr>
        <w:t>evolutionary studies, as it belongs to one of the oldest ex</w:t>
      </w:r>
      <w:r>
        <w:rPr>
          <w:rFonts w:ascii="AdvMyriadPro-R" w:hAnsi="AdvMyriadPro-R" w:cs="AdvMyriadPro-R"/>
          <w:color w:val="231F20"/>
          <w:sz w:val="17"/>
          <w:szCs w:val="17"/>
          <w:lang w:val="en-US"/>
        </w:rPr>
        <w:t xml:space="preserve">tant </w:t>
      </w:r>
      <w:proofErr w:type="spellStart"/>
      <w:r>
        <w:rPr>
          <w:rFonts w:ascii="AdvMyriadPro-R" w:hAnsi="AdvMyriadPro-R" w:cs="AdvMyriadPro-R"/>
          <w:color w:val="231F20"/>
          <w:sz w:val="17"/>
          <w:szCs w:val="17"/>
          <w:lang w:val="en-US"/>
        </w:rPr>
        <w:t>superfamilies</w:t>
      </w:r>
      <w:proofErr w:type="spellEnd"/>
      <w:r>
        <w:rPr>
          <w:rFonts w:ascii="AdvMyriadPro-R" w:hAnsi="AdvMyriadPro-R" w:cs="AdvMyriadPro-R"/>
          <w:color w:val="231F20"/>
          <w:sz w:val="17"/>
          <w:szCs w:val="17"/>
          <w:lang w:val="en-US"/>
        </w:rPr>
        <w:t xml:space="preserve"> of </w:t>
      </w:r>
      <w:proofErr w:type="spellStart"/>
      <w:r>
        <w:rPr>
          <w:rFonts w:ascii="AdvMyriadPro-R" w:hAnsi="AdvMyriadPro-R" w:cs="AdvMyriadPro-R"/>
          <w:color w:val="231F20"/>
          <w:sz w:val="17"/>
          <w:szCs w:val="17"/>
          <w:lang w:val="en-US"/>
        </w:rPr>
        <w:t>Ditrysian</w:t>
      </w:r>
      <w:proofErr w:type="spellEnd"/>
      <w:r>
        <w:rPr>
          <w:rFonts w:ascii="AdvMyriadPro-R" w:hAnsi="AdvMyriadPro-R" w:cs="AdvMyriadPro-R"/>
          <w:color w:val="231F20"/>
          <w:sz w:val="17"/>
          <w:szCs w:val="17"/>
          <w:lang w:val="en-US"/>
        </w:rPr>
        <w:t xml:space="preserve"> </w:t>
      </w:r>
      <w:r w:rsidRPr="00BD24CF">
        <w:rPr>
          <w:rFonts w:ascii="AdvMyriadPro-R" w:hAnsi="AdvMyriadPro-R" w:cs="AdvMyriadPro-R"/>
          <w:color w:val="231F20"/>
          <w:sz w:val="17"/>
          <w:szCs w:val="17"/>
          <w:lang w:val="en-US"/>
        </w:rPr>
        <w:t xml:space="preserve">Lepidoptera. We determined its </w:t>
      </w:r>
      <w:proofErr w:type="spellStart"/>
      <w:r w:rsidRPr="00BD24CF">
        <w:rPr>
          <w:rFonts w:ascii="AdvMyriadPro-R" w:hAnsi="AdvMyriadPro-R" w:cs="AdvMyriadPro-R"/>
          <w:color w:val="231F20"/>
          <w:sz w:val="17"/>
          <w:szCs w:val="17"/>
          <w:lang w:val="en-US"/>
        </w:rPr>
        <w:t>mitogenome</w:t>
      </w:r>
      <w:proofErr w:type="spellEnd"/>
      <w:r w:rsidRPr="00BD24CF">
        <w:rPr>
          <w:rFonts w:ascii="AdvMyriadPro-R" w:hAnsi="AdvMyriadPro-R" w:cs="AdvMyriadPro-R"/>
          <w:color w:val="231F20"/>
          <w:sz w:val="17"/>
          <w:szCs w:val="17"/>
          <w:lang w:val="en-US"/>
        </w:rPr>
        <w:t xml:space="preserve"> sequence, a</w:t>
      </w:r>
      <w:r>
        <w:rPr>
          <w:rFonts w:ascii="AdvMyriadPro-R" w:hAnsi="AdvMyriadPro-R" w:cs="AdvMyriadPro-R"/>
          <w:color w:val="231F20"/>
          <w:sz w:val="17"/>
          <w:szCs w:val="17"/>
          <w:lang w:val="en-US"/>
        </w:rPr>
        <w:t xml:space="preserve">nd found it has common features </w:t>
      </w:r>
      <w:r w:rsidRPr="00BD24CF">
        <w:rPr>
          <w:rFonts w:ascii="AdvMyriadPro-R" w:hAnsi="AdvMyriadPro-R" w:cs="AdvMyriadPro-R"/>
          <w:color w:val="231F20"/>
          <w:sz w:val="17"/>
          <w:szCs w:val="17"/>
          <w:lang w:val="en-US"/>
        </w:rPr>
        <w:t xml:space="preserve">for Lepidoptera, e.g. an </w:t>
      </w:r>
      <w:r w:rsidRPr="00BD24CF">
        <w:rPr>
          <w:rFonts w:ascii="AdvPi1" w:hAnsi="AdvPi1" w:cs="AdvPi1"/>
          <w:color w:val="231F20"/>
          <w:sz w:val="17"/>
          <w:szCs w:val="17"/>
          <w:lang w:val="en-US"/>
        </w:rPr>
        <w:t>4</w:t>
      </w:r>
      <w:r w:rsidRPr="00BD24CF">
        <w:rPr>
          <w:rFonts w:ascii="AdvMyriadPro-R" w:hAnsi="AdvMyriadPro-R" w:cs="AdvMyriadPro-R"/>
          <w:color w:val="231F20"/>
          <w:sz w:val="17"/>
          <w:szCs w:val="17"/>
          <w:lang w:val="en-US"/>
        </w:rPr>
        <w:t xml:space="preserve">80% A + T content, an apparent CGA start codon for </w:t>
      </w:r>
      <w:r w:rsidRPr="00BD24CF">
        <w:rPr>
          <w:rFonts w:ascii="AdvMyriadPro-I" w:hAnsi="AdvMyriadPro-I" w:cs="AdvMyriadPro-I"/>
          <w:color w:val="231F20"/>
          <w:sz w:val="17"/>
          <w:szCs w:val="17"/>
          <w:lang w:val="en-US"/>
        </w:rPr>
        <w:t xml:space="preserve">COX1 </w:t>
      </w:r>
      <w:r>
        <w:rPr>
          <w:rFonts w:ascii="AdvMyriadPro-R" w:hAnsi="AdvMyriadPro-R" w:cs="AdvMyriadPro-R"/>
          <w:color w:val="231F20"/>
          <w:sz w:val="17"/>
          <w:szCs w:val="17"/>
          <w:lang w:val="en-US"/>
        </w:rPr>
        <w:t xml:space="preserve">and </w:t>
      </w:r>
      <w:r w:rsidRPr="00BD24CF">
        <w:rPr>
          <w:rFonts w:ascii="AdvMyriadPro-R" w:hAnsi="AdvMyriadPro-R" w:cs="AdvMyriadPro-R"/>
          <w:color w:val="231F20"/>
          <w:sz w:val="17"/>
          <w:szCs w:val="17"/>
          <w:lang w:val="en-US"/>
        </w:rPr>
        <w:t>an ATAGA(T)</w:t>
      </w:r>
      <w:r w:rsidRPr="00BD24CF">
        <w:rPr>
          <w:rFonts w:ascii="AdvMyriadPro-R" w:hAnsi="AdvMyriadPro-R" w:cs="AdvMyriadPro-R"/>
          <w:color w:val="231F20"/>
          <w:sz w:val="11"/>
          <w:szCs w:val="11"/>
          <w:lang w:val="en-US"/>
        </w:rPr>
        <w:t xml:space="preserve">n </w:t>
      </w:r>
      <w:r w:rsidRPr="00BD24CF">
        <w:rPr>
          <w:rFonts w:ascii="AdvMyriadPro-R" w:hAnsi="AdvMyriadPro-R" w:cs="AdvMyriadPro-R"/>
          <w:color w:val="231F20"/>
          <w:sz w:val="17"/>
          <w:szCs w:val="17"/>
          <w:lang w:val="en-US"/>
        </w:rPr>
        <w:t>motif in the control region, which also contains</w:t>
      </w:r>
      <w:r>
        <w:rPr>
          <w:rFonts w:ascii="AdvMyriadPro-R" w:hAnsi="AdvMyriadPro-R" w:cs="AdvMyriadPro-R"/>
          <w:color w:val="231F20"/>
          <w:sz w:val="17"/>
          <w:szCs w:val="17"/>
          <w:lang w:val="en-US"/>
        </w:rPr>
        <w:t xml:space="preserve"> several copies of a 163-164 </w:t>
      </w:r>
      <w:proofErr w:type="spellStart"/>
      <w:r>
        <w:rPr>
          <w:rFonts w:ascii="AdvMyriadPro-R" w:hAnsi="AdvMyriadPro-R" w:cs="AdvMyriadPro-R"/>
          <w:color w:val="231F20"/>
          <w:sz w:val="17"/>
          <w:szCs w:val="17"/>
          <w:lang w:val="en-US"/>
        </w:rPr>
        <w:t>bp</w:t>
      </w:r>
      <w:proofErr w:type="spellEnd"/>
      <w:r>
        <w:rPr>
          <w:rFonts w:ascii="AdvMyriadPro-R" w:hAnsi="AdvMyriadPro-R" w:cs="AdvMyriadPro-R"/>
          <w:color w:val="231F20"/>
          <w:sz w:val="17"/>
          <w:szCs w:val="17"/>
          <w:lang w:val="en-US"/>
        </w:rPr>
        <w:t xml:space="preserve"> </w:t>
      </w:r>
      <w:r w:rsidRPr="00BD24CF">
        <w:rPr>
          <w:rFonts w:ascii="AdvMyriadPro-R" w:hAnsi="AdvMyriadPro-R" w:cs="AdvMyriadPro-R"/>
          <w:color w:val="231F20"/>
          <w:sz w:val="17"/>
          <w:szCs w:val="17"/>
          <w:lang w:val="en-US"/>
        </w:rPr>
        <w:t xml:space="preserve">repeat. Importantly, the </w:t>
      </w:r>
      <w:proofErr w:type="spellStart"/>
      <w:r w:rsidRPr="00BD24CF">
        <w:rPr>
          <w:rFonts w:ascii="AdvMyriadPro-R" w:hAnsi="AdvMyriadPro-R" w:cs="AdvMyriadPro-R"/>
          <w:color w:val="231F20"/>
          <w:sz w:val="17"/>
          <w:szCs w:val="17"/>
          <w:lang w:val="en-US"/>
        </w:rPr>
        <w:t>mitogenome</w:t>
      </w:r>
      <w:proofErr w:type="spellEnd"/>
      <w:r w:rsidRPr="00BD24CF">
        <w:rPr>
          <w:rFonts w:ascii="AdvMyriadPro-R" w:hAnsi="AdvMyriadPro-R" w:cs="AdvMyriadPro-R"/>
          <w:color w:val="231F20"/>
          <w:sz w:val="17"/>
          <w:szCs w:val="17"/>
          <w:lang w:val="en-US"/>
        </w:rPr>
        <w:t xml:space="preserve"> displays the Met-Ile-</w:t>
      </w:r>
      <w:proofErr w:type="spellStart"/>
      <w:r w:rsidRPr="00BD24CF">
        <w:rPr>
          <w:rFonts w:ascii="AdvMyriadPro-R" w:hAnsi="AdvMyriadPro-R" w:cs="AdvMyriadPro-R"/>
          <w:color w:val="231F20"/>
          <w:sz w:val="17"/>
          <w:szCs w:val="17"/>
          <w:lang w:val="en-US"/>
        </w:rPr>
        <w:t>Gln</w:t>
      </w:r>
      <w:proofErr w:type="spellEnd"/>
      <w:r w:rsidRPr="00BD24CF">
        <w:rPr>
          <w:rFonts w:ascii="AdvMyriadPro-R" w:hAnsi="AdvMyriadPro-R" w:cs="AdvMyriadPro-R"/>
          <w:color w:val="231F20"/>
          <w:sz w:val="17"/>
          <w:szCs w:val="17"/>
          <w:lang w:val="en-US"/>
        </w:rPr>
        <w:t xml:space="preserve"> </w:t>
      </w:r>
      <w:proofErr w:type="spellStart"/>
      <w:r w:rsidRPr="00BD24CF">
        <w:rPr>
          <w:rFonts w:ascii="AdvMyriadPro-R" w:hAnsi="AdvMyriadPro-R" w:cs="AdvMyriadPro-R"/>
          <w:color w:val="231F20"/>
          <w:sz w:val="17"/>
          <w:szCs w:val="17"/>
          <w:lang w:val="en-US"/>
        </w:rPr>
        <w:t>tRNA</w:t>
      </w:r>
      <w:proofErr w:type="spellEnd"/>
      <w:r w:rsidRPr="00BD24CF">
        <w:rPr>
          <w:rFonts w:ascii="AdvMyriadPro-R" w:hAnsi="AdvMyriadPro-R" w:cs="AdvMyriadPro-R"/>
          <w:color w:val="231F20"/>
          <w:sz w:val="17"/>
          <w:szCs w:val="17"/>
          <w:lang w:val="en-US"/>
        </w:rPr>
        <w:t xml:space="preserve"> gene order ty</w:t>
      </w:r>
      <w:r>
        <w:rPr>
          <w:rFonts w:ascii="AdvMyriadPro-R" w:hAnsi="AdvMyriadPro-R" w:cs="AdvMyriadPro-R"/>
          <w:color w:val="231F20"/>
          <w:sz w:val="17"/>
          <w:szCs w:val="17"/>
          <w:lang w:val="en-US"/>
        </w:rPr>
        <w:t xml:space="preserve">pical of </w:t>
      </w:r>
      <w:proofErr w:type="spellStart"/>
      <w:r w:rsidRPr="00BD24CF">
        <w:rPr>
          <w:rFonts w:ascii="AdvMyriadPro-R" w:hAnsi="AdvMyriadPro-R" w:cs="AdvMyriadPro-R"/>
          <w:color w:val="231F20"/>
          <w:sz w:val="17"/>
          <w:szCs w:val="17"/>
          <w:lang w:val="en-US"/>
        </w:rPr>
        <w:t>Ditrysia</w:t>
      </w:r>
      <w:proofErr w:type="spellEnd"/>
      <w:r w:rsidRPr="00BD24CF">
        <w:rPr>
          <w:rFonts w:ascii="AdvMyriadPro-R" w:hAnsi="AdvMyriadPro-R" w:cs="AdvMyriadPro-R"/>
          <w:color w:val="231F20"/>
          <w:sz w:val="17"/>
          <w:szCs w:val="17"/>
          <w:lang w:val="en-US"/>
        </w:rPr>
        <w:t xml:space="preserve">, consistent with the hypothesis that this is a </w:t>
      </w:r>
      <w:proofErr w:type="spellStart"/>
      <w:r w:rsidRPr="00BD24CF">
        <w:rPr>
          <w:rFonts w:ascii="AdvMyriadPro-R" w:hAnsi="AdvMyriadPro-R" w:cs="AdvMyriadPro-R"/>
          <w:color w:val="231F20"/>
          <w:sz w:val="17"/>
          <w:szCs w:val="17"/>
          <w:lang w:val="en-US"/>
        </w:rPr>
        <w:t>synapomorphy</w:t>
      </w:r>
      <w:proofErr w:type="spellEnd"/>
      <w:r w:rsidRPr="00BD24CF">
        <w:rPr>
          <w:rFonts w:ascii="AdvMyriadPro-R" w:hAnsi="AdvMyriadPro-R" w:cs="AdvMyriadPro-R"/>
          <w:color w:val="231F20"/>
          <w:sz w:val="17"/>
          <w:szCs w:val="17"/>
          <w:lang w:val="en-US"/>
        </w:rPr>
        <w:t xml:space="preserve"> of that clade.</w:t>
      </w:r>
    </w:p>
    <w:p w:rsidR="00BD24CF" w:rsidRDefault="00BD24CF" w:rsidP="00BD24CF">
      <w:pPr>
        <w:autoSpaceDE w:val="0"/>
        <w:autoSpaceDN w:val="0"/>
        <w:adjustRightInd w:val="0"/>
        <w:spacing w:after="0" w:line="240" w:lineRule="auto"/>
        <w:rPr>
          <w:rFonts w:ascii="AdvMyriadPro-B" w:hAnsi="AdvMyriadPro-B" w:cs="AdvMyriadPro-B"/>
          <w:color w:val="231F20"/>
          <w:sz w:val="17"/>
          <w:szCs w:val="17"/>
          <w:lang w:val="en-US"/>
        </w:rPr>
      </w:pPr>
    </w:p>
    <w:p w:rsidR="00BD24CF" w:rsidRPr="00BD24CF" w:rsidRDefault="00BD24CF" w:rsidP="00BD24CF">
      <w:pPr>
        <w:autoSpaceDE w:val="0"/>
        <w:autoSpaceDN w:val="0"/>
        <w:adjustRightInd w:val="0"/>
        <w:spacing w:after="0" w:line="240" w:lineRule="auto"/>
        <w:rPr>
          <w:rFonts w:ascii="AdvMyriadPro-B" w:hAnsi="AdvMyriadPro-B" w:cs="AdvMyriadPro-B"/>
          <w:b/>
          <w:color w:val="231F20"/>
          <w:sz w:val="17"/>
          <w:szCs w:val="17"/>
          <w:lang w:val="en-US"/>
        </w:rPr>
      </w:pPr>
      <w:r w:rsidRPr="00BD24CF">
        <w:rPr>
          <w:rFonts w:ascii="AdvMyriadPro-B" w:hAnsi="AdvMyriadPro-B" w:cs="AdvMyriadPro-B"/>
          <w:b/>
          <w:color w:val="231F20"/>
          <w:sz w:val="17"/>
          <w:szCs w:val="17"/>
          <w:lang w:val="en-US"/>
        </w:rPr>
        <w:t>Keywords</w:t>
      </w:r>
    </w:p>
    <w:p w:rsidR="00BD24CF" w:rsidRDefault="00BD24CF" w:rsidP="00BD24CF">
      <w:pPr>
        <w:autoSpaceDE w:val="0"/>
        <w:autoSpaceDN w:val="0"/>
        <w:adjustRightInd w:val="0"/>
        <w:spacing w:after="0" w:line="240" w:lineRule="auto"/>
        <w:rPr>
          <w:rFonts w:ascii="AdvMyriadPro-R" w:hAnsi="AdvMyriadPro-R" w:cs="AdvMyriadPro-R"/>
          <w:color w:val="231F20"/>
          <w:sz w:val="17"/>
          <w:szCs w:val="17"/>
          <w:lang w:val="en-US"/>
        </w:rPr>
      </w:pPr>
    </w:p>
    <w:p w:rsidR="00BD24CF" w:rsidRPr="00BD24CF" w:rsidRDefault="00BD24CF" w:rsidP="00BD24CF">
      <w:pPr>
        <w:autoSpaceDE w:val="0"/>
        <w:autoSpaceDN w:val="0"/>
        <w:adjustRightInd w:val="0"/>
        <w:spacing w:after="0" w:line="240" w:lineRule="auto"/>
        <w:rPr>
          <w:rFonts w:ascii="AdvMyriadPro-R" w:hAnsi="AdvMyriadPro-R" w:cs="AdvMyriadPro-R"/>
          <w:color w:val="231F20"/>
          <w:sz w:val="17"/>
          <w:szCs w:val="17"/>
          <w:lang w:val="en-US"/>
        </w:rPr>
      </w:pPr>
      <w:r w:rsidRPr="00BD24CF">
        <w:rPr>
          <w:rFonts w:ascii="AdvMyriadPro-R" w:hAnsi="AdvMyriadPro-R" w:cs="AdvMyriadPro-R"/>
          <w:color w:val="231F20"/>
          <w:sz w:val="17"/>
          <w:szCs w:val="17"/>
          <w:lang w:val="en-US"/>
        </w:rPr>
        <w:t>Genetics, mitochondrial genome, olive moth,</w:t>
      </w:r>
    </w:p>
    <w:p w:rsidR="00BD24CF" w:rsidRPr="00BD24CF" w:rsidRDefault="00BD24CF" w:rsidP="00BD24CF">
      <w:pPr>
        <w:autoSpaceDE w:val="0"/>
        <w:autoSpaceDN w:val="0"/>
        <w:adjustRightInd w:val="0"/>
        <w:spacing w:after="0" w:line="240" w:lineRule="auto"/>
        <w:rPr>
          <w:rFonts w:ascii="AdvMyriadPro-I" w:hAnsi="AdvMyriadPro-I" w:cs="AdvMyriadPro-I"/>
          <w:color w:val="231F20"/>
          <w:sz w:val="17"/>
          <w:szCs w:val="17"/>
          <w:lang w:val="en-US"/>
        </w:rPr>
      </w:pPr>
      <w:r w:rsidRPr="00BD24CF">
        <w:rPr>
          <w:rFonts w:ascii="AdvMyriadPro-I" w:hAnsi="AdvMyriadPro-I" w:cs="AdvMyriadPro-I"/>
          <w:color w:val="231F20"/>
          <w:sz w:val="17"/>
          <w:szCs w:val="17"/>
          <w:lang w:val="en-US"/>
        </w:rPr>
        <w:t xml:space="preserve">Prays </w:t>
      </w:r>
      <w:proofErr w:type="spellStart"/>
      <w:r w:rsidRPr="00BD24CF">
        <w:rPr>
          <w:rFonts w:ascii="AdvMyriadPro-I" w:hAnsi="AdvMyriadPro-I" w:cs="AdvMyriadPro-I"/>
          <w:color w:val="231F20"/>
          <w:sz w:val="17"/>
          <w:szCs w:val="17"/>
          <w:lang w:val="en-US"/>
        </w:rPr>
        <w:t>oleae</w:t>
      </w:r>
      <w:proofErr w:type="spellEnd"/>
    </w:p>
    <w:p w:rsidR="00BD24CF" w:rsidRPr="00BD24CF" w:rsidRDefault="00BD24CF" w:rsidP="00BD24CF">
      <w:pPr>
        <w:autoSpaceDE w:val="0"/>
        <w:autoSpaceDN w:val="0"/>
        <w:adjustRightInd w:val="0"/>
        <w:spacing w:after="0" w:line="240" w:lineRule="auto"/>
        <w:rPr>
          <w:rFonts w:ascii="AdvMyriadPro-B" w:hAnsi="AdvMyriadPro-B" w:cs="AdvMyriadPro-B"/>
          <w:color w:val="231F20"/>
          <w:sz w:val="17"/>
          <w:szCs w:val="17"/>
          <w:lang w:val="en-US"/>
        </w:rPr>
      </w:pPr>
      <w:r w:rsidRPr="00BD24CF">
        <w:rPr>
          <w:rFonts w:ascii="AdvMyriadPro-B" w:hAnsi="AdvMyriadPro-B" w:cs="AdvMyriadPro-B"/>
          <w:color w:val="231F20"/>
          <w:sz w:val="17"/>
          <w:szCs w:val="17"/>
          <w:lang w:val="en-US"/>
        </w:rPr>
        <w:t>History</w:t>
      </w:r>
    </w:p>
    <w:p w:rsidR="00BD24CF" w:rsidRDefault="00BD24CF" w:rsidP="00BD24CF">
      <w:pPr>
        <w:autoSpaceDE w:val="0"/>
        <w:autoSpaceDN w:val="0"/>
        <w:adjustRightInd w:val="0"/>
        <w:spacing w:after="0" w:line="240" w:lineRule="auto"/>
        <w:rPr>
          <w:rFonts w:ascii="AdvMyriadPro-R" w:hAnsi="AdvMyriadPro-R" w:cs="AdvMyriadPro-R"/>
          <w:color w:val="231F20"/>
          <w:sz w:val="17"/>
          <w:szCs w:val="17"/>
          <w:lang w:val="en-US"/>
        </w:rPr>
      </w:pPr>
    </w:p>
    <w:p w:rsidR="00BD24CF" w:rsidRPr="00BD24CF" w:rsidRDefault="00BD24CF" w:rsidP="00BD24CF">
      <w:pPr>
        <w:autoSpaceDE w:val="0"/>
        <w:autoSpaceDN w:val="0"/>
        <w:adjustRightInd w:val="0"/>
        <w:spacing w:after="0" w:line="240" w:lineRule="auto"/>
        <w:rPr>
          <w:rFonts w:ascii="AdvMyriadPro-R" w:hAnsi="AdvMyriadPro-R" w:cs="AdvMyriadPro-R"/>
          <w:color w:val="231F20"/>
          <w:sz w:val="17"/>
          <w:szCs w:val="17"/>
          <w:lang w:val="en-US"/>
        </w:rPr>
      </w:pPr>
      <w:r w:rsidRPr="00BD24CF">
        <w:rPr>
          <w:rFonts w:ascii="AdvMyriadPro-R" w:hAnsi="AdvMyriadPro-R" w:cs="AdvMyriadPro-R"/>
          <w:color w:val="231F20"/>
          <w:sz w:val="17"/>
          <w:szCs w:val="17"/>
          <w:lang w:val="en-US"/>
        </w:rPr>
        <w:t>Received 10 October 2014</w:t>
      </w:r>
    </w:p>
    <w:p w:rsidR="00BD24CF" w:rsidRPr="00BD24CF" w:rsidRDefault="00BD24CF" w:rsidP="00BD24CF">
      <w:pPr>
        <w:autoSpaceDE w:val="0"/>
        <w:autoSpaceDN w:val="0"/>
        <w:adjustRightInd w:val="0"/>
        <w:spacing w:after="0" w:line="240" w:lineRule="auto"/>
        <w:rPr>
          <w:rFonts w:ascii="AdvMyriadPro-R" w:hAnsi="AdvMyriadPro-R" w:cs="AdvMyriadPro-R"/>
          <w:color w:val="231F20"/>
          <w:sz w:val="17"/>
          <w:szCs w:val="17"/>
          <w:lang w:val="en-US"/>
        </w:rPr>
      </w:pPr>
      <w:r w:rsidRPr="00BD24CF">
        <w:rPr>
          <w:rFonts w:ascii="AdvMyriadPro-R" w:hAnsi="AdvMyriadPro-R" w:cs="AdvMyriadPro-R"/>
          <w:color w:val="231F20"/>
          <w:sz w:val="17"/>
          <w:szCs w:val="17"/>
          <w:lang w:val="en-US"/>
        </w:rPr>
        <w:t>Accepted 27 October 2014</w:t>
      </w:r>
    </w:p>
    <w:p w:rsidR="003C0DD2" w:rsidRPr="00BD24CF" w:rsidRDefault="00BD24CF" w:rsidP="00BD24CF">
      <w:pPr>
        <w:rPr>
          <w:lang w:val="en-US"/>
        </w:rPr>
      </w:pPr>
      <w:r w:rsidRPr="00BD24CF">
        <w:rPr>
          <w:rFonts w:ascii="AdvMyriadPro-R" w:hAnsi="AdvMyriadPro-R" w:cs="AdvMyriadPro-R"/>
          <w:color w:val="231F20"/>
          <w:sz w:val="17"/>
          <w:szCs w:val="17"/>
          <w:lang w:val="en-US"/>
        </w:rPr>
        <w:t>Published online 25 November 2014</w:t>
      </w:r>
    </w:p>
    <w:sectPr w:rsidR="003C0DD2" w:rsidRPr="00BD24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vMyriadPro-B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MyriadPro-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OT5fcf1b2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P42A1B7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MyriadPro-SB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MyriadPro-SB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P479F8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MyriadPro-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Pi1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4CF"/>
    <w:rsid w:val="003C0DD2"/>
    <w:rsid w:val="00BD24CF"/>
    <w:rsid w:val="00E2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1276</Characters>
  <Application>Microsoft Office Word</Application>
  <DocSecurity>0</DocSecurity>
  <Lines>10</Lines>
  <Paragraphs>3</Paragraphs>
  <ScaleCrop>false</ScaleCrop>
  <Company>Hewlett-Packard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frei</dc:creator>
  <cp:lastModifiedBy>frei</cp:lastModifiedBy>
  <cp:revision>2</cp:revision>
  <dcterms:created xsi:type="dcterms:W3CDTF">2015-02-27T12:34:00Z</dcterms:created>
  <dcterms:modified xsi:type="dcterms:W3CDTF">2015-02-27T12:36:00Z</dcterms:modified>
</cp:coreProperties>
</file>