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28A" w:rsidRDefault="0009428A" w:rsidP="0009428A">
      <w:pPr>
        <w:spacing w:after="0" w:line="240" w:lineRule="auto"/>
        <w:rPr>
          <w:rFonts w:ascii="Times New Roman" w:hAnsi="Times New Roman"/>
          <w:sz w:val="24"/>
          <w:szCs w:val="24"/>
        </w:rPr>
      </w:pPr>
    </w:p>
    <w:p w:rsidR="0009428A" w:rsidRDefault="0009428A" w:rsidP="0009428A">
      <w:pPr>
        <w:spacing w:after="0" w:line="240" w:lineRule="auto"/>
        <w:rPr>
          <w:rFonts w:ascii="Times New Roman" w:hAnsi="Times New Roman"/>
          <w:sz w:val="24"/>
          <w:szCs w:val="24"/>
        </w:rPr>
      </w:pPr>
    </w:p>
    <w:p w:rsidR="0009428A" w:rsidRPr="00CE572B" w:rsidRDefault="0009428A" w:rsidP="0009428A">
      <w:pPr>
        <w:spacing w:after="0" w:line="240" w:lineRule="auto"/>
        <w:rPr>
          <w:rFonts w:ascii="Times New Roman" w:hAnsi="Times New Roman"/>
          <w:b/>
          <w:sz w:val="32"/>
        </w:rPr>
      </w:pPr>
      <w:r w:rsidRPr="00CE572B">
        <w:rPr>
          <w:rFonts w:ascii="Times New Roman" w:hAnsi="Times New Roman"/>
          <w:b/>
          <w:sz w:val="32"/>
        </w:rPr>
        <w:t>Agradecimentos</w:t>
      </w:r>
    </w:p>
    <w:p w:rsidR="0009428A" w:rsidRPr="00CE572B" w:rsidRDefault="0009428A" w:rsidP="0009428A">
      <w:pPr>
        <w:spacing w:after="0" w:line="240" w:lineRule="auto"/>
        <w:rPr>
          <w:rFonts w:ascii="Times New Roman" w:hAnsi="Times New Roman"/>
          <w:sz w:val="24"/>
          <w:szCs w:val="24"/>
        </w:rPr>
      </w:pPr>
    </w:p>
    <w:p w:rsidR="0009428A" w:rsidRPr="00CE572B" w:rsidRDefault="0009428A" w:rsidP="0009428A">
      <w:pPr>
        <w:spacing w:after="0" w:line="240" w:lineRule="auto"/>
        <w:rPr>
          <w:rFonts w:ascii="Times New Roman" w:hAnsi="Times New Roman"/>
          <w:sz w:val="24"/>
          <w:szCs w:val="24"/>
        </w:rPr>
      </w:pPr>
    </w:p>
    <w:p w:rsidR="0009428A" w:rsidRPr="00CE572B" w:rsidRDefault="0009428A" w:rsidP="0009428A">
      <w:pPr>
        <w:jc w:val="both"/>
        <w:rPr>
          <w:rFonts w:ascii="Times New Roman" w:hAnsi="Times New Roman"/>
          <w:sz w:val="24"/>
          <w:szCs w:val="23"/>
        </w:rPr>
      </w:pPr>
      <w:r w:rsidRPr="00CE572B">
        <w:rPr>
          <w:rFonts w:ascii="Times New Roman" w:hAnsi="Times New Roman"/>
          <w:sz w:val="23"/>
          <w:szCs w:val="23"/>
        </w:rPr>
        <w:tab/>
      </w:r>
      <w:r w:rsidR="00B40848" w:rsidRPr="00B40848">
        <w:rPr>
          <w:rFonts w:ascii="Times New Roman" w:hAnsi="Times New Roman"/>
          <w:sz w:val="24"/>
          <w:szCs w:val="23"/>
        </w:rPr>
        <w:t>O meu sincero agradecimento</w:t>
      </w:r>
      <w:r w:rsidR="00B40848">
        <w:rPr>
          <w:rFonts w:ascii="Times New Roman" w:hAnsi="Times New Roman"/>
          <w:sz w:val="24"/>
          <w:szCs w:val="23"/>
        </w:rPr>
        <w:t xml:space="preserve"> </w:t>
      </w:r>
      <w:r w:rsidR="00E67F0E">
        <w:rPr>
          <w:rFonts w:ascii="Times New Roman" w:hAnsi="Times New Roman"/>
          <w:sz w:val="24"/>
          <w:szCs w:val="23"/>
        </w:rPr>
        <w:t>a</w:t>
      </w:r>
      <w:r w:rsidRPr="00CE572B">
        <w:rPr>
          <w:rFonts w:ascii="Times New Roman" w:hAnsi="Times New Roman"/>
          <w:sz w:val="24"/>
          <w:szCs w:val="23"/>
        </w:rPr>
        <w:t xml:space="preserve"> todas as pessoas que contribuíram</w:t>
      </w:r>
      <w:r w:rsidR="00B40848">
        <w:rPr>
          <w:rFonts w:ascii="Times New Roman" w:hAnsi="Times New Roman"/>
          <w:sz w:val="24"/>
          <w:szCs w:val="23"/>
        </w:rPr>
        <w:t xml:space="preserve"> directa ou indirectamente para </w:t>
      </w:r>
      <w:r w:rsidRPr="00CE572B">
        <w:rPr>
          <w:rFonts w:ascii="Times New Roman" w:hAnsi="Times New Roman"/>
          <w:sz w:val="24"/>
          <w:szCs w:val="23"/>
        </w:rPr>
        <w:t>a realização do presente trabalho</w:t>
      </w:r>
      <w:r w:rsidR="00E67F0E">
        <w:rPr>
          <w:rFonts w:ascii="Times New Roman" w:hAnsi="Times New Roman"/>
          <w:sz w:val="24"/>
          <w:szCs w:val="23"/>
        </w:rPr>
        <w:t xml:space="preserve">. </w:t>
      </w:r>
      <w:r>
        <w:rPr>
          <w:rFonts w:ascii="Times New Roman" w:hAnsi="Times New Roman"/>
          <w:sz w:val="24"/>
          <w:szCs w:val="23"/>
        </w:rPr>
        <w:t>Obrigado por terem feito parte desta caminhada!</w:t>
      </w:r>
    </w:p>
    <w:p w:rsidR="0009428A" w:rsidRPr="00D7763A" w:rsidRDefault="0009428A" w:rsidP="0009428A">
      <w:pPr>
        <w:jc w:val="both"/>
        <w:rPr>
          <w:rFonts w:ascii="Times New Roman" w:hAnsi="Times New Roman"/>
          <w:sz w:val="28"/>
          <w:szCs w:val="23"/>
        </w:rPr>
      </w:pPr>
      <w:r w:rsidRPr="00CE572B">
        <w:rPr>
          <w:rFonts w:ascii="Times New Roman" w:hAnsi="Times New Roman"/>
          <w:sz w:val="24"/>
          <w:szCs w:val="23"/>
        </w:rPr>
        <w:tab/>
        <w:t>Agradeço ao Departamento de Química da Universidade de Évora, onde o Mestrado de Bioquímica é leccionado, pela oportunidade dada de desenvolver os trabalhos conducentes a esta tese num laboratório fora da Universidade, o meu muito obrigado.</w:t>
      </w:r>
    </w:p>
    <w:p w:rsidR="0009428A" w:rsidRPr="00D7763A" w:rsidRDefault="0009428A" w:rsidP="0009428A">
      <w:pPr>
        <w:jc w:val="both"/>
        <w:rPr>
          <w:rFonts w:ascii="Times New Roman" w:hAnsi="Times New Roman"/>
          <w:sz w:val="24"/>
          <w:szCs w:val="23"/>
        </w:rPr>
      </w:pPr>
      <w:r w:rsidRPr="00CE572B">
        <w:rPr>
          <w:rFonts w:ascii="Times New Roman" w:hAnsi="Times New Roman"/>
          <w:sz w:val="24"/>
          <w:szCs w:val="23"/>
        </w:rPr>
        <w:tab/>
      </w:r>
      <w:r w:rsidRPr="00D7763A">
        <w:rPr>
          <w:rFonts w:ascii="Times New Roman" w:hAnsi="Times New Roman"/>
          <w:sz w:val="24"/>
          <w:szCs w:val="23"/>
        </w:rPr>
        <w:t xml:space="preserve">Ao Centro de Biotecnologia Agrícola e Agro-Alimentar do Baixo Alentejo e Litoral (CEBAL) quero expressar o meu sincero agradecimento pela oportunidade de realização deste trabalho. </w:t>
      </w:r>
      <w:r>
        <w:rPr>
          <w:rFonts w:ascii="Times New Roman" w:hAnsi="Times New Roman"/>
          <w:sz w:val="24"/>
          <w:szCs w:val="23"/>
        </w:rPr>
        <w:t>Um enorme obrigado pela experiência inspiradora que é trabalhar convosco!</w:t>
      </w:r>
    </w:p>
    <w:p w:rsidR="0009428A" w:rsidRPr="00CE572B" w:rsidRDefault="0009428A" w:rsidP="0009428A">
      <w:pPr>
        <w:jc w:val="both"/>
        <w:rPr>
          <w:rFonts w:ascii="Times New Roman" w:hAnsi="Times New Roman"/>
          <w:sz w:val="24"/>
          <w:szCs w:val="23"/>
        </w:rPr>
      </w:pPr>
      <w:r w:rsidRPr="00CE572B">
        <w:rPr>
          <w:rFonts w:ascii="Times New Roman" w:hAnsi="Times New Roman"/>
          <w:sz w:val="23"/>
          <w:szCs w:val="23"/>
        </w:rPr>
        <w:tab/>
      </w:r>
      <w:r w:rsidRPr="00CE572B">
        <w:rPr>
          <w:rFonts w:ascii="Times New Roman" w:hAnsi="Times New Roman"/>
          <w:sz w:val="24"/>
          <w:szCs w:val="23"/>
        </w:rPr>
        <w:t xml:space="preserve">À minha Orientadora Doutora Maria de Fátima Duarte, o meu muito obrigado pela oportunidade </w:t>
      </w:r>
      <w:r>
        <w:rPr>
          <w:rFonts w:ascii="Times New Roman" w:hAnsi="Times New Roman"/>
          <w:sz w:val="24"/>
          <w:szCs w:val="23"/>
        </w:rPr>
        <w:t>de</w:t>
      </w:r>
      <w:r w:rsidRPr="00CE572B">
        <w:rPr>
          <w:rFonts w:ascii="Times New Roman" w:hAnsi="Times New Roman"/>
          <w:sz w:val="24"/>
          <w:szCs w:val="23"/>
        </w:rPr>
        <w:t xml:space="preserve"> concretização d</w:t>
      </w:r>
      <w:r>
        <w:rPr>
          <w:rFonts w:ascii="Times New Roman" w:hAnsi="Times New Roman"/>
          <w:sz w:val="24"/>
          <w:szCs w:val="23"/>
        </w:rPr>
        <w:t>este trabalho. Muito obrigado pelo</w:t>
      </w:r>
      <w:r w:rsidRPr="00CE572B">
        <w:rPr>
          <w:rFonts w:ascii="Times New Roman" w:hAnsi="Times New Roman"/>
          <w:sz w:val="24"/>
          <w:szCs w:val="23"/>
        </w:rPr>
        <w:t xml:space="preserve"> apoio, dedicação, inspiração e amizade durante todas as fases deste projecto.</w:t>
      </w:r>
      <w:r>
        <w:rPr>
          <w:rFonts w:ascii="Times New Roman" w:hAnsi="Times New Roman"/>
          <w:sz w:val="24"/>
          <w:szCs w:val="23"/>
        </w:rPr>
        <w:t xml:space="preserve"> Um agradecimento especial por me ajudar a asseverar a minha paixão pela investigação, e pelo privilégio de aprender ciência todos os dias. </w:t>
      </w:r>
      <w:r w:rsidRPr="00CE572B">
        <w:rPr>
          <w:rFonts w:ascii="Times New Roman" w:hAnsi="Times New Roman"/>
          <w:sz w:val="24"/>
          <w:szCs w:val="23"/>
        </w:rPr>
        <w:t xml:space="preserve">Obrigado pelo acolhimento no grupo de trabalho do Laboratório de Compostos Bioactivos do CEBAL, bem como a todos os restantes investigadores, pela amizade, apoio e incentivo demonstrados. </w:t>
      </w:r>
      <w:r w:rsidR="006A3E92">
        <w:rPr>
          <w:rFonts w:ascii="Times New Roman" w:hAnsi="Times New Roman"/>
          <w:sz w:val="24"/>
          <w:szCs w:val="23"/>
        </w:rPr>
        <w:t xml:space="preserve">Ao José Luís Cardador dos Santos, agradeço a disponibilidade e apoio prestados, fundamentais no decorrer dos trabalhos da tese. </w:t>
      </w:r>
      <w:r w:rsidRPr="00CE572B">
        <w:rPr>
          <w:rFonts w:ascii="Times New Roman" w:hAnsi="Times New Roman"/>
          <w:sz w:val="24"/>
          <w:szCs w:val="23"/>
        </w:rPr>
        <w:t xml:space="preserve">À Patrícia Ramos, </w:t>
      </w:r>
      <w:r w:rsidR="006737F5" w:rsidRPr="00CE572B">
        <w:rPr>
          <w:rFonts w:ascii="Times New Roman" w:hAnsi="Times New Roman"/>
          <w:sz w:val="24"/>
          <w:szCs w:val="23"/>
        </w:rPr>
        <w:t>Olinda Guerreiro</w:t>
      </w:r>
      <w:r w:rsidR="006737F5">
        <w:rPr>
          <w:rFonts w:ascii="Times New Roman" w:hAnsi="Times New Roman"/>
          <w:sz w:val="24"/>
          <w:szCs w:val="23"/>
        </w:rPr>
        <w:t xml:space="preserve">, </w:t>
      </w:r>
      <w:r w:rsidR="006737F5" w:rsidRPr="00CE572B">
        <w:rPr>
          <w:rFonts w:ascii="Times New Roman" w:hAnsi="Times New Roman"/>
          <w:sz w:val="24"/>
          <w:szCs w:val="23"/>
        </w:rPr>
        <w:t>Ângela Guerra</w:t>
      </w:r>
      <w:r w:rsidR="009168CE">
        <w:rPr>
          <w:rFonts w:ascii="Times New Roman" w:hAnsi="Times New Roman"/>
          <w:sz w:val="24"/>
          <w:szCs w:val="23"/>
        </w:rPr>
        <w:t xml:space="preserve">, </w:t>
      </w:r>
      <w:r w:rsidR="006737F5">
        <w:rPr>
          <w:rFonts w:ascii="Times New Roman" w:hAnsi="Times New Roman"/>
          <w:sz w:val="24"/>
          <w:szCs w:val="23"/>
        </w:rPr>
        <w:t xml:space="preserve">Maria da Conceição Fernandes </w:t>
      </w:r>
      <w:r w:rsidR="009168CE">
        <w:rPr>
          <w:rFonts w:ascii="Times New Roman" w:hAnsi="Times New Roman"/>
          <w:sz w:val="24"/>
          <w:szCs w:val="23"/>
        </w:rPr>
        <w:t xml:space="preserve">e Teresa Silva Brás </w:t>
      </w:r>
      <w:r w:rsidRPr="00CE572B">
        <w:rPr>
          <w:rFonts w:ascii="Times New Roman" w:hAnsi="Times New Roman"/>
          <w:sz w:val="24"/>
          <w:szCs w:val="23"/>
        </w:rPr>
        <w:t>um obrigada especial pela amizade, apoio, disponibilidade e boa disposição, sem vocês teria sido muito mais difícil chegar a este dia.</w:t>
      </w:r>
      <w:r w:rsidR="006A3E92">
        <w:rPr>
          <w:rFonts w:ascii="Times New Roman" w:hAnsi="Times New Roman"/>
          <w:sz w:val="24"/>
          <w:szCs w:val="23"/>
        </w:rPr>
        <w:t xml:space="preserve"> </w:t>
      </w:r>
    </w:p>
    <w:p w:rsidR="0009428A" w:rsidRPr="00CE572B" w:rsidRDefault="0009428A" w:rsidP="0009428A">
      <w:pPr>
        <w:jc w:val="both"/>
        <w:rPr>
          <w:rFonts w:ascii="Times New Roman" w:hAnsi="Times New Roman"/>
          <w:sz w:val="24"/>
          <w:szCs w:val="23"/>
        </w:rPr>
      </w:pPr>
      <w:r w:rsidRPr="00CE572B">
        <w:rPr>
          <w:rFonts w:ascii="Times New Roman" w:hAnsi="Times New Roman"/>
          <w:sz w:val="24"/>
          <w:szCs w:val="23"/>
        </w:rPr>
        <w:tab/>
        <w:t>À Professora Doutora Ana Teresa Fialho Caeiro Caldeira de Rodrigues Palma, na qualidade de Co-Orientadora, agradeço toda a disponibilidade, apoio e simpatia durante a realização deste trabalho.</w:t>
      </w:r>
    </w:p>
    <w:p w:rsidR="0009428A" w:rsidRPr="00CE572B" w:rsidRDefault="0009428A" w:rsidP="0009428A">
      <w:pPr>
        <w:jc w:val="both"/>
        <w:rPr>
          <w:rFonts w:ascii="Times New Roman" w:hAnsi="Times New Roman"/>
          <w:sz w:val="24"/>
          <w:szCs w:val="23"/>
        </w:rPr>
      </w:pPr>
      <w:r w:rsidRPr="00CE572B">
        <w:rPr>
          <w:rFonts w:ascii="Times New Roman" w:hAnsi="Times New Roman"/>
          <w:sz w:val="24"/>
          <w:szCs w:val="23"/>
        </w:rPr>
        <w:tab/>
        <w:t>Ao</w:t>
      </w:r>
      <w:r>
        <w:rPr>
          <w:rFonts w:ascii="Times New Roman" w:hAnsi="Times New Roman"/>
          <w:sz w:val="24"/>
          <w:szCs w:val="23"/>
        </w:rPr>
        <w:t>s meus P</w:t>
      </w:r>
      <w:r w:rsidRPr="00CE572B">
        <w:rPr>
          <w:rFonts w:ascii="Times New Roman" w:hAnsi="Times New Roman"/>
          <w:sz w:val="24"/>
          <w:szCs w:val="23"/>
        </w:rPr>
        <w:t>ais, Christine e ao Kevin</w:t>
      </w:r>
      <w:r>
        <w:rPr>
          <w:rFonts w:ascii="Times New Roman" w:hAnsi="Times New Roman"/>
          <w:sz w:val="24"/>
          <w:szCs w:val="23"/>
        </w:rPr>
        <w:t>,</w:t>
      </w:r>
      <w:r w:rsidRPr="00CE572B">
        <w:rPr>
          <w:rFonts w:ascii="Times New Roman" w:hAnsi="Times New Roman"/>
          <w:sz w:val="24"/>
          <w:szCs w:val="23"/>
        </w:rPr>
        <w:t xml:space="preserve"> obrigado por tudo!</w:t>
      </w:r>
      <w:r>
        <w:rPr>
          <w:rFonts w:ascii="Times New Roman" w:hAnsi="Times New Roman"/>
          <w:sz w:val="24"/>
          <w:szCs w:val="23"/>
        </w:rPr>
        <w:t xml:space="preserve"> </w:t>
      </w:r>
      <w:r w:rsidRPr="00CE572B">
        <w:rPr>
          <w:rFonts w:ascii="Times New Roman" w:hAnsi="Times New Roman"/>
          <w:sz w:val="24"/>
          <w:szCs w:val="23"/>
        </w:rPr>
        <w:t>Por nunca me faltar</w:t>
      </w:r>
      <w:r>
        <w:rPr>
          <w:rFonts w:ascii="Times New Roman" w:hAnsi="Times New Roman"/>
          <w:sz w:val="24"/>
          <w:szCs w:val="23"/>
        </w:rPr>
        <w:t xml:space="preserve"> o vosso amparo e</w:t>
      </w:r>
      <w:r w:rsidRPr="00CE572B">
        <w:rPr>
          <w:rFonts w:ascii="Times New Roman" w:hAnsi="Times New Roman"/>
          <w:sz w:val="24"/>
          <w:szCs w:val="23"/>
        </w:rPr>
        <w:t xml:space="preserve"> </w:t>
      </w:r>
      <w:r>
        <w:rPr>
          <w:rFonts w:ascii="Times New Roman" w:hAnsi="Times New Roman"/>
          <w:sz w:val="24"/>
          <w:szCs w:val="23"/>
        </w:rPr>
        <w:t xml:space="preserve">apoio, </w:t>
      </w:r>
      <w:r w:rsidRPr="00CE572B">
        <w:rPr>
          <w:rFonts w:ascii="Times New Roman" w:hAnsi="Times New Roman"/>
          <w:sz w:val="24"/>
          <w:szCs w:val="23"/>
        </w:rPr>
        <w:t>a vossa alegria, inspiração</w:t>
      </w:r>
      <w:r>
        <w:rPr>
          <w:rFonts w:ascii="Times New Roman" w:hAnsi="Times New Roman"/>
          <w:sz w:val="24"/>
          <w:szCs w:val="23"/>
        </w:rPr>
        <w:t xml:space="preserve"> constante</w:t>
      </w:r>
      <w:r w:rsidRPr="00CE572B">
        <w:rPr>
          <w:rFonts w:ascii="Times New Roman" w:hAnsi="Times New Roman"/>
          <w:sz w:val="24"/>
          <w:szCs w:val="23"/>
        </w:rPr>
        <w:t xml:space="preserve"> e amor infindáveis</w:t>
      </w:r>
      <w:r>
        <w:rPr>
          <w:rFonts w:ascii="Times New Roman" w:hAnsi="Times New Roman"/>
          <w:sz w:val="24"/>
          <w:szCs w:val="23"/>
        </w:rPr>
        <w:t>, nesta e em todas as etapas da minha vida</w:t>
      </w:r>
      <w:r w:rsidRPr="00CE572B">
        <w:rPr>
          <w:rFonts w:ascii="Times New Roman" w:hAnsi="Times New Roman"/>
          <w:sz w:val="24"/>
          <w:szCs w:val="23"/>
        </w:rPr>
        <w:t>.</w:t>
      </w:r>
    </w:p>
    <w:p w:rsidR="0009428A" w:rsidRDefault="0009428A" w:rsidP="0009428A">
      <w:pPr>
        <w:jc w:val="both"/>
        <w:rPr>
          <w:rFonts w:ascii="Times New Roman" w:hAnsi="Times New Roman"/>
          <w:sz w:val="24"/>
          <w:szCs w:val="23"/>
        </w:rPr>
      </w:pPr>
      <w:r>
        <w:rPr>
          <w:rFonts w:ascii="Times New Roman" w:hAnsi="Times New Roman"/>
          <w:sz w:val="24"/>
          <w:szCs w:val="23"/>
        </w:rPr>
        <w:tab/>
      </w:r>
      <w:r w:rsidRPr="00CE572B">
        <w:rPr>
          <w:rFonts w:ascii="Times New Roman" w:hAnsi="Times New Roman"/>
          <w:sz w:val="24"/>
          <w:szCs w:val="23"/>
        </w:rPr>
        <w:t>Alex</w:t>
      </w:r>
      <w:r>
        <w:rPr>
          <w:rFonts w:ascii="Times New Roman" w:hAnsi="Times New Roman"/>
          <w:sz w:val="24"/>
          <w:szCs w:val="23"/>
        </w:rPr>
        <w:t xml:space="preserve">, sem o teu </w:t>
      </w:r>
      <w:r w:rsidRPr="00CE572B">
        <w:rPr>
          <w:rFonts w:ascii="Times New Roman" w:hAnsi="Times New Roman"/>
          <w:sz w:val="24"/>
          <w:szCs w:val="23"/>
        </w:rPr>
        <w:t>amor</w:t>
      </w:r>
      <w:r>
        <w:rPr>
          <w:rFonts w:ascii="Times New Roman" w:hAnsi="Times New Roman"/>
          <w:sz w:val="24"/>
          <w:szCs w:val="23"/>
        </w:rPr>
        <w:t>,</w:t>
      </w:r>
      <w:r w:rsidRPr="00DF0D15">
        <w:rPr>
          <w:rFonts w:ascii="Times New Roman" w:hAnsi="Times New Roman"/>
          <w:sz w:val="24"/>
          <w:szCs w:val="23"/>
        </w:rPr>
        <w:t xml:space="preserve"> </w:t>
      </w:r>
      <w:r w:rsidRPr="00CE572B">
        <w:rPr>
          <w:rFonts w:ascii="Times New Roman" w:hAnsi="Times New Roman"/>
          <w:sz w:val="24"/>
          <w:szCs w:val="23"/>
        </w:rPr>
        <w:t xml:space="preserve">compreensão, </w:t>
      </w:r>
      <w:r>
        <w:rPr>
          <w:rFonts w:ascii="Times New Roman" w:hAnsi="Times New Roman"/>
          <w:sz w:val="24"/>
          <w:szCs w:val="23"/>
        </w:rPr>
        <w:t xml:space="preserve">partilha </w:t>
      </w:r>
      <w:r w:rsidRPr="00CE572B">
        <w:rPr>
          <w:rFonts w:ascii="Times New Roman" w:hAnsi="Times New Roman"/>
          <w:sz w:val="24"/>
          <w:szCs w:val="23"/>
        </w:rPr>
        <w:t>e dedicação 100% em todos os momentos desta “journey”</w:t>
      </w:r>
      <w:r>
        <w:rPr>
          <w:rFonts w:ascii="Times New Roman" w:hAnsi="Times New Roman"/>
          <w:sz w:val="24"/>
          <w:szCs w:val="23"/>
        </w:rPr>
        <w:t xml:space="preserve"> nada seria possível. Obrigado por seres sempre incansável e por acreditares nos meus sonhos, tornando-os teus também.</w:t>
      </w:r>
    </w:p>
    <w:p w:rsidR="0009428A" w:rsidRPr="00262570" w:rsidRDefault="0009428A" w:rsidP="0009428A">
      <w:pPr>
        <w:jc w:val="both"/>
        <w:rPr>
          <w:rFonts w:ascii="Times New Roman" w:hAnsi="Times New Roman"/>
          <w:sz w:val="24"/>
          <w:szCs w:val="23"/>
        </w:rPr>
      </w:pPr>
      <w:r w:rsidRPr="00CE572B">
        <w:rPr>
          <w:rFonts w:ascii="Times New Roman" w:hAnsi="Times New Roman"/>
          <w:sz w:val="24"/>
          <w:szCs w:val="23"/>
        </w:rPr>
        <w:tab/>
        <w:t>À Inês por me permitir viajar sem sair do sítio, por seres a pessoa mais original que conheço, obrigada pelo teu amor, loucura (necessária) e apoio inesgotáveis</w:t>
      </w:r>
      <w:r>
        <w:rPr>
          <w:rFonts w:ascii="Times New Roman" w:hAnsi="Times New Roman"/>
          <w:sz w:val="24"/>
          <w:szCs w:val="23"/>
        </w:rPr>
        <w:t>.</w:t>
      </w: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09428A" w:rsidRDefault="0009428A" w:rsidP="00CE572B">
      <w:pPr>
        <w:spacing w:after="0" w:line="240" w:lineRule="auto"/>
        <w:jc w:val="center"/>
        <w:rPr>
          <w:rFonts w:ascii="Times New Roman" w:hAnsi="Times New Roman"/>
          <w:sz w:val="24"/>
          <w:szCs w:val="24"/>
        </w:rPr>
      </w:pPr>
    </w:p>
    <w:p w:rsidR="00150E0D" w:rsidRDefault="00150E0D" w:rsidP="00150E0D">
      <w:pPr>
        <w:spacing w:after="0" w:line="240" w:lineRule="auto"/>
        <w:jc w:val="center"/>
        <w:rPr>
          <w:rFonts w:ascii="Times New Roman" w:hAnsi="Times New Roman"/>
          <w:sz w:val="24"/>
          <w:szCs w:val="24"/>
        </w:rPr>
      </w:pPr>
    </w:p>
    <w:p w:rsidR="00150E0D" w:rsidRDefault="00150E0D" w:rsidP="00150E0D">
      <w:pPr>
        <w:spacing w:after="0"/>
        <w:rPr>
          <w:rFonts w:ascii="Times New Roman" w:hAnsi="Times New Roman"/>
          <w:b/>
          <w:sz w:val="32"/>
          <w:szCs w:val="28"/>
        </w:rPr>
      </w:pPr>
      <w:r w:rsidRPr="0044109C">
        <w:rPr>
          <w:rFonts w:ascii="Times New Roman" w:hAnsi="Times New Roman"/>
          <w:b/>
          <w:sz w:val="32"/>
          <w:szCs w:val="28"/>
        </w:rPr>
        <w:t>Índice</w:t>
      </w:r>
    </w:p>
    <w:p w:rsidR="00150E0D" w:rsidRPr="0044109C" w:rsidRDefault="00150E0D" w:rsidP="00150E0D">
      <w:pPr>
        <w:spacing w:after="0"/>
        <w:rPr>
          <w:rFonts w:ascii="Times New Roman" w:hAnsi="Times New Roman"/>
          <w:b/>
          <w:sz w:val="24"/>
          <w:szCs w:val="24"/>
        </w:rPr>
      </w:pPr>
    </w:p>
    <w:p w:rsidR="00150E0D" w:rsidRDefault="00150E0D" w:rsidP="00150E0D">
      <w:pPr>
        <w:spacing w:after="0"/>
        <w:jc w:val="both"/>
        <w:rPr>
          <w:rFonts w:ascii="Times New Roman" w:hAnsi="Times New Roman"/>
          <w:sz w:val="24"/>
          <w:szCs w:val="24"/>
        </w:rPr>
      </w:pPr>
      <w:r>
        <w:rPr>
          <w:rFonts w:ascii="Times New Roman" w:hAnsi="Times New Roman"/>
          <w:sz w:val="24"/>
          <w:szCs w:val="24"/>
        </w:rPr>
        <w:t>Índice de Figuras………………………………………………………………………...5</w:t>
      </w:r>
    </w:p>
    <w:p w:rsidR="00150E0D" w:rsidRDefault="00150E0D" w:rsidP="00150E0D">
      <w:pPr>
        <w:spacing w:after="0"/>
        <w:jc w:val="both"/>
        <w:rPr>
          <w:rFonts w:ascii="Times New Roman" w:hAnsi="Times New Roman"/>
          <w:sz w:val="24"/>
          <w:szCs w:val="24"/>
        </w:rPr>
      </w:pPr>
      <w:r>
        <w:rPr>
          <w:rFonts w:ascii="Times New Roman" w:hAnsi="Times New Roman"/>
          <w:sz w:val="24"/>
          <w:szCs w:val="24"/>
        </w:rPr>
        <w:t>Índice de Tabelas………………………………………………………..……………….9</w:t>
      </w:r>
    </w:p>
    <w:p w:rsidR="00150E0D" w:rsidRDefault="00150E0D" w:rsidP="00150E0D">
      <w:pPr>
        <w:spacing w:after="0"/>
        <w:jc w:val="both"/>
        <w:rPr>
          <w:rFonts w:ascii="Times New Roman" w:hAnsi="Times New Roman"/>
          <w:sz w:val="24"/>
          <w:szCs w:val="24"/>
        </w:rPr>
      </w:pPr>
      <w:r>
        <w:rPr>
          <w:rFonts w:ascii="Times New Roman" w:hAnsi="Times New Roman"/>
          <w:sz w:val="24"/>
          <w:szCs w:val="24"/>
        </w:rPr>
        <w:t>Abreviaturas…………………………………………………………………………….10</w:t>
      </w:r>
    </w:p>
    <w:p w:rsidR="00150E0D" w:rsidRDefault="00150E0D" w:rsidP="00150E0D">
      <w:pPr>
        <w:spacing w:after="0"/>
        <w:jc w:val="both"/>
        <w:rPr>
          <w:rFonts w:ascii="Times New Roman" w:hAnsi="Times New Roman"/>
          <w:sz w:val="24"/>
          <w:szCs w:val="24"/>
        </w:rPr>
      </w:pPr>
      <w:r>
        <w:rPr>
          <w:rFonts w:ascii="Times New Roman" w:hAnsi="Times New Roman"/>
          <w:sz w:val="24"/>
          <w:szCs w:val="24"/>
        </w:rPr>
        <w:t>Resumo………………………………………………………………………………....12</w:t>
      </w:r>
    </w:p>
    <w:p w:rsidR="00150E0D" w:rsidRDefault="00150E0D" w:rsidP="00150E0D">
      <w:pPr>
        <w:spacing w:after="0"/>
        <w:jc w:val="both"/>
        <w:rPr>
          <w:rFonts w:ascii="Times New Roman" w:hAnsi="Times New Roman"/>
          <w:sz w:val="24"/>
          <w:szCs w:val="24"/>
        </w:rPr>
      </w:pPr>
      <w:r>
        <w:rPr>
          <w:rFonts w:ascii="Times New Roman" w:hAnsi="Times New Roman"/>
          <w:sz w:val="24"/>
          <w:szCs w:val="24"/>
        </w:rPr>
        <w:t>Abstract…………………………………………………………………………………13</w:t>
      </w:r>
    </w:p>
    <w:p w:rsidR="00150E0D" w:rsidRPr="005A1799" w:rsidRDefault="00150E0D" w:rsidP="00150E0D">
      <w:pPr>
        <w:pStyle w:val="PargrafodaLista"/>
        <w:numPr>
          <w:ilvl w:val="0"/>
          <w:numId w:val="18"/>
        </w:numPr>
        <w:spacing w:after="0"/>
        <w:ind w:left="426" w:hanging="426"/>
        <w:jc w:val="both"/>
        <w:rPr>
          <w:rFonts w:ascii="Times New Roman" w:hAnsi="Times New Roman"/>
          <w:sz w:val="24"/>
          <w:szCs w:val="24"/>
        </w:rPr>
      </w:pPr>
      <w:r>
        <w:rPr>
          <w:rFonts w:ascii="Times New Roman" w:hAnsi="Times New Roman"/>
          <w:sz w:val="24"/>
          <w:szCs w:val="24"/>
        </w:rPr>
        <w:t>Introdução………………………………………………………………………….14</w:t>
      </w:r>
    </w:p>
    <w:p w:rsidR="00150E0D" w:rsidRDefault="00150E0D" w:rsidP="00150E0D">
      <w:pPr>
        <w:pStyle w:val="PargrafodaLista"/>
        <w:numPr>
          <w:ilvl w:val="0"/>
          <w:numId w:val="17"/>
        </w:numPr>
        <w:tabs>
          <w:tab w:val="left" w:pos="709"/>
        </w:tabs>
        <w:spacing w:after="0"/>
        <w:ind w:left="426" w:hanging="142"/>
        <w:jc w:val="both"/>
        <w:rPr>
          <w:rFonts w:ascii="Times New Roman" w:hAnsi="Times New Roman"/>
          <w:sz w:val="24"/>
          <w:szCs w:val="24"/>
        </w:rPr>
      </w:pPr>
      <w:r>
        <w:rPr>
          <w:rFonts w:ascii="Times New Roman" w:hAnsi="Times New Roman"/>
          <w:sz w:val="24"/>
          <w:szCs w:val="24"/>
        </w:rPr>
        <w:t>Dieta Mediterrânica…………………………………………………………….15</w:t>
      </w:r>
    </w:p>
    <w:p w:rsidR="00150E0D" w:rsidRPr="00151D91" w:rsidRDefault="00150E0D" w:rsidP="00150E0D">
      <w:pPr>
        <w:pStyle w:val="PargrafodaLista"/>
        <w:numPr>
          <w:ilvl w:val="0"/>
          <w:numId w:val="17"/>
        </w:numPr>
        <w:tabs>
          <w:tab w:val="left" w:pos="1134"/>
        </w:tabs>
        <w:spacing w:after="0"/>
        <w:ind w:hanging="436"/>
        <w:jc w:val="both"/>
        <w:rPr>
          <w:rFonts w:ascii="Times New Roman" w:hAnsi="Times New Roman"/>
          <w:sz w:val="24"/>
          <w:szCs w:val="24"/>
        </w:rPr>
      </w:pPr>
      <w:r w:rsidRPr="0035358A">
        <w:rPr>
          <w:rFonts w:ascii="Times New Roman" w:hAnsi="Times New Roman"/>
          <w:sz w:val="24"/>
          <w:szCs w:val="24"/>
        </w:rPr>
        <w:t>Azeite…………………………………………………………………</w:t>
      </w:r>
      <w:r>
        <w:rPr>
          <w:rFonts w:ascii="Times New Roman" w:hAnsi="Times New Roman"/>
          <w:sz w:val="24"/>
          <w:szCs w:val="24"/>
        </w:rPr>
        <w:t>……...…17</w:t>
      </w:r>
    </w:p>
    <w:p w:rsidR="00150E0D" w:rsidRPr="0035358A" w:rsidRDefault="00150E0D" w:rsidP="00150E0D">
      <w:pPr>
        <w:pStyle w:val="PargrafodaLista"/>
        <w:numPr>
          <w:ilvl w:val="1"/>
          <w:numId w:val="27"/>
        </w:numPr>
        <w:spacing w:after="0"/>
        <w:jc w:val="both"/>
        <w:rPr>
          <w:rFonts w:ascii="Times New Roman" w:hAnsi="Times New Roman"/>
          <w:sz w:val="24"/>
          <w:szCs w:val="24"/>
        </w:rPr>
      </w:pPr>
      <w:r>
        <w:rPr>
          <w:rFonts w:ascii="Times New Roman" w:hAnsi="Times New Roman"/>
          <w:sz w:val="24"/>
          <w:szCs w:val="24"/>
        </w:rPr>
        <w:t xml:space="preserve"> </w:t>
      </w:r>
      <w:r w:rsidRPr="0035358A">
        <w:rPr>
          <w:rFonts w:ascii="Times New Roman" w:hAnsi="Times New Roman"/>
          <w:sz w:val="24"/>
          <w:szCs w:val="24"/>
        </w:rPr>
        <w:t>A origem do azeite……………………………………………</w:t>
      </w:r>
      <w:r>
        <w:rPr>
          <w:rFonts w:ascii="Times New Roman" w:hAnsi="Times New Roman"/>
          <w:sz w:val="24"/>
          <w:szCs w:val="24"/>
        </w:rPr>
        <w:t>……………17</w:t>
      </w:r>
    </w:p>
    <w:p w:rsidR="00150E0D" w:rsidRPr="0035358A" w:rsidRDefault="00150E0D" w:rsidP="00150E0D">
      <w:pPr>
        <w:pStyle w:val="PargrafodaLista"/>
        <w:numPr>
          <w:ilvl w:val="1"/>
          <w:numId w:val="27"/>
        </w:numPr>
        <w:spacing w:after="0"/>
        <w:jc w:val="both"/>
        <w:rPr>
          <w:rFonts w:ascii="Times New Roman" w:hAnsi="Times New Roman"/>
          <w:sz w:val="24"/>
          <w:szCs w:val="24"/>
        </w:rPr>
      </w:pPr>
      <w:r>
        <w:rPr>
          <w:rFonts w:ascii="Times New Roman" w:hAnsi="Times New Roman"/>
          <w:sz w:val="24"/>
          <w:szCs w:val="24"/>
        </w:rPr>
        <w:t xml:space="preserve"> </w:t>
      </w:r>
      <w:r w:rsidRPr="0035358A">
        <w:rPr>
          <w:rFonts w:ascii="Times New Roman" w:hAnsi="Times New Roman"/>
          <w:sz w:val="24"/>
          <w:szCs w:val="24"/>
        </w:rPr>
        <w:t>O consumo de azeite e seus benefícios………………………</w:t>
      </w:r>
      <w:r>
        <w:rPr>
          <w:rFonts w:ascii="Times New Roman" w:hAnsi="Times New Roman"/>
          <w:sz w:val="24"/>
          <w:szCs w:val="24"/>
        </w:rPr>
        <w:t>……………19</w:t>
      </w:r>
    </w:p>
    <w:p w:rsidR="00150E0D" w:rsidRPr="0035358A" w:rsidRDefault="00150E0D" w:rsidP="00150E0D">
      <w:pPr>
        <w:pStyle w:val="PargrafodaLista"/>
        <w:numPr>
          <w:ilvl w:val="1"/>
          <w:numId w:val="27"/>
        </w:numPr>
        <w:spacing w:after="0"/>
        <w:jc w:val="both"/>
        <w:rPr>
          <w:rFonts w:ascii="Times New Roman" w:hAnsi="Times New Roman"/>
          <w:sz w:val="24"/>
          <w:szCs w:val="24"/>
        </w:rPr>
      </w:pPr>
      <w:r>
        <w:rPr>
          <w:rFonts w:ascii="Times New Roman" w:hAnsi="Times New Roman"/>
          <w:sz w:val="24"/>
          <w:szCs w:val="24"/>
        </w:rPr>
        <w:t xml:space="preserve"> </w:t>
      </w:r>
      <w:r w:rsidRPr="0035358A">
        <w:rPr>
          <w:rFonts w:ascii="Times New Roman" w:hAnsi="Times New Roman"/>
          <w:sz w:val="24"/>
          <w:szCs w:val="24"/>
        </w:rPr>
        <w:t>Composição e caracterização fenólica do azeite……………</w:t>
      </w:r>
      <w:r>
        <w:rPr>
          <w:rFonts w:ascii="Times New Roman" w:hAnsi="Times New Roman"/>
          <w:sz w:val="24"/>
          <w:szCs w:val="24"/>
        </w:rPr>
        <w:t>…………….20</w:t>
      </w:r>
    </w:p>
    <w:p w:rsidR="00150E0D" w:rsidRPr="0035358A" w:rsidRDefault="00150E0D" w:rsidP="00150E0D">
      <w:pPr>
        <w:pStyle w:val="PargrafodaLista"/>
        <w:numPr>
          <w:ilvl w:val="1"/>
          <w:numId w:val="27"/>
        </w:numPr>
        <w:spacing w:after="0"/>
        <w:jc w:val="both"/>
        <w:rPr>
          <w:rFonts w:ascii="Times New Roman" w:hAnsi="Times New Roman"/>
          <w:sz w:val="24"/>
          <w:szCs w:val="24"/>
        </w:rPr>
      </w:pPr>
      <w:r>
        <w:rPr>
          <w:rFonts w:ascii="Times New Roman" w:hAnsi="Times New Roman"/>
          <w:sz w:val="24"/>
          <w:szCs w:val="24"/>
        </w:rPr>
        <w:t xml:space="preserve"> </w:t>
      </w:r>
      <w:r w:rsidRPr="0035358A">
        <w:rPr>
          <w:rFonts w:ascii="Times New Roman" w:hAnsi="Times New Roman"/>
          <w:sz w:val="24"/>
          <w:szCs w:val="24"/>
        </w:rPr>
        <w:t xml:space="preserve">Hidroxitirosol: um antioxidante natural do azeite </w:t>
      </w:r>
      <w:r>
        <w:rPr>
          <w:rFonts w:ascii="Times New Roman" w:hAnsi="Times New Roman"/>
          <w:sz w:val="24"/>
          <w:szCs w:val="24"/>
        </w:rPr>
        <w:t>……………………….23</w:t>
      </w:r>
    </w:p>
    <w:p w:rsidR="00150E0D" w:rsidRPr="0035358A" w:rsidRDefault="00150E0D" w:rsidP="00150E0D">
      <w:pPr>
        <w:pStyle w:val="PargrafodaLista"/>
        <w:numPr>
          <w:ilvl w:val="1"/>
          <w:numId w:val="27"/>
        </w:numPr>
        <w:spacing w:after="0"/>
        <w:jc w:val="both"/>
        <w:rPr>
          <w:rFonts w:ascii="Times New Roman" w:hAnsi="Times New Roman"/>
          <w:sz w:val="24"/>
          <w:szCs w:val="24"/>
        </w:rPr>
      </w:pPr>
      <w:r>
        <w:rPr>
          <w:rFonts w:ascii="Times New Roman" w:hAnsi="Times New Roman"/>
          <w:sz w:val="24"/>
          <w:szCs w:val="24"/>
        </w:rPr>
        <w:t xml:space="preserve"> </w:t>
      </w:r>
      <w:r w:rsidRPr="0035358A">
        <w:rPr>
          <w:rFonts w:ascii="Times New Roman" w:hAnsi="Times New Roman"/>
          <w:sz w:val="24"/>
          <w:szCs w:val="24"/>
        </w:rPr>
        <w:t>Sistemas de extracção de azeite e seus subprodutos…………</w:t>
      </w:r>
      <w:r>
        <w:rPr>
          <w:rFonts w:ascii="Times New Roman" w:hAnsi="Times New Roman"/>
          <w:sz w:val="24"/>
          <w:szCs w:val="24"/>
        </w:rPr>
        <w:t>…………..25</w:t>
      </w:r>
    </w:p>
    <w:p w:rsidR="00150E0D" w:rsidRDefault="00150E0D" w:rsidP="00150E0D">
      <w:pPr>
        <w:pStyle w:val="PargrafodaLista"/>
        <w:numPr>
          <w:ilvl w:val="0"/>
          <w:numId w:val="27"/>
        </w:numPr>
        <w:tabs>
          <w:tab w:val="left" w:pos="709"/>
        </w:tabs>
        <w:spacing w:after="0"/>
        <w:ind w:left="426" w:hanging="142"/>
        <w:jc w:val="both"/>
        <w:rPr>
          <w:rFonts w:ascii="Times New Roman" w:hAnsi="Times New Roman"/>
          <w:sz w:val="24"/>
          <w:szCs w:val="24"/>
        </w:rPr>
      </w:pPr>
      <w:r>
        <w:rPr>
          <w:rFonts w:ascii="Times New Roman" w:hAnsi="Times New Roman"/>
          <w:sz w:val="24"/>
          <w:szCs w:val="24"/>
        </w:rPr>
        <w:t>Tecnologias de Membranas……………………………………………………28</w:t>
      </w:r>
    </w:p>
    <w:p w:rsidR="00150E0D" w:rsidRPr="0035358A" w:rsidRDefault="00150E0D" w:rsidP="00150E0D">
      <w:pPr>
        <w:pStyle w:val="PargrafodaLista"/>
        <w:numPr>
          <w:ilvl w:val="1"/>
          <w:numId w:val="27"/>
        </w:numPr>
        <w:tabs>
          <w:tab w:val="left" w:pos="709"/>
        </w:tabs>
        <w:spacing w:after="0"/>
        <w:jc w:val="both"/>
        <w:rPr>
          <w:rFonts w:ascii="Times New Roman" w:hAnsi="Times New Roman"/>
          <w:sz w:val="24"/>
          <w:szCs w:val="24"/>
        </w:rPr>
      </w:pPr>
      <w:r>
        <w:rPr>
          <w:rFonts w:ascii="Times New Roman" w:hAnsi="Times New Roman"/>
          <w:sz w:val="24"/>
          <w:szCs w:val="24"/>
        </w:rPr>
        <w:t xml:space="preserve"> Nanofiltração e Osmose Inversa</w:t>
      </w:r>
      <w:r w:rsidRPr="0035358A">
        <w:rPr>
          <w:rFonts w:ascii="Times New Roman" w:hAnsi="Times New Roman"/>
          <w:sz w:val="24"/>
          <w:szCs w:val="24"/>
        </w:rPr>
        <w:t xml:space="preserve"> </w:t>
      </w:r>
      <w:r>
        <w:rPr>
          <w:rFonts w:ascii="Times New Roman" w:hAnsi="Times New Roman"/>
          <w:sz w:val="24"/>
          <w:szCs w:val="24"/>
        </w:rPr>
        <w:t>……………</w:t>
      </w:r>
      <w:r w:rsidRPr="0035358A">
        <w:rPr>
          <w:rFonts w:ascii="Times New Roman" w:hAnsi="Times New Roman"/>
          <w:sz w:val="24"/>
          <w:szCs w:val="24"/>
        </w:rPr>
        <w:t>……………………</w:t>
      </w:r>
      <w:r>
        <w:rPr>
          <w:rFonts w:ascii="Times New Roman" w:hAnsi="Times New Roman"/>
          <w:sz w:val="24"/>
          <w:szCs w:val="24"/>
        </w:rPr>
        <w:t>………29</w:t>
      </w:r>
    </w:p>
    <w:p w:rsidR="00150E0D" w:rsidRDefault="00150E0D" w:rsidP="00150E0D">
      <w:pPr>
        <w:pStyle w:val="PargrafodaLista"/>
        <w:numPr>
          <w:ilvl w:val="0"/>
          <w:numId w:val="27"/>
        </w:numPr>
        <w:spacing w:after="0"/>
        <w:ind w:left="426" w:hanging="142"/>
        <w:jc w:val="both"/>
        <w:rPr>
          <w:rFonts w:ascii="Times New Roman" w:hAnsi="Times New Roman"/>
          <w:sz w:val="24"/>
          <w:szCs w:val="24"/>
        </w:rPr>
      </w:pPr>
      <w:r>
        <w:rPr>
          <w:rFonts w:ascii="Times New Roman" w:hAnsi="Times New Roman"/>
          <w:sz w:val="24"/>
          <w:szCs w:val="24"/>
        </w:rPr>
        <w:t>Actividade antioxidante………………………………………………………..31</w:t>
      </w:r>
    </w:p>
    <w:p w:rsidR="00150E0D" w:rsidRDefault="00150E0D" w:rsidP="00150E0D">
      <w:pPr>
        <w:pStyle w:val="PargrafodaLista"/>
        <w:numPr>
          <w:ilvl w:val="0"/>
          <w:numId w:val="27"/>
        </w:numPr>
        <w:spacing w:after="0"/>
        <w:ind w:left="426" w:hanging="142"/>
        <w:jc w:val="both"/>
        <w:rPr>
          <w:rFonts w:ascii="Times New Roman" w:hAnsi="Times New Roman"/>
          <w:sz w:val="24"/>
          <w:szCs w:val="24"/>
        </w:rPr>
      </w:pPr>
      <w:r>
        <w:rPr>
          <w:rFonts w:ascii="Times New Roman" w:hAnsi="Times New Roman"/>
          <w:sz w:val="24"/>
          <w:szCs w:val="24"/>
        </w:rPr>
        <w:t>O Cancro e sua origem…………………………………………………………33</w:t>
      </w:r>
    </w:p>
    <w:p w:rsidR="00150E0D" w:rsidRDefault="00150E0D" w:rsidP="00150E0D">
      <w:pPr>
        <w:pStyle w:val="PargrafodaLista"/>
        <w:numPr>
          <w:ilvl w:val="1"/>
          <w:numId w:val="27"/>
        </w:numPr>
        <w:tabs>
          <w:tab w:val="left" w:pos="1134"/>
        </w:tabs>
        <w:spacing w:after="0"/>
        <w:ind w:hanging="219"/>
        <w:jc w:val="both"/>
        <w:rPr>
          <w:rFonts w:ascii="Times New Roman" w:hAnsi="Times New Roman"/>
          <w:sz w:val="24"/>
          <w:szCs w:val="24"/>
        </w:rPr>
      </w:pPr>
      <w:r>
        <w:rPr>
          <w:rFonts w:ascii="Times New Roman" w:hAnsi="Times New Roman"/>
          <w:sz w:val="24"/>
          <w:szCs w:val="24"/>
        </w:rPr>
        <w:t>Cancro da Mama……………………………………………………….35</w:t>
      </w:r>
    </w:p>
    <w:p w:rsidR="00150E0D" w:rsidRDefault="00150E0D" w:rsidP="00150E0D">
      <w:pPr>
        <w:pStyle w:val="PargrafodaLista"/>
        <w:numPr>
          <w:ilvl w:val="1"/>
          <w:numId w:val="27"/>
        </w:numPr>
        <w:tabs>
          <w:tab w:val="left" w:pos="1134"/>
        </w:tabs>
        <w:spacing w:after="0"/>
        <w:ind w:hanging="219"/>
        <w:jc w:val="both"/>
        <w:rPr>
          <w:rFonts w:ascii="Times New Roman" w:hAnsi="Times New Roman"/>
          <w:sz w:val="24"/>
          <w:szCs w:val="24"/>
        </w:rPr>
      </w:pPr>
      <w:r>
        <w:rPr>
          <w:rFonts w:ascii="Times New Roman" w:hAnsi="Times New Roman"/>
          <w:sz w:val="24"/>
          <w:szCs w:val="24"/>
        </w:rPr>
        <w:t>Potencial dos compostos fitoquímicos na prevenção e/ou tratamento do cancro da mama……………………………………………………………38</w:t>
      </w:r>
    </w:p>
    <w:p w:rsidR="00150E0D" w:rsidRDefault="00150E0D" w:rsidP="00150E0D">
      <w:pPr>
        <w:pStyle w:val="PargrafodaLista"/>
        <w:numPr>
          <w:ilvl w:val="0"/>
          <w:numId w:val="18"/>
        </w:numPr>
        <w:tabs>
          <w:tab w:val="left" w:pos="426"/>
          <w:tab w:val="left" w:pos="1276"/>
          <w:tab w:val="left" w:pos="1843"/>
        </w:tabs>
        <w:spacing w:after="0"/>
        <w:ind w:hanging="1080"/>
        <w:jc w:val="both"/>
        <w:rPr>
          <w:rFonts w:ascii="Times New Roman" w:hAnsi="Times New Roman"/>
          <w:sz w:val="24"/>
          <w:szCs w:val="24"/>
        </w:rPr>
      </w:pPr>
      <w:r>
        <w:rPr>
          <w:rFonts w:ascii="Times New Roman" w:hAnsi="Times New Roman"/>
          <w:sz w:val="24"/>
          <w:szCs w:val="24"/>
        </w:rPr>
        <w:t>Problemática e Objectivos ………………………………………………………..40</w:t>
      </w:r>
    </w:p>
    <w:p w:rsidR="00150E0D" w:rsidRDefault="00150E0D" w:rsidP="00150E0D">
      <w:pPr>
        <w:pStyle w:val="PargrafodaLista"/>
        <w:numPr>
          <w:ilvl w:val="0"/>
          <w:numId w:val="20"/>
        </w:numPr>
        <w:tabs>
          <w:tab w:val="left" w:pos="426"/>
          <w:tab w:val="left" w:pos="709"/>
          <w:tab w:val="left" w:pos="1843"/>
        </w:tabs>
        <w:spacing w:after="0"/>
        <w:ind w:hanging="1156"/>
        <w:jc w:val="both"/>
        <w:rPr>
          <w:rFonts w:ascii="Times New Roman" w:hAnsi="Times New Roman"/>
          <w:sz w:val="24"/>
          <w:szCs w:val="24"/>
        </w:rPr>
      </w:pPr>
      <w:r>
        <w:rPr>
          <w:rFonts w:ascii="Times New Roman" w:hAnsi="Times New Roman"/>
          <w:sz w:val="24"/>
          <w:szCs w:val="24"/>
        </w:rPr>
        <w:t>Problemática …………………………………………………………………..41</w:t>
      </w:r>
    </w:p>
    <w:p w:rsidR="00150E0D" w:rsidRDefault="00150E0D" w:rsidP="00150E0D">
      <w:pPr>
        <w:pStyle w:val="PargrafodaLista"/>
        <w:numPr>
          <w:ilvl w:val="0"/>
          <w:numId w:val="20"/>
        </w:numPr>
        <w:tabs>
          <w:tab w:val="left" w:pos="426"/>
          <w:tab w:val="left" w:pos="709"/>
          <w:tab w:val="left" w:pos="1843"/>
        </w:tabs>
        <w:spacing w:after="0"/>
        <w:ind w:hanging="1156"/>
        <w:jc w:val="both"/>
        <w:rPr>
          <w:rFonts w:ascii="Times New Roman" w:hAnsi="Times New Roman"/>
          <w:sz w:val="24"/>
          <w:szCs w:val="24"/>
        </w:rPr>
      </w:pPr>
      <w:r>
        <w:rPr>
          <w:rFonts w:ascii="Times New Roman" w:hAnsi="Times New Roman"/>
          <w:sz w:val="24"/>
          <w:szCs w:val="24"/>
        </w:rPr>
        <w:t>Objectivos………………………………………………………………………42</w:t>
      </w:r>
    </w:p>
    <w:p w:rsidR="00150E0D" w:rsidRDefault="00150E0D" w:rsidP="00150E0D">
      <w:pPr>
        <w:pStyle w:val="PargrafodaLista"/>
        <w:numPr>
          <w:ilvl w:val="0"/>
          <w:numId w:val="18"/>
        </w:numPr>
        <w:tabs>
          <w:tab w:val="left" w:pos="426"/>
          <w:tab w:val="left" w:pos="709"/>
          <w:tab w:val="left" w:pos="1843"/>
        </w:tabs>
        <w:spacing w:after="0"/>
        <w:ind w:hanging="1080"/>
        <w:jc w:val="both"/>
        <w:rPr>
          <w:rFonts w:ascii="Times New Roman" w:hAnsi="Times New Roman"/>
          <w:sz w:val="24"/>
          <w:szCs w:val="24"/>
        </w:rPr>
      </w:pPr>
      <w:r>
        <w:rPr>
          <w:rFonts w:ascii="Times New Roman" w:hAnsi="Times New Roman"/>
          <w:sz w:val="24"/>
          <w:szCs w:val="24"/>
        </w:rPr>
        <w:t>Material e Métodos………………………………………………………………..43</w:t>
      </w:r>
    </w:p>
    <w:p w:rsidR="00150E0D" w:rsidRDefault="00150E0D" w:rsidP="00150E0D">
      <w:pPr>
        <w:pStyle w:val="PargrafodaLista"/>
        <w:numPr>
          <w:ilvl w:val="0"/>
          <w:numId w:val="21"/>
        </w:numPr>
        <w:tabs>
          <w:tab w:val="left" w:pos="426"/>
          <w:tab w:val="left" w:pos="709"/>
          <w:tab w:val="left" w:pos="1843"/>
        </w:tabs>
        <w:spacing w:after="0"/>
        <w:ind w:hanging="1156"/>
        <w:jc w:val="both"/>
        <w:rPr>
          <w:rFonts w:ascii="Times New Roman" w:hAnsi="Times New Roman"/>
          <w:sz w:val="24"/>
          <w:szCs w:val="24"/>
        </w:rPr>
      </w:pPr>
      <w:r>
        <w:rPr>
          <w:rFonts w:ascii="Times New Roman" w:hAnsi="Times New Roman"/>
          <w:sz w:val="24"/>
          <w:szCs w:val="24"/>
        </w:rPr>
        <w:t>Material…………………………………………………………………………44</w:t>
      </w:r>
    </w:p>
    <w:p w:rsidR="00150E0D" w:rsidRDefault="00150E0D" w:rsidP="00150E0D">
      <w:pPr>
        <w:pStyle w:val="PargrafodaLista"/>
        <w:numPr>
          <w:ilvl w:val="1"/>
          <w:numId w:val="21"/>
        </w:numPr>
        <w:tabs>
          <w:tab w:val="left" w:pos="426"/>
          <w:tab w:val="left" w:pos="709"/>
          <w:tab w:val="left" w:pos="1134"/>
          <w:tab w:val="left" w:pos="1843"/>
        </w:tabs>
        <w:spacing w:after="0"/>
        <w:ind w:hanging="1233"/>
        <w:jc w:val="both"/>
        <w:rPr>
          <w:rFonts w:ascii="Times New Roman" w:hAnsi="Times New Roman"/>
          <w:sz w:val="24"/>
          <w:szCs w:val="24"/>
        </w:rPr>
      </w:pPr>
      <w:r>
        <w:rPr>
          <w:rFonts w:ascii="Times New Roman" w:hAnsi="Times New Roman"/>
          <w:sz w:val="24"/>
          <w:szCs w:val="24"/>
        </w:rPr>
        <w:t>Extractos de Bagaço de Azeitona Extractado (BAE)…………………….44</w:t>
      </w:r>
    </w:p>
    <w:p w:rsidR="00150E0D" w:rsidRDefault="00150E0D" w:rsidP="00150E0D">
      <w:pPr>
        <w:pStyle w:val="PargrafodaLista"/>
        <w:numPr>
          <w:ilvl w:val="1"/>
          <w:numId w:val="21"/>
        </w:numPr>
        <w:tabs>
          <w:tab w:val="left" w:pos="426"/>
          <w:tab w:val="left" w:pos="709"/>
          <w:tab w:val="left" w:pos="1134"/>
        </w:tabs>
        <w:spacing w:after="0"/>
        <w:ind w:left="851" w:hanging="284"/>
        <w:jc w:val="both"/>
        <w:rPr>
          <w:rFonts w:ascii="Times New Roman" w:hAnsi="Times New Roman"/>
          <w:sz w:val="24"/>
          <w:szCs w:val="24"/>
        </w:rPr>
      </w:pPr>
      <w:r>
        <w:rPr>
          <w:rFonts w:ascii="Times New Roman" w:hAnsi="Times New Roman"/>
          <w:sz w:val="24"/>
          <w:szCs w:val="24"/>
        </w:rPr>
        <w:t xml:space="preserve">Cultura de células animais: modelo </w:t>
      </w:r>
      <w:r w:rsidRPr="0002214E">
        <w:rPr>
          <w:rFonts w:ascii="Times New Roman" w:hAnsi="Times New Roman"/>
          <w:i/>
          <w:sz w:val="24"/>
          <w:szCs w:val="24"/>
        </w:rPr>
        <w:t>in vitro</w:t>
      </w:r>
      <w:r>
        <w:rPr>
          <w:rFonts w:ascii="Times New Roman" w:hAnsi="Times New Roman"/>
          <w:sz w:val="24"/>
          <w:szCs w:val="24"/>
        </w:rPr>
        <w:t xml:space="preserve"> para o cancro da mama fenótipo triplo negativo (MDA-MB-231)……………………………………………...44</w:t>
      </w:r>
    </w:p>
    <w:p w:rsidR="00150E0D" w:rsidRDefault="00150E0D" w:rsidP="00150E0D">
      <w:pPr>
        <w:pStyle w:val="PargrafodaLista"/>
        <w:numPr>
          <w:ilvl w:val="0"/>
          <w:numId w:val="21"/>
        </w:numPr>
        <w:tabs>
          <w:tab w:val="left" w:pos="426"/>
          <w:tab w:val="left" w:pos="709"/>
          <w:tab w:val="left" w:pos="1843"/>
        </w:tabs>
        <w:spacing w:after="0"/>
        <w:ind w:hanging="1156"/>
        <w:jc w:val="both"/>
        <w:rPr>
          <w:rFonts w:ascii="Times New Roman" w:hAnsi="Times New Roman"/>
          <w:sz w:val="24"/>
          <w:szCs w:val="24"/>
        </w:rPr>
      </w:pPr>
      <w:r>
        <w:rPr>
          <w:rFonts w:ascii="Times New Roman" w:hAnsi="Times New Roman"/>
          <w:sz w:val="24"/>
          <w:szCs w:val="24"/>
        </w:rPr>
        <w:t>Metodologias…………………………………………………………………...44</w:t>
      </w:r>
    </w:p>
    <w:p w:rsidR="00150E0D" w:rsidRDefault="00150E0D" w:rsidP="00150E0D">
      <w:pPr>
        <w:pStyle w:val="PargrafodaLista"/>
        <w:numPr>
          <w:ilvl w:val="1"/>
          <w:numId w:val="21"/>
        </w:numPr>
        <w:tabs>
          <w:tab w:val="left" w:pos="426"/>
          <w:tab w:val="left" w:pos="709"/>
          <w:tab w:val="left" w:pos="1134"/>
        </w:tabs>
        <w:spacing w:after="0"/>
        <w:ind w:left="851" w:hanging="284"/>
        <w:jc w:val="both"/>
        <w:rPr>
          <w:rFonts w:ascii="Times New Roman" w:hAnsi="Times New Roman"/>
          <w:sz w:val="24"/>
          <w:szCs w:val="24"/>
        </w:rPr>
      </w:pPr>
      <w:r>
        <w:rPr>
          <w:rFonts w:ascii="Times New Roman" w:hAnsi="Times New Roman"/>
          <w:sz w:val="24"/>
          <w:szCs w:val="24"/>
        </w:rPr>
        <w:t>Preparação do extracto aquoso de bagaço de azeitona extractado……………………………………………………………………..44</w:t>
      </w:r>
    </w:p>
    <w:p w:rsidR="00150E0D" w:rsidRDefault="00150E0D" w:rsidP="00150E0D">
      <w:pPr>
        <w:pStyle w:val="PargrafodaLista"/>
        <w:numPr>
          <w:ilvl w:val="1"/>
          <w:numId w:val="21"/>
        </w:numPr>
        <w:tabs>
          <w:tab w:val="left" w:pos="426"/>
          <w:tab w:val="left" w:pos="709"/>
          <w:tab w:val="left" w:pos="1134"/>
        </w:tabs>
        <w:spacing w:after="0"/>
        <w:ind w:left="851" w:hanging="284"/>
        <w:jc w:val="both"/>
        <w:rPr>
          <w:rFonts w:ascii="Times New Roman" w:hAnsi="Times New Roman"/>
          <w:sz w:val="24"/>
          <w:szCs w:val="24"/>
        </w:rPr>
      </w:pPr>
      <w:r w:rsidRPr="0002214E">
        <w:rPr>
          <w:rFonts w:ascii="Times New Roman" w:hAnsi="Times New Roman"/>
          <w:sz w:val="24"/>
          <w:szCs w:val="24"/>
        </w:rPr>
        <w:t xml:space="preserve">Preparação dos extractos aquosos concentrados a partir do extracto bruto </w:t>
      </w:r>
      <w:r>
        <w:rPr>
          <w:rFonts w:ascii="Times New Roman" w:hAnsi="Times New Roman"/>
          <w:sz w:val="24"/>
          <w:szCs w:val="24"/>
        </w:rPr>
        <w:t>derivado de bagaço de azeitona extractado</w:t>
      </w:r>
      <w:r w:rsidRPr="0002214E">
        <w:rPr>
          <w:rFonts w:ascii="Times New Roman" w:hAnsi="Times New Roman"/>
          <w:sz w:val="24"/>
          <w:szCs w:val="24"/>
        </w:rPr>
        <w:t xml:space="preserve">, </w:t>
      </w:r>
      <w:r>
        <w:rPr>
          <w:rFonts w:ascii="Times New Roman" w:hAnsi="Times New Roman"/>
          <w:sz w:val="24"/>
          <w:szCs w:val="24"/>
        </w:rPr>
        <w:t xml:space="preserve">através de </w:t>
      </w:r>
      <w:r w:rsidRPr="0002214E">
        <w:rPr>
          <w:rFonts w:ascii="Times New Roman" w:hAnsi="Times New Roman"/>
          <w:sz w:val="24"/>
          <w:szCs w:val="24"/>
        </w:rPr>
        <w:t>um sistema integrado de tecnologia de membranas: Nanofiltração e Osmose Inversa</w:t>
      </w:r>
      <w:r>
        <w:rPr>
          <w:rFonts w:ascii="Times New Roman" w:hAnsi="Times New Roman"/>
          <w:sz w:val="24"/>
          <w:szCs w:val="24"/>
        </w:rPr>
        <w:t>………………………………………………………………………...45</w:t>
      </w:r>
    </w:p>
    <w:p w:rsidR="00150E0D" w:rsidRPr="0002214E" w:rsidRDefault="00150E0D" w:rsidP="00150E0D">
      <w:pPr>
        <w:pStyle w:val="PargrafodaLista"/>
        <w:numPr>
          <w:ilvl w:val="1"/>
          <w:numId w:val="21"/>
        </w:numPr>
        <w:tabs>
          <w:tab w:val="left" w:pos="1134"/>
        </w:tabs>
        <w:spacing w:after="0"/>
        <w:ind w:left="851" w:hanging="284"/>
        <w:jc w:val="both"/>
        <w:rPr>
          <w:rFonts w:ascii="Times New Roman" w:hAnsi="Times New Roman"/>
          <w:sz w:val="24"/>
          <w:szCs w:val="24"/>
        </w:rPr>
      </w:pPr>
      <w:r w:rsidRPr="0002214E">
        <w:rPr>
          <w:rFonts w:ascii="Times New Roman" w:hAnsi="Times New Roman"/>
          <w:sz w:val="24"/>
          <w:szCs w:val="24"/>
        </w:rPr>
        <w:t>Quantificação dos Fenóis Totais presentes nos extractos de bagaço de azeitona extractado pelo método de Folin-Ciocalteau</w:t>
      </w:r>
      <w:r>
        <w:rPr>
          <w:rFonts w:ascii="Times New Roman" w:hAnsi="Times New Roman"/>
          <w:sz w:val="24"/>
          <w:szCs w:val="24"/>
        </w:rPr>
        <w:t>………………………..48</w:t>
      </w:r>
    </w:p>
    <w:p w:rsidR="00150E0D" w:rsidRDefault="00150E0D" w:rsidP="00150E0D">
      <w:pPr>
        <w:pStyle w:val="PargrafodaLista"/>
        <w:numPr>
          <w:ilvl w:val="1"/>
          <w:numId w:val="21"/>
        </w:numPr>
        <w:tabs>
          <w:tab w:val="left" w:pos="426"/>
          <w:tab w:val="left" w:pos="709"/>
          <w:tab w:val="left" w:pos="1134"/>
        </w:tabs>
        <w:spacing w:after="0"/>
        <w:ind w:left="851" w:hanging="284"/>
        <w:jc w:val="both"/>
        <w:rPr>
          <w:rFonts w:ascii="Times New Roman" w:hAnsi="Times New Roman"/>
          <w:sz w:val="24"/>
          <w:szCs w:val="24"/>
        </w:rPr>
      </w:pPr>
      <w:r w:rsidRPr="0002214E">
        <w:rPr>
          <w:rFonts w:ascii="Times New Roman" w:hAnsi="Times New Roman"/>
          <w:sz w:val="24"/>
          <w:szCs w:val="24"/>
        </w:rPr>
        <w:t>Quantificação de Hidroxitirosol presente nos extractos de</w:t>
      </w:r>
      <w:r>
        <w:rPr>
          <w:rFonts w:ascii="Times New Roman" w:hAnsi="Times New Roman"/>
          <w:sz w:val="24"/>
          <w:szCs w:val="24"/>
        </w:rPr>
        <w:t>rivados de</w:t>
      </w:r>
      <w:r w:rsidRPr="0002214E">
        <w:rPr>
          <w:rFonts w:ascii="Times New Roman" w:hAnsi="Times New Roman"/>
          <w:sz w:val="24"/>
          <w:szCs w:val="24"/>
        </w:rPr>
        <w:t xml:space="preserve"> bagaço de azeitona extractado por cromatografia líq</w:t>
      </w:r>
      <w:r>
        <w:rPr>
          <w:rFonts w:ascii="Times New Roman" w:hAnsi="Times New Roman"/>
          <w:sz w:val="24"/>
          <w:szCs w:val="24"/>
        </w:rPr>
        <w:t>uida de alta eficiência…………49</w:t>
      </w:r>
    </w:p>
    <w:p w:rsidR="00150E0D" w:rsidRDefault="00150E0D" w:rsidP="00150E0D">
      <w:pPr>
        <w:pStyle w:val="PargrafodaLista"/>
        <w:numPr>
          <w:ilvl w:val="1"/>
          <w:numId w:val="21"/>
        </w:numPr>
        <w:tabs>
          <w:tab w:val="left" w:pos="426"/>
          <w:tab w:val="left" w:pos="567"/>
          <w:tab w:val="left" w:pos="709"/>
          <w:tab w:val="left" w:pos="1134"/>
        </w:tabs>
        <w:spacing w:after="0"/>
        <w:ind w:left="851" w:hanging="284"/>
        <w:jc w:val="both"/>
        <w:rPr>
          <w:rFonts w:ascii="Times New Roman" w:hAnsi="Times New Roman"/>
          <w:sz w:val="24"/>
          <w:szCs w:val="24"/>
        </w:rPr>
      </w:pPr>
      <w:r w:rsidRPr="0002214E">
        <w:rPr>
          <w:rFonts w:ascii="Times New Roman" w:hAnsi="Times New Roman"/>
          <w:sz w:val="24"/>
          <w:szCs w:val="24"/>
        </w:rPr>
        <w:lastRenderedPageBreak/>
        <w:t>Determinação da capacidade antioxidante dos extractos de bagaço de azeitona extractado pelos métodos DPPH  e Poder Redutor</w:t>
      </w:r>
      <w:r>
        <w:rPr>
          <w:rFonts w:ascii="Times New Roman" w:hAnsi="Times New Roman"/>
          <w:sz w:val="24"/>
          <w:szCs w:val="24"/>
        </w:rPr>
        <w:t>…………………51</w:t>
      </w:r>
    </w:p>
    <w:p w:rsidR="00150E0D" w:rsidRDefault="00150E0D" w:rsidP="00150E0D">
      <w:pPr>
        <w:pStyle w:val="PargrafodaLista"/>
        <w:numPr>
          <w:ilvl w:val="2"/>
          <w:numId w:val="21"/>
        </w:numPr>
        <w:tabs>
          <w:tab w:val="left" w:pos="993"/>
        </w:tabs>
        <w:ind w:left="1701" w:hanging="708"/>
        <w:jc w:val="both"/>
        <w:rPr>
          <w:rFonts w:ascii="Times New Roman" w:hAnsi="Times New Roman"/>
          <w:sz w:val="24"/>
          <w:szCs w:val="24"/>
        </w:rPr>
      </w:pPr>
      <w:r w:rsidRPr="0002214E">
        <w:rPr>
          <w:rFonts w:ascii="Times New Roman" w:hAnsi="Times New Roman"/>
          <w:sz w:val="24"/>
          <w:szCs w:val="24"/>
        </w:rPr>
        <w:t>Ensaio de neutralização de radicais livres de DPPH (2,2-difenil-1-picrilhidrazilo)</w:t>
      </w:r>
      <w:r>
        <w:rPr>
          <w:rFonts w:ascii="Times New Roman" w:hAnsi="Times New Roman"/>
          <w:sz w:val="24"/>
          <w:szCs w:val="24"/>
        </w:rPr>
        <w:t>……………………………………………………….51</w:t>
      </w:r>
    </w:p>
    <w:p w:rsidR="00150E0D" w:rsidRDefault="00150E0D" w:rsidP="00150E0D">
      <w:pPr>
        <w:pStyle w:val="PargrafodaLista"/>
        <w:numPr>
          <w:ilvl w:val="2"/>
          <w:numId w:val="21"/>
        </w:numPr>
        <w:tabs>
          <w:tab w:val="left" w:pos="993"/>
        </w:tabs>
        <w:ind w:left="1701" w:hanging="708"/>
        <w:jc w:val="both"/>
        <w:rPr>
          <w:rFonts w:ascii="Times New Roman" w:hAnsi="Times New Roman"/>
          <w:sz w:val="24"/>
          <w:szCs w:val="24"/>
        </w:rPr>
      </w:pPr>
      <w:r w:rsidRPr="0002214E">
        <w:rPr>
          <w:rFonts w:ascii="Times New Roman" w:hAnsi="Times New Roman"/>
          <w:sz w:val="24"/>
          <w:szCs w:val="24"/>
        </w:rPr>
        <w:t>Ensaio do Poder Redutor</w:t>
      </w:r>
      <w:r>
        <w:rPr>
          <w:rFonts w:ascii="Times New Roman" w:hAnsi="Times New Roman"/>
          <w:sz w:val="24"/>
          <w:szCs w:val="24"/>
        </w:rPr>
        <w:t>…………………………………………….52</w:t>
      </w:r>
    </w:p>
    <w:p w:rsidR="00150E0D" w:rsidRDefault="00150E0D" w:rsidP="00150E0D">
      <w:pPr>
        <w:pStyle w:val="PargrafodaLista"/>
        <w:numPr>
          <w:ilvl w:val="1"/>
          <w:numId w:val="21"/>
        </w:numPr>
        <w:tabs>
          <w:tab w:val="left" w:pos="1134"/>
          <w:tab w:val="left" w:pos="1418"/>
        </w:tabs>
        <w:ind w:left="851" w:hanging="284"/>
        <w:jc w:val="both"/>
        <w:rPr>
          <w:rFonts w:ascii="Times New Roman" w:hAnsi="Times New Roman"/>
          <w:sz w:val="24"/>
          <w:szCs w:val="24"/>
        </w:rPr>
      </w:pPr>
      <w:r w:rsidRPr="0002214E">
        <w:rPr>
          <w:rFonts w:ascii="Times New Roman" w:hAnsi="Times New Roman"/>
          <w:sz w:val="24"/>
          <w:szCs w:val="24"/>
        </w:rPr>
        <w:t>Estudo da capacidade antiproliferativa dos extractos de bagaço de azeitona extractado em células humanas de cancro da mama fenótipo triplo negativo: linha celular MDA-MB-231</w:t>
      </w:r>
      <w:r>
        <w:rPr>
          <w:rFonts w:ascii="Times New Roman" w:hAnsi="Times New Roman"/>
          <w:sz w:val="24"/>
          <w:szCs w:val="24"/>
        </w:rPr>
        <w:t>, pelo método de MTT…………………………52</w:t>
      </w:r>
    </w:p>
    <w:p w:rsidR="00150E0D" w:rsidRDefault="00150E0D" w:rsidP="00150E0D">
      <w:pPr>
        <w:pStyle w:val="PargrafodaLista"/>
        <w:numPr>
          <w:ilvl w:val="1"/>
          <w:numId w:val="21"/>
        </w:numPr>
        <w:tabs>
          <w:tab w:val="left" w:pos="1134"/>
          <w:tab w:val="left" w:pos="1418"/>
        </w:tabs>
        <w:ind w:left="851" w:hanging="284"/>
        <w:jc w:val="both"/>
        <w:rPr>
          <w:rFonts w:ascii="Times New Roman" w:hAnsi="Times New Roman"/>
          <w:sz w:val="24"/>
          <w:szCs w:val="24"/>
        </w:rPr>
      </w:pPr>
      <w:r w:rsidRPr="0002214E">
        <w:rPr>
          <w:rFonts w:ascii="Times New Roman" w:hAnsi="Times New Roman"/>
          <w:sz w:val="24"/>
          <w:szCs w:val="24"/>
        </w:rPr>
        <w:t xml:space="preserve">Ensaio </w:t>
      </w:r>
      <w:r>
        <w:rPr>
          <w:rFonts w:ascii="Times New Roman" w:hAnsi="Times New Roman"/>
          <w:sz w:val="24"/>
          <w:szCs w:val="24"/>
        </w:rPr>
        <w:t xml:space="preserve">preliminar </w:t>
      </w:r>
      <w:r w:rsidRPr="0002214E">
        <w:rPr>
          <w:rFonts w:ascii="Times New Roman" w:hAnsi="Times New Roman"/>
          <w:sz w:val="24"/>
          <w:szCs w:val="24"/>
        </w:rPr>
        <w:t xml:space="preserve">de actividade antioxidante </w:t>
      </w:r>
      <w:r w:rsidRPr="00803231">
        <w:rPr>
          <w:rFonts w:ascii="Times New Roman" w:hAnsi="Times New Roman"/>
          <w:sz w:val="24"/>
          <w:szCs w:val="24"/>
        </w:rPr>
        <w:t>in vivo</w:t>
      </w:r>
      <w:r w:rsidRPr="0002214E">
        <w:rPr>
          <w:rFonts w:ascii="Times New Roman" w:hAnsi="Times New Roman"/>
          <w:sz w:val="24"/>
          <w:szCs w:val="24"/>
        </w:rPr>
        <w:t>: Avaliação do efeito de protecção dos extractos de BAE contra radicais de H</w:t>
      </w:r>
      <w:r w:rsidRPr="00803231">
        <w:rPr>
          <w:rFonts w:ascii="Times New Roman" w:hAnsi="Times New Roman"/>
          <w:sz w:val="24"/>
          <w:szCs w:val="24"/>
          <w:vertAlign w:val="subscript"/>
        </w:rPr>
        <w:t>2</w:t>
      </w:r>
      <w:r w:rsidRPr="0002214E">
        <w:rPr>
          <w:rFonts w:ascii="Times New Roman" w:hAnsi="Times New Roman"/>
          <w:sz w:val="24"/>
          <w:szCs w:val="24"/>
        </w:rPr>
        <w:t>O</w:t>
      </w:r>
      <w:r w:rsidRPr="00803231">
        <w:rPr>
          <w:rFonts w:ascii="Times New Roman" w:hAnsi="Times New Roman"/>
          <w:sz w:val="24"/>
          <w:szCs w:val="24"/>
          <w:vertAlign w:val="subscript"/>
        </w:rPr>
        <w:t>2</w:t>
      </w:r>
      <w:r w:rsidRPr="0002214E">
        <w:rPr>
          <w:rFonts w:ascii="Times New Roman" w:hAnsi="Times New Roman"/>
          <w:sz w:val="24"/>
          <w:szCs w:val="24"/>
        </w:rPr>
        <w:t xml:space="preserve"> em </w:t>
      </w:r>
      <w:r w:rsidRPr="00803231">
        <w:rPr>
          <w:rFonts w:ascii="Times New Roman" w:hAnsi="Times New Roman"/>
          <w:i/>
          <w:sz w:val="24"/>
          <w:szCs w:val="24"/>
        </w:rPr>
        <w:t>Saccharomyces cerevisiae</w:t>
      </w:r>
      <w:r>
        <w:rPr>
          <w:rFonts w:ascii="Times New Roman" w:hAnsi="Times New Roman"/>
          <w:sz w:val="24"/>
          <w:szCs w:val="24"/>
        </w:rPr>
        <w:t>……………………………………………………………………...53</w:t>
      </w:r>
    </w:p>
    <w:p w:rsidR="00150E0D" w:rsidRDefault="00150E0D" w:rsidP="00150E0D">
      <w:pPr>
        <w:pStyle w:val="PargrafodaLista"/>
        <w:numPr>
          <w:ilvl w:val="1"/>
          <w:numId w:val="21"/>
        </w:numPr>
        <w:tabs>
          <w:tab w:val="left" w:pos="1134"/>
          <w:tab w:val="left" w:pos="1418"/>
        </w:tabs>
        <w:ind w:left="851" w:hanging="284"/>
        <w:jc w:val="both"/>
        <w:rPr>
          <w:rFonts w:ascii="Times New Roman" w:hAnsi="Times New Roman"/>
          <w:sz w:val="24"/>
          <w:szCs w:val="24"/>
        </w:rPr>
      </w:pPr>
      <w:r>
        <w:rPr>
          <w:rFonts w:ascii="Times New Roman" w:hAnsi="Times New Roman"/>
          <w:sz w:val="24"/>
          <w:szCs w:val="24"/>
        </w:rPr>
        <w:t>Análise estatística………………………………………………………….55</w:t>
      </w:r>
    </w:p>
    <w:p w:rsidR="00150E0D" w:rsidRDefault="00150E0D" w:rsidP="00150E0D">
      <w:pPr>
        <w:pStyle w:val="PargrafodaLista"/>
        <w:numPr>
          <w:ilvl w:val="0"/>
          <w:numId w:val="18"/>
        </w:numPr>
        <w:tabs>
          <w:tab w:val="left" w:pos="426"/>
          <w:tab w:val="left" w:pos="1418"/>
        </w:tabs>
        <w:ind w:hanging="1080"/>
        <w:jc w:val="both"/>
        <w:rPr>
          <w:rFonts w:ascii="Times New Roman" w:hAnsi="Times New Roman"/>
          <w:sz w:val="24"/>
          <w:szCs w:val="24"/>
        </w:rPr>
      </w:pPr>
      <w:r>
        <w:rPr>
          <w:rFonts w:ascii="Times New Roman" w:hAnsi="Times New Roman"/>
          <w:sz w:val="24"/>
          <w:szCs w:val="24"/>
        </w:rPr>
        <w:t>Resultados e Discussão…………………………………………………………….56</w:t>
      </w:r>
    </w:p>
    <w:p w:rsidR="00150E0D" w:rsidRDefault="00150E0D" w:rsidP="00150E0D">
      <w:pPr>
        <w:pStyle w:val="PargrafodaLista"/>
        <w:numPr>
          <w:ilvl w:val="0"/>
          <w:numId w:val="37"/>
        </w:numPr>
        <w:tabs>
          <w:tab w:val="left" w:pos="426"/>
          <w:tab w:val="left" w:pos="709"/>
        </w:tabs>
        <w:ind w:left="709" w:hanging="425"/>
        <w:jc w:val="both"/>
        <w:rPr>
          <w:rFonts w:ascii="Times New Roman" w:hAnsi="Times New Roman"/>
          <w:sz w:val="24"/>
          <w:szCs w:val="24"/>
        </w:rPr>
      </w:pPr>
      <w:r>
        <w:rPr>
          <w:rFonts w:ascii="Times New Roman" w:hAnsi="Times New Roman"/>
          <w:sz w:val="24"/>
          <w:szCs w:val="24"/>
        </w:rPr>
        <w:t xml:space="preserve">Preparação e caracterização dos extractos aquosos concentrados </w:t>
      </w:r>
      <w:r w:rsidRPr="0002214E">
        <w:rPr>
          <w:rFonts w:ascii="Times New Roman" w:hAnsi="Times New Roman"/>
          <w:sz w:val="24"/>
          <w:szCs w:val="24"/>
        </w:rPr>
        <w:t xml:space="preserve">a partir do </w:t>
      </w:r>
      <w:r>
        <w:rPr>
          <w:rFonts w:ascii="Times New Roman" w:hAnsi="Times New Roman"/>
          <w:sz w:val="24"/>
          <w:szCs w:val="24"/>
        </w:rPr>
        <w:t>EB</w:t>
      </w:r>
      <w:r w:rsidRPr="0002214E">
        <w:rPr>
          <w:rFonts w:ascii="Times New Roman" w:hAnsi="Times New Roman"/>
          <w:sz w:val="24"/>
          <w:szCs w:val="24"/>
        </w:rPr>
        <w:t xml:space="preserve"> </w:t>
      </w:r>
      <w:r>
        <w:rPr>
          <w:rFonts w:ascii="Times New Roman" w:hAnsi="Times New Roman"/>
          <w:sz w:val="24"/>
          <w:szCs w:val="24"/>
        </w:rPr>
        <w:t>de BAE</w:t>
      </w:r>
      <w:r w:rsidRPr="0002214E">
        <w:rPr>
          <w:rFonts w:ascii="Times New Roman" w:hAnsi="Times New Roman"/>
          <w:sz w:val="24"/>
          <w:szCs w:val="24"/>
        </w:rPr>
        <w:t xml:space="preserve">, </w:t>
      </w:r>
      <w:r>
        <w:rPr>
          <w:rFonts w:ascii="Times New Roman" w:hAnsi="Times New Roman"/>
          <w:sz w:val="24"/>
          <w:szCs w:val="24"/>
        </w:rPr>
        <w:t xml:space="preserve">utilizando </w:t>
      </w:r>
      <w:r w:rsidRPr="0002214E">
        <w:rPr>
          <w:rFonts w:ascii="Times New Roman" w:hAnsi="Times New Roman"/>
          <w:sz w:val="24"/>
          <w:szCs w:val="24"/>
        </w:rPr>
        <w:t>um sistema integrado de tecnologia de membranas: Nanofiltração e Osmose Inversa</w:t>
      </w:r>
      <w:r>
        <w:rPr>
          <w:rFonts w:ascii="Times New Roman" w:hAnsi="Times New Roman"/>
          <w:sz w:val="24"/>
          <w:szCs w:val="24"/>
        </w:rPr>
        <w:t>………………………………………………..57</w:t>
      </w:r>
    </w:p>
    <w:p w:rsidR="00150E0D" w:rsidRDefault="00150E0D" w:rsidP="00150E0D">
      <w:pPr>
        <w:pStyle w:val="PargrafodaLista"/>
        <w:numPr>
          <w:ilvl w:val="1"/>
          <w:numId w:val="37"/>
        </w:numPr>
        <w:tabs>
          <w:tab w:val="left" w:pos="426"/>
          <w:tab w:val="left" w:pos="709"/>
          <w:tab w:val="left" w:pos="1134"/>
        </w:tabs>
        <w:ind w:left="851" w:hanging="284"/>
        <w:jc w:val="both"/>
        <w:rPr>
          <w:rFonts w:ascii="Times New Roman" w:hAnsi="Times New Roman"/>
          <w:sz w:val="24"/>
          <w:szCs w:val="24"/>
        </w:rPr>
      </w:pPr>
      <w:r>
        <w:rPr>
          <w:rFonts w:ascii="Times New Roman" w:hAnsi="Times New Roman"/>
          <w:sz w:val="24"/>
          <w:szCs w:val="24"/>
        </w:rPr>
        <w:t xml:space="preserve">Quantificação dos </w:t>
      </w:r>
      <w:r w:rsidRPr="0002214E">
        <w:rPr>
          <w:rFonts w:ascii="Times New Roman" w:hAnsi="Times New Roman"/>
          <w:sz w:val="24"/>
          <w:szCs w:val="24"/>
        </w:rPr>
        <w:t>Fenóis To</w:t>
      </w:r>
      <w:r>
        <w:rPr>
          <w:rFonts w:ascii="Times New Roman" w:hAnsi="Times New Roman"/>
          <w:sz w:val="24"/>
          <w:szCs w:val="24"/>
        </w:rPr>
        <w:t xml:space="preserve">tais presentes nos extractos derivados de BAE (EB, EPC e ERC) </w:t>
      </w:r>
      <w:r w:rsidRPr="0002214E">
        <w:rPr>
          <w:rFonts w:ascii="Times New Roman" w:hAnsi="Times New Roman"/>
          <w:sz w:val="24"/>
          <w:szCs w:val="24"/>
        </w:rPr>
        <w:t>pelo método de Folin-Ciocalteau</w:t>
      </w:r>
      <w:r>
        <w:rPr>
          <w:rFonts w:ascii="Times New Roman" w:hAnsi="Times New Roman"/>
          <w:sz w:val="24"/>
          <w:szCs w:val="24"/>
        </w:rPr>
        <w:t>………………………….58</w:t>
      </w:r>
    </w:p>
    <w:p w:rsidR="00150E0D" w:rsidRDefault="00150E0D" w:rsidP="00150E0D">
      <w:pPr>
        <w:pStyle w:val="PargrafodaLista"/>
        <w:numPr>
          <w:ilvl w:val="1"/>
          <w:numId w:val="37"/>
        </w:numPr>
        <w:tabs>
          <w:tab w:val="left" w:pos="426"/>
          <w:tab w:val="left" w:pos="709"/>
          <w:tab w:val="left" w:pos="1134"/>
        </w:tabs>
        <w:ind w:left="851" w:hanging="284"/>
        <w:jc w:val="both"/>
        <w:rPr>
          <w:rFonts w:ascii="Times New Roman" w:hAnsi="Times New Roman"/>
          <w:sz w:val="24"/>
          <w:szCs w:val="24"/>
        </w:rPr>
      </w:pPr>
      <w:r w:rsidRPr="0002214E">
        <w:rPr>
          <w:rFonts w:ascii="Times New Roman" w:hAnsi="Times New Roman"/>
          <w:sz w:val="24"/>
          <w:szCs w:val="24"/>
        </w:rPr>
        <w:t>Quantificação de Hidroxitirosol presente nos extractos de</w:t>
      </w:r>
      <w:r>
        <w:rPr>
          <w:rFonts w:ascii="Times New Roman" w:hAnsi="Times New Roman"/>
          <w:sz w:val="24"/>
          <w:szCs w:val="24"/>
        </w:rPr>
        <w:t>rivados de</w:t>
      </w:r>
      <w:r w:rsidRPr="0002214E">
        <w:rPr>
          <w:rFonts w:ascii="Times New Roman" w:hAnsi="Times New Roman"/>
          <w:sz w:val="24"/>
          <w:szCs w:val="24"/>
        </w:rPr>
        <w:t xml:space="preserve"> bagaço de azeitona extractado por cromatografia líq</w:t>
      </w:r>
      <w:r>
        <w:rPr>
          <w:rFonts w:ascii="Times New Roman" w:hAnsi="Times New Roman"/>
          <w:sz w:val="24"/>
          <w:szCs w:val="24"/>
        </w:rPr>
        <w:t>uida de alta eficiência………….60</w:t>
      </w:r>
    </w:p>
    <w:p w:rsidR="00150E0D" w:rsidRDefault="00150E0D" w:rsidP="00150E0D">
      <w:pPr>
        <w:pStyle w:val="PargrafodaLista"/>
        <w:numPr>
          <w:ilvl w:val="0"/>
          <w:numId w:val="37"/>
        </w:numPr>
        <w:tabs>
          <w:tab w:val="left" w:pos="426"/>
          <w:tab w:val="left" w:pos="709"/>
          <w:tab w:val="left" w:pos="1134"/>
        </w:tabs>
        <w:ind w:left="709" w:hanging="425"/>
        <w:jc w:val="both"/>
        <w:rPr>
          <w:rFonts w:ascii="Times New Roman" w:hAnsi="Times New Roman"/>
          <w:sz w:val="24"/>
          <w:szCs w:val="24"/>
        </w:rPr>
      </w:pPr>
      <w:r>
        <w:rPr>
          <w:rFonts w:ascii="Times New Roman" w:hAnsi="Times New Roman"/>
          <w:sz w:val="24"/>
          <w:szCs w:val="24"/>
        </w:rPr>
        <w:t>Avaliação da actividade biológica dos extractos derivados de BAE: EB, EPC e ERC……………………………………………………………………………..64</w:t>
      </w:r>
    </w:p>
    <w:p w:rsidR="00150E0D" w:rsidRDefault="00150E0D" w:rsidP="00150E0D">
      <w:pPr>
        <w:pStyle w:val="PargrafodaLista"/>
        <w:numPr>
          <w:ilvl w:val="1"/>
          <w:numId w:val="20"/>
        </w:numPr>
        <w:tabs>
          <w:tab w:val="left" w:pos="426"/>
          <w:tab w:val="left" w:pos="709"/>
          <w:tab w:val="left" w:pos="851"/>
          <w:tab w:val="left" w:pos="1134"/>
        </w:tabs>
        <w:ind w:left="851" w:hanging="284"/>
        <w:jc w:val="both"/>
        <w:rPr>
          <w:rFonts w:ascii="Times New Roman" w:hAnsi="Times New Roman"/>
          <w:sz w:val="24"/>
          <w:szCs w:val="24"/>
        </w:rPr>
      </w:pPr>
      <w:r w:rsidRPr="0002214E">
        <w:rPr>
          <w:rFonts w:ascii="Times New Roman" w:hAnsi="Times New Roman"/>
          <w:sz w:val="24"/>
          <w:szCs w:val="24"/>
        </w:rPr>
        <w:t>Determinação da capacidade antioxid</w:t>
      </w:r>
      <w:r>
        <w:rPr>
          <w:rFonts w:ascii="Times New Roman" w:hAnsi="Times New Roman"/>
          <w:sz w:val="24"/>
          <w:szCs w:val="24"/>
        </w:rPr>
        <w:t>ante dos extractos de BAE</w:t>
      </w:r>
      <w:r w:rsidRPr="0002214E">
        <w:rPr>
          <w:rFonts w:ascii="Times New Roman" w:hAnsi="Times New Roman"/>
          <w:sz w:val="24"/>
          <w:szCs w:val="24"/>
        </w:rPr>
        <w:t xml:space="preserve"> pelos métodos DPPH  e Poder Redutor</w:t>
      </w:r>
      <w:r>
        <w:rPr>
          <w:rFonts w:ascii="Times New Roman" w:hAnsi="Times New Roman"/>
          <w:sz w:val="24"/>
          <w:szCs w:val="24"/>
        </w:rPr>
        <w:t>……………………………………………..64</w:t>
      </w:r>
    </w:p>
    <w:p w:rsidR="00150E0D" w:rsidRDefault="00150E0D" w:rsidP="00150E0D">
      <w:pPr>
        <w:pStyle w:val="PargrafodaLista"/>
        <w:numPr>
          <w:ilvl w:val="1"/>
          <w:numId w:val="20"/>
        </w:numPr>
        <w:tabs>
          <w:tab w:val="left" w:pos="1134"/>
          <w:tab w:val="left" w:pos="1418"/>
        </w:tabs>
        <w:ind w:left="851" w:hanging="284"/>
        <w:jc w:val="both"/>
        <w:rPr>
          <w:rFonts w:ascii="Times New Roman" w:hAnsi="Times New Roman"/>
          <w:sz w:val="24"/>
          <w:szCs w:val="24"/>
        </w:rPr>
      </w:pPr>
      <w:r w:rsidRPr="0002214E">
        <w:rPr>
          <w:rFonts w:ascii="Times New Roman" w:hAnsi="Times New Roman"/>
          <w:sz w:val="24"/>
          <w:szCs w:val="24"/>
        </w:rPr>
        <w:t xml:space="preserve">Estudo da capacidade antiproliferativa dos extractos de </w:t>
      </w:r>
      <w:r>
        <w:rPr>
          <w:rFonts w:ascii="Times New Roman" w:hAnsi="Times New Roman"/>
          <w:sz w:val="24"/>
          <w:szCs w:val="24"/>
        </w:rPr>
        <w:t>BAE</w:t>
      </w:r>
      <w:r w:rsidRPr="0002214E">
        <w:rPr>
          <w:rFonts w:ascii="Times New Roman" w:hAnsi="Times New Roman"/>
          <w:sz w:val="24"/>
          <w:szCs w:val="24"/>
        </w:rPr>
        <w:t xml:space="preserve"> em células humanas de cancro da mama fenótipo triplo ne</w:t>
      </w:r>
      <w:r>
        <w:rPr>
          <w:rFonts w:ascii="Times New Roman" w:hAnsi="Times New Roman"/>
          <w:sz w:val="24"/>
          <w:szCs w:val="24"/>
        </w:rPr>
        <w:t>gativo: linha celular MDA-MB-231…………………………………………………………………………….67</w:t>
      </w:r>
    </w:p>
    <w:p w:rsidR="00150E0D" w:rsidRPr="00EE2658" w:rsidRDefault="00150E0D" w:rsidP="00150E0D">
      <w:pPr>
        <w:pStyle w:val="PargrafodaLista"/>
        <w:numPr>
          <w:ilvl w:val="1"/>
          <w:numId w:val="20"/>
        </w:numPr>
        <w:tabs>
          <w:tab w:val="left" w:pos="567"/>
          <w:tab w:val="left" w:pos="1134"/>
        </w:tabs>
        <w:ind w:left="851" w:hanging="284"/>
        <w:jc w:val="both"/>
        <w:rPr>
          <w:rFonts w:ascii="Times New Roman" w:hAnsi="Times New Roman"/>
          <w:sz w:val="24"/>
          <w:szCs w:val="24"/>
        </w:rPr>
      </w:pPr>
      <w:r w:rsidRPr="0002214E">
        <w:rPr>
          <w:rFonts w:ascii="Times New Roman" w:hAnsi="Times New Roman"/>
          <w:sz w:val="24"/>
          <w:szCs w:val="24"/>
        </w:rPr>
        <w:t xml:space="preserve">Ensaio </w:t>
      </w:r>
      <w:r>
        <w:rPr>
          <w:rFonts w:ascii="Times New Roman" w:hAnsi="Times New Roman"/>
          <w:sz w:val="24"/>
          <w:szCs w:val="24"/>
        </w:rPr>
        <w:t xml:space="preserve">preliminar </w:t>
      </w:r>
      <w:r w:rsidRPr="0002214E">
        <w:rPr>
          <w:rFonts w:ascii="Times New Roman" w:hAnsi="Times New Roman"/>
          <w:sz w:val="24"/>
          <w:szCs w:val="24"/>
        </w:rPr>
        <w:t xml:space="preserve">de actividade antioxidante </w:t>
      </w:r>
      <w:r w:rsidRPr="00803231">
        <w:rPr>
          <w:rFonts w:ascii="Times New Roman" w:hAnsi="Times New Roman"/>
          <w:sz w:val="24"/>
          <w:szCs w:val="24"/>
        </w:rPr>
        <w:t>in vivo</w:t>
      </w:r>
      <w:r w:rsidRPr="0002214E">
        <w:rPr>
          <w:rFonts w:ascii="Times New Roman" w:hAnsi="Times New Roman"/>
          <w:sz w:val="24"/>
          <w:szCs w:val="24"/>
        </w:rPr>
        <w:t>: Avaliação do efeito de protecção dos extractos de BAE contra radicais de H</w:t>
      </w:r>
      <w:r w:rsidRPr="00803231">
        <w:rPr>
          <w:rFonts w:ascii="Times New Roman" w:hAnsi="Times New Roman"/>
          <w:sz w:val="24"/>
          <w:szCs w:val="24"/>
          <w:vertAlign w:val="subscript"/>
        </w:rPr>
        <w:t>2</w:t>
      </w:r>
      <w:r w:rsidRPr="0002214E">
        <w:rPr>
          <w:rFonts w:ascii="Times New Roman" w:hAnsi="Times New Roman"/>
          <w:sz w:val="24"/>
          <w:szCs w:val="24"/>
        </w:rPr>
        <w:t>O</w:t>
      </w:r>
      <w:r w:rsidRPr="00803231">
        <w:rPr>
          <w:rFonts w:ascii="Times New Roman" w:hAnsi="Times New Roman"/>
          <w:sz w:val="24"/>
          <w:szCs w:val="24"/>
          <w:vertAlign w:val="subscript"/>
        </w:rPr>
        <w:t>2</w:t>
      </w:r>
      <w:r w:rsidRPr="0002214E">
        <w:rPr>
          <w:rFonts w:ascii="Times New Roman" w:hAnsi="Times New Roman"/>
          <w:sz w:val="24"/>
          <w:szCs w:val="24"/>
        </w:rPr>
        <w:t xml:space="preserve"> em </w:t>
      </w:r>
      <w:r w:rsidRPr="00803231">
        <w:rPr>
          <w:rFonts w:ascii="Times New Roman" w:hAnsi="Times New Roman"/>
          <w:i/>
          <w:sz w:val="24"/>
          <w:szCs w:val="24"/>
        </w:rPr>
        <w:t>Saccharomyces cerevisiae</w:t>
      </w:r>
      <w:r>
        <w:rPr>
          <w:rFonts w:ascii="Times New Roman" w:hAnsi="Times New Roman"/>
          <w:sz w:val="24"/>
          <w:szCs w:val="24"/>
        </w:rPr>
        <w:t>……………………………………………………………………...74</w:t>
      </w:r>
    </w:p>
    <w:p w:rsidR="00150E0D" w:rsidRDefault="00150E0D" w:rsidP="00150E0D">
      <w:pPr>
        <w:pStyle w:val="PargrafodaLista"/>
        <w:numPr>
          <w:ilvl w:val="0"/>
          <w:numId w:val="18"/>
        </w:numPr>
        <w:tabs>
          <w:tab w:val="left" w:pos="426"/>
          <w:tab w:val="left" w:pos="1418"/>
        </w:tabs>
        <w:ind w:hanging="1080"/>
        <w:jc w:val="both"/>
        <w:rPr>
          <w:rFonts w:ascii="Times New Roman" w:hAnsi="Times New Roman"/>
          <w:sz w:val="24"/>
          <w:szCs w:val="24"/>
        </w:rPr>
      </w:pPr>
      <w:r>
        <w:rPr>
          <w:rFonts w:ascii="Times New Roman" w:hAnsi="Times New Roman"/>
          <w:sz w:val="24"/>
          <w:szCs w:val="24"/>
        </w:rPr>
        <w:t>Conclusões e perspectivas futuras………………………………………………..76</w:t>
      </w:r>
    </w:p>
    <w:p w:rsidR="00150E0D" w:rsidRDefault="00150E0D" w:rsidP="00150E0D">
      <w:pPr>
        <w:pStyle w:val="PargrafodaLista"/>
        <w:numPr>
          <w:ilvl w:val="0"/>
          <w:numId w:val="18"/>
        </w:numPr>
        <w:tabs>
          <w:tab w:val="left" w:pos="426"/>
          <w:tab w:val="left" w:pos="1418"/>
        </w:tabs>
        <w:ind w:hanging="1080"/>
        <w:jc w:val="both"/>
        <w:rPr>
          <w:rFonts w:ascii="Times New Roman" w:hAnsi="Times New Roman"/>
          <w:sz w:val="24"/>
          <w:szCs w:val="24"/>
        </w:rPr>
      </w:pPr>
      <w:r>
        <w:rPr>
          <w:rFonts w:ascii="Times New Roman" w:hAnsi="Times New Roman"/>
          <w:sz w:val="24"/>
          <w:szCs w:val="24"/>
        </w:rPr>
        <w:t>Referências Bibliográficas…………………………………………………………77</w:t>
      </w:r>
    </w:p>
    <w:p w:rsidR="00150E0D" w:rsidRDefault="00150E0D" w:rsidP="00150E0D">
      <w:pPr>
        <w:pStyle w:val="PargrafodaLista"/>
        <w:numPr>
          <w:ilvl w:val="0"/>
          <w:numId w:val="18"/>
        </w:numPr>
        <w:tabs>
          <w:tab w:val="left" w:pos="426"/>
          <w:tab w:val="left" w:pos="1418"/>
        </w:tabs>
        <w:ind w:hanging="1080"/>
        <w:jc w:val="both"/>
        <w:rPr>
          <w:rFonts w:ascii="Times New Roman" w:hAnsi="Times New Roman"/>
          <w:sz w:val="24"/>
          <w:szCs w:val="24"/>
        </w:rPr>
      </w:pPr>
      <w:r>
        <w:rPr>
          <w:rFonts w:ascii="Times New Roman" w:hAnsi="Times New Roman"/>
          <w:sz w:val="24"/>
          <w:szCs w:val="24"/>
        </w:rPr>
        <w:t>Anexos……………………………………………………………………………..8</w:t>
      </w:r>
      <w:r w:rsidR="00A7184E">
        <w:rPr>
          <w:rFonts w:ascii="Times New Roman" w:hAnsi="Times New Roman"/>
          <w:sz w:val="24"/>
          <w:szCs w:val="24"/>
        </w:rPr>
        <w:t>6</w:t>
      </w:r>
    </w:p>
    <w:p w:rsidR="00150E0D" w:rsidRDefault="00330F69" w:rsidP="00150E0D">
      <w:pPr>
        <w:pStyle w:val="PargrafodaLista"/>
        <w:tabs>
          <w:tab w:val="left" w:pos="426"/>
          <w:tab w:val="left" w:pos="1418"/>
        </w:tabs>
        <w:ind w:left="1080"/>
        <w:jc w:val="both"/>
        <w:rPr>
          <w:rFonts w:ascii="Times New Roman" w:hAnsi="Times New Roman"/>
          <w:sz w:val="24"/>
          <w:szCs w:val="24"/>
        </w:rPr>
      </w:pPr>
      <w:r>
        <w:rPr>
          <w:rFonts w:ascii="Times New Roman" w:hAnsi="Times New Roman"/>
          <w:sz w:val="24"/>
          <w:szCs w:val="24"/>
        </w:rPr>
        <w:t>Anexo</w:t>
      </w:r>
      <w:r w:rsidR="00150E0D">
        <w:rPr>
          <w:rFonts w:ascii="Times New Roman" w:hAnsi="Times New Roman"/>
          <w:sz w:val="24"/>
          <w:szCs w:val="24"/>
        </w:rPr>
        <w:t xml:space="preserve"> I…………………………………………………………………….</w:t>
      </w:r>
      <w:r>
        <w:rPr>
          <w:rFonts w:ascii="Times New Roman" w:hAnsi="Times New Roman"/>
          <w:sz w:val="24"/>
          <w:szCs w:val="24"/>
        </w:rPr>
        <w:t>.</w:t>
      </w:r>
      <w:r w:rsidR="00A7184E">
        <w:rPr>
          <w:rFonts w:ascii="Times New Roman" w:hAnsi="Times New Roman"/>
          <w:sz w:val="24"/>
          <w:szCs w:val="24"/>
        </w:rPr>
        <w:t>87</w:t>
      </w:r>
    </w:p>
    <w:p w:rsidR="00150E0D" w:rsidRDefault="00150E0D" w:rsidP="00150E0D">
      <w:pPr>
        <w:pStyle w:val="PargrafodaLista"/>
        <w:tabs>
          <w:tab w:val="left" w:pos="426"/>
          <w:tab w:val="left" w:pos="1418"/>
        </w:tabs>
        <w:ind w:left="1080"/>
        <w:jc w:val="both"/>
        <w:rPr>
          <w:rFonts w:ascii="Times New Roman" w:hAnsi="Times New Roman"/>
          <w:sz w:val="24"/>
          <w:szCs w:val="24"/>
        </w:rPr>
      </w:pPr>
      <w:r w:rsidRPr="00376E19">
        <w:rPr>
          <w:rFonts w:ascii="Times New Roman" w:hAnsi="Times New Roman"/>
          <w:sz w:val="24"/>
          <w:szCs w:val="24"/>
        </w:rPr>
        <w:t>A</w:t>
      </w:r>
      <w:r w:rsidR="00330F69">
        <w:rPr>
          <w:rFonts w:ascii="Times New Roman" w:hAnsi="Times New Roman"/>
          <w:sz w:val="24"/>
          <w:szCs w:val="24"/>
        </w:rPr>
        <w:t>nexo</w:t>
      </w:r>
      <w:r>
        <w:rPr>
          <w:rFonts w:ascii="Times New Roman" w:hAnsi="Times New Roman"/>
          <w:sz w:val="24"/>
          <w:szCs w:val="24"/>
        </w:rPr>
        <w:t xml:space="preserve"> II…………………………………………………………………...</w:t>
      </w:r>
      <w:r w:rsidR="00330F69">
        <w:rPr>
          <w:rFonts w:ascii="Times New Roman" w:hAnsi="Times New Roman"/>
          <w:sz w:val="24"/>
          <w:szCs w:val="24"/>
        </w:rPr>
        <w:t>..</w:t>
      </w:r>
      <w:r w:rsidR="00E111D9">
        <w:rPr>
          <w:rFonts w:ascii="Times New Roman" w:hAnsi="Times New Roman"/>
          <w:sz w:val="24"/>
          <w:szCs w:val="24"/>
        </w:rPr>
        <w:t>89</w:t>
      </w:r>
    </w:p>
    <w:p w:rsidR="00A7184E" w:rsidRPr="00376E19" w:rsidRDefault="00A7184E" w:rsidP="00150E0D">
      <w:pPr>
        <w:pStyle w:val="PargrafodaLista"/>
        <w:tabs>
          <w:tab w:val="left" w:pos="426"/>
          <w:tab w:val="left" w:pos="1418"/>
        </w:tabs>
        <w:ind w:left="1080"/>
        <w:jc w:val="both"/>
        <w:rPr>
          <w:rFonts w:ascii="Times New Roman" w:hAnsi="Times New Roman"/>
          <w:sz w:val="24"/>
          <w:szCs w:val="24"/>
        </w:rPr>
      </w:pPr>
    </w:p>
    <w:p w:rsidR="00150E0D" w:rsidRPr="0002214E" w:rsidRDefault="00150E0D" w:rsidP="00150E0D">
      <w:pPr>
        <w:pStyle w:val="PargrafodaLista"/>
        <w:tabs>
          <w:tab w:val="left" w:pos="993"/>
        </w:tabs>
        <w:ind w:left="2520"/>
        <w:jc w:val="both"/>
        <w:rPr>
          <w:rFonts w:ascii="Times New Roman" w:hAnsi="Times New Roman"/>
          <w:sz w:val="24"/>
          <w:szCs w:val="24"/>
        </w:rPr>
      </w:pPr>
    </w:p>
    <w:p w:rsidR="0009428A" w:rsidRDefault="0009428A" w:rsidP="006A3E92">
      <w:pPr>
        <w:spacing w:after="0" w:line="240" w:lineRule="auto"/>
        <w:rPr>
          <w:rFonts w:ascii="Times New Roman" w:hAnsi="Times New Roman"/>
          <w:sz w:val="24"/>
          <w:szCs w:val="24"/>
        </w:rPr>
      </w:pPr>
    </w:p>
    <w:p w:rsidR="00952157" w:rsidRDefault="00952157" w:rsidP="00CE572B">
      <w:pPr>
        <w:spacing w:after="0" w:line="240" w:lineRule="auto"/>
        <w:jc w:val="center"/>
        <w:rPr>
          <w:rFonts w:ascii="Times New Roman" w:hAnsi="Times New Roman"/>
          <w:sz w:val="24"/>
          <w:szCs w:val="24"/>
        </w:rPr>
      </w:pPr>
    </w:p>
    <w:p w:rsidR="0002214E" w:rsidRDefault="0002214E" w:rsidP="0002214E">
      <w:pPr>
        <w:pStyle w:val="PargrafodaLista"/>
        <w:tabs>
          <w:tab w:val="left" w:pos="993"/>
        </w:tabs>
        <w:ind w:left="2520"/>
        <w:jc w:val="both"/>
        <w:rPr>
          <w:rFonts w:ascii="Times New Roman" w:hAnsi="Times New Roman"/>
          <w:sz w:val="24"/>
          <w:szCs w:val="24"/>
        </w:rPr>
      </w:pPr>
    </w:p>
    <w:p w:rsidR="00E111D9" w:rsidRDefault="00E111D9" w:rsidP="0002214E">
      <w:pPr>
        <w:pStyle w:val="PargrafodaLista"/>
        <w:tabs>
          <w:tab w:val="left" w:pos="993"/>
        </w:tabs>
        <w:ind w:left="2520"/>
        <w:jc w:val="both"/>
        <w:rPr>
          <w:rFonts w:ascii="Times New Roman" w:hAnsi="Times New Roman"/>
          <w:sz w:val="24"/>
          <w:szCs w:val="24"/>
        </w:rPr>
      </w:pPr>
    </w:p>
    <w:p w:rsidR="00E111D9" w:rsidRPr="0002214E" w:rsidRDefault="00E111D9" w:rsidP="0002214E">
      <w:pPr>
        <w:pStyle w:val="PargrafodaLista"/>
        <w:tabs>
          <w:tab w:val="left" w:pos="993"/>
        </w:tabs>
        <w:ind w:left="2520"/>
        <w:jc w:val="both"/>
        <w:rPr>
          <w:rFonts w:ascii="Times New Roman" w:hAnsi="Times New Roman"/>
          <w:sz w:val="24"/>
          <w:szCs w:val="24"/>
        </w:rPr>
      </w:pPr>
    </w:p>
    <w:p w:rsidR="0002214E" w:rsidRPr="000F0A26" w:rsidRDefault="0002214E" w:rsidP="0002214E">
      <w:pPr>
        <w:pStyle w:val="PargrafodaLista"/>
        <w:tabs>
          <w:tab w:val="left" w:pos="426"/>
          <w:tab w:val="left" w:pos="709"/>
          <w:tab w:val="left" w:pos="1843"/>
        </w:tabs>
        <w:spacing w:after="0"/>
        <w:ind w:left="1800"/>
        <w:rPr>
          <w:rFonts w:ascii="Times New Roman" w:hAnsi="Times New Roman"/>
          <w:sz w:val="24"/>
          <w:szCs w:val="24"/>
        </w:rPr>
      </w:pPr>
    </w:p>
    <w:p w:rsidR="00952157" w:rsidRPr="009B4121" w:rsidRDefault="00952157" w:rsidP="00150E0D">
      <w:pPr>
        <w:spacing w:after="0" w:line="240" w:lineRule="auto"/>
        <w:rPr>
          <w:rFonts w:ascii="Times New Roman" w:hAnsi="Times New Roman"/>
          <w:szCs w:val="24"/>
        </w:rPr>
      </w:pPr>
    </w:p>
    <w:p w:rsidR="002D3E5D" w:rsidRPr="009B4121" w:rsidRDefault="002D3E5D" w:rsidP="002D3E5D">
      <w:pPr>
        <w:spacing w:after="0" w:line="240" w:lineRule="auto"/>
        <w:rPr>
          <w:rFonts w:ascii="Times New Roman" w:hAnsi="Times New Roman"/>
          <w:b/>
          <w:sz w:val="28"/>
          <w:szCs w:val="24"/>
        </w:rPr>
      </w:pPr>
      <w:r w:rsidRPr="009B4121">
        <w:rPr>
          <w:rFonts w:ascii="Times New Roman" w:hAnsi="Times New Roman"/>
          <w:b/>
          <w:sz w:val="28"/>
          <w:szCs w:val="24"/>
        </w:rPr>
        <w:t>Índice de Figuras</w:t>
      </w:r>
    </w:p>
    <w:p w:rsidR="002D3E5D" w:rsidRDefault="002D3E5D" w:rsidP="002D3E5D">
      <w:pPr>
        <w:spacing w:after="0" w:line="240" w:lineRule="auto"/>
        <w:jc w:val="center"/>
        <w:rPr>
          <w:rFonts w:ascii="Times New Roman" w:hAnsi="Times New Roman"/>
          <w:sz w:val="24"/>
          <w:szCs w:val="24"/>
        </w:rPr>
      </w:pPr>
    </w:p>
    <w:p w:rsidR="002D3E5D" w:rsidRDefault="002D3E5D" w:rsidP="002D3E5D">
      <w:pPr>
        <w:jc w:val="both"/>
        <w:rPr>
          <w:rFonts w:ascii="Times New Roman" w:hAnsi="Times New Roman"/>
          <w:sz w:val="24"/>
        </w:rPr>
      </w:pPr>
      <w:r>
        <w:rPr>
          <w:rFonts w:ascii="Times New Roman" w:hAnsi="Times New Roman"/>
          <w:sz w:val="24"/>
          <w:szCs w:val="24"/>
        </w:rPr>
        <w:t xml:space="preserve">Figura 1: </w:t>
      </w:r>
      <w:r w:rsidRPr="009B4121">
        <w:rPr>
          <w:rFonts w:ascii="Times New Roman" w:hAnsi="Times New Roman"/>
          <w:sz w:val="24"/>
          <w:szCs w:val="20"/>
        </w:rPr>
        <w:t>Representação esquemática da dieta tradicional Mediterrânica, destaque para o azeite enquanto principal fonte de gordura nesta dieta</w:t>
      </w:r>
      <w:r>
        <w:rPr>
          <w:rFonts w:ascii="Times New Roman" w:hAnsi="Times New Roman"/>
          <w:sz w:val="24"/>
          <w:szCs w:val="20"/>
        </w:rPr>
        <w:t>……………………………….17</w:t>
      </w:r>
      <w:r w:rsidRPr="009B4121">
        <w:rPr>
          <w:rFonts w:ascii="Times New Roman" w:hAnsi="Times New Roman"/>
          <w:sz w:val="24"/>
        </w:rPr>
        <w:t xml:space="preserve"> </w:t>
      </w:r>
    </w:p>
    <w:p w:rsidR="002D3E5D" w:rsidRDefault="002D3E5D" w:rsidP="002D3E5D">
      <w:pPr>
        <w:jc w:val="both"/>
        <w:rPr>
          <w:rFonts w:ascii="Times New Roman" w:hAnsi="Times New Roman"/>
          <w:sz w:val="24"/>
          <w:szCs w:val="20"/>
        </w:rPr>
      </w:pPr>
      <w:r>
        <w:rPr>
          <w:rFonts w:ascii="Times New Roman" w:hAnsi="Times New Roman"/>
          <w:sz w:val="24"/>
        </w:rPr>
        <w:t xml:space="preserve">Figura 2: </w:t>
      </w:r>
      <w:r w:rsidRPr="00F641EE">
        <w:rPr>
          <w:rFonts w:ascii="Times New Roman" w:hAnsi="Times New Roman"/>
          <w:sz w:val="24"/>
          <w:szCs w:val="20"/>
        </w:rPr>
        <w:t>Evolução da produção e consumo mundial de azeite entre os anos de 1990 e 2007</w:t>
      </w:r>
      <w:r>
        <w:rPr>
          <w:rFonts w:ascii="Times New Roman" w:hAnsi="Times New Roman"/>
          <w:sz w:val="24"/>
          <w:szCs w:val="20"/>
        </w:rPr>
        <w:t>…………………………………………………………………………………….19</w:t>
      </w:r>
    </w:p>
    <w:p w:rsidR="002D3E5D" w:rsidRDefault="002D3E5D" w:rsidP="002D3E5D">
      <w:pPr>
        <w:jc w:val="both"/>
        <w:rPr>
          <w:rFonts w:ascii="Times New Roman" w:hAnsi="Times New Roman"/>
          <w:b/>
          <w:sz w:val="20"/>
          <w:szCs w:val="20"/>
        </w:rPr>
      </w:pPr>
      <w:r>
        <w:rPr>
          <w:rFonts w:ascii="Times New Roman" w:hAnsi="Times New Roman"/>
          <w:sz w:val="24"/>
          <w:szCs w:val="20"/>
        </w:rPr>
        <w:t xml:space="preserve">Figura 3: </w:t>
      </w:r>
      <w:r w:rsidRPr="009B4121">
        <w:rPr>
          <w:rFonts w:ascii="Times New Roman" w:hAnsi="Times New Roman"/>
          <w:sz w:val="24"/>
          <w:szCs w:val="20"/>
        </w:rPr>
        <w:t xml:space="preserve">Estrutura química de um fenol simples, </w:t>
      </w:r>
      <w:r w:rsidRPr="002A41E6">
        <w:rPr>
          <w:rFonts w:ascii="Times New Roman" w:hAnsi="Times New Roman"/>
          <w:sz w:val="24"/>
          <w:szCs w:val="20"/>
        </w:rPr>
        <w:t>que se caracteriza por um</w:t>
      </w:r>
      <w:r w:rsidRPr="009B4121">
        <w:rPr>
          <w:rFonts w:ascii="Times New Roman" w:hAnsi="Times New Roman"/>
          <w:sz w:val="24"/>
          <w:szCs w:val="20"/>
        </w:rPr>
        <w:t xml:space="preserve"> com um grupo hidroxilo ligado a um anel aromático, </w:t>
      </w:r>
      <w:r>
        <w:rPr>
          <w:rFonts w:ascii="Times New Roman" w:hAnsi="Times New Roman"/>
          <w:sz w:val="24"/>
          <w:szCs w:val="20"/>
        </w:rPr>
        <w:t>com a</w:t>
      </w:r>
      <w:r w:rsidRPr="009B4121">
        <w:rPr>
          <w:rFonts w:ascii="Times New Roman" w:hAnsi="Times New Roman"/>
          <w:sz w:val="24"/>
          <w:szCs w:val="20"/>
        </w:rPr>
        <w:t xml:space="preserve"> fórmula geral C</w:t>
      </w:r>
      <w:r w:rsidRPr="009B4121">
        <w:rPr>
          <w:rFonts w:ascii="Times New Roman" w:hAnsi="Times New Roman"/>
          <w:sz w:val="24"/>
          <w:szCs w:val="20"/>
          <w:vertAlign w:val="subscript"/>
        </w:rPr>
        <w:t>6</w:t>
      </w:r>
      <w:r w:rsidRPr="009B4121">
        <w:rPr>
          <w:rFonts w:ascii="Times New Roman" w:hAnsi="Times New Roman"/>
          <w:sz w:val="24"/>
          <w:szCs w:val="20"/>
        </w:rPr>
        <w:t>H</w:t>
      </w:r>
      <w:r w:rsidRPr="009B4121">
        <w:rPr>
          <w:rFonts w:ascii="Times New Roman" w:hAnsi="Times New Roman"/>
          <w:sz w:val="24"/>
          <w:szCs w:val="20"/>
          <w:vertAlign w:val="subscript"/>
        </w:rPr>
        <w:t>5</w:t>
      </w:r>
      <w:r w:rsidRPr="009B4121">
        <w:rPr>
          <w:rFonts w:ascii="Times New Roman" w:hAnsi="Times New Roman"/>
          <w:sz w:val="24"/>
          <w:szCs w:val="20"/>
        </w:rPr>
        <w:t>OH</w:t>
      </w:r>
      <w:r>
        <w:rPr>
          <w:rFonts w:ascii="Times New Roman" w:hAnsi="Times New Roman"/>
          <w:sz w:val="24"/>
          <w:szCs w:val="20"/>
        </w:rPr>
        <w:t>………………………………………………………………………………...21</w:t>
      </w:r>
    </w:p>
    <w:p w:rsidR="002D3E5D" w:rsidRPr="009B4121" w:rsidRDefault="002D3E5D" w:rsidP="002D3E5D">
      <w:pPr>
        <w:jc w:val="both"/>
        <w:rPr>
          <w:rFonts w:ascii="Times New Roman" w:hAnsi="Times New Roman"/>
          <w:sz w:val="24"/>
          <w:szCs w:val="20"/>
        </w:rPr>
      </w:pPr>
      <w:r w:rsidRPr="009B4121">
        <w:rPr>
          <w:rFonts w:ascii="Times New Roman" w:hAnsi="Times New Roman"/>
          <w:sz w:val="24"/>
          <w:szCs w:val="20"/>
        </w:rPr>
        <w:t>Figura 4:</w:t>
      </w:r>
      <w:r>
        <w:rPr>
          <w:rFonts w:ascii="Times New Roman" w:hAnsi="Times New Roman"/>
          <w:sz w:val="24"/>
          <w:szCs w:val="20"/>
        </w:rPr>
        <w:t xml:space="preserve"> </w:t>
      </w:r>
      <w:r w:rsidRPr="009B4121">
        <w:rPr>
          <w:rFonts w:ascii="Times New Roman" w:hAnsi="Times New Roman"/>
          <w:sz w:val="24"/>
          <w:szCs w:val="20"/>
        </w:rPr>
        <w:t>Estrutura química dos principais compostos fenólicos constituintes do azeite: hidroxitirosol, oleuropeína, tirosol e álcool homovanílico</w:t>
      </w:r>
      <w:r>
        <w:rPr>
          <w:rFonts w:ascii="Times New Roman" w:hAnsi="Times New Roman"/>
          <w:sz w:val="24"/>
          <w:szCs w:val="20"/>
        </w:rPr>
        <w:t>……………………………22</w:t>
      </w:r>
    </w:p>
    <w:p w:rsidR="002D3E5D" w:rsidRPr="009B4121" w:rsidRDefault="002D3E5D" w:rsidP="002D3E5D">
      <w:pPr>
        <w:jc w:val="both"/>
        <w:rPr>
          <w:rFonts w:ascii="Times New Roman" w:hAnsi="Times New Roman"/>
          <w:sz w:val="24"/>
          <w:szCs w:val="20"/>
        </w:rPr>
      </w:pPr>
      <w:r w:rsidRPr="009B4121">
        <w:rPr>
          <w:rFonts w:ascii="Times New Roman" w:hAnsi="Times New Roman"/>
          <w:sz w:val="24"/>
          <w:szCs w:val="20"/>
        </w:rPr>
        <w:t xml:space="preserve">Figura 5: </w:t>
      </w:r>
      <w:r w:rsidRPr="003F7356">
        <w:rPr>
          <w:rFonts w:ascii="Times New Roman" w:hAnsi="Times New Roman"/>
          <w:color w:val="000000" w:themeColor="text1"/>
          <w:sz w:val="24"/>
        </w:rPr>
        <w:t>Estrutura química da molécula de Hidroxitirosol</w:t>
      </w:r>
      <w:r>
        <w:rPr>
          <w:rFonts w:ascii="Times New Roman" w:hAnsi="Times New Roman"/>
          <w:color w:val="000000" w:themeColor="text1"/>
          <w:sz w:val="24"/>
        </w:rPr>
        <w:t>……………………………23</w:t>
      </w:r>
    </w:p>
    <w:p w:rsidR="002D3E5D" w:rsidRPr="009B4121" w:rsidRDefault="002D3E5D" w:rsidP="002D3E5D">
      <w:pPr>
        <w:jc w:val="both"/>
        <w:rPr>
          <w:rFonts w:ascii="Times New Roman" w:hAnsi="Times New Roman"/>
          <w:color w:val="000000" w:themeColor="text1"/>
          <w:sz w:val="24"/>
        </w:rPr>
      </w:pPr>
      <w:r w:rsidRPr="00F641EE">
        <w:rPr>
          <w:rFonts w:ascii="Times New Roman" w:hAnsi="Times New Roman"/>
          <w:bCs/>
          <w:color w:val="000000" w:themeColor="text1"/>
          <w:sz w:val="24"/>
        </w:rPr>
        <w:t xml:space="preserve">Figura 6: </w:t>
      </w:r>
      <w:r w:rsidRPr="009B4121">
        <w:rPr>
          <w:rFonts w:ascii="Times New Roman" w:hAnsi="Times New Roman"/>
          <w:color w:val="000000" w:themeColor="text1"/>
          <w:sz w:val="24"/>
        </w:rPr>
        <w:t>Descrição dos diferentes métodos de extracção de azeite, com representação esquemática dos seus produtos e subprodutos resultantes. Destaque para o modo de obtenção do subproduto bagaço de azeitona extractado a partir do subproduto bagaço de azeitona húmido</w:t>
      </w:r>
      <w:r>
        <w:rPr>
          <w:rFonts w:ascii="Times New Roman" w:hAnsi="Times New Roman"/>
          <w:color w:val="000000" w:themeColor="text1"/>
          <w:sz w:val="24"/>
        </w:rPr>
        <w:t>………………………………………………………………………...26</w:t>
      </w:r>
    </w:p>
    <w:p w:rsidR="002D3E5D" w:rsidRPr="003513BA" w:rsidRDefault="002D3E5D" w:rsidP="002D3E5D">
      <w:pPr>
        <w:pStyle w:val="Legenda"/>
        <w:jc w:val="both"/>
        <w:rPr>
          <w:rFonts w:ascii="Times New Roman" w:hAnsi="Times New Roman"/>
          <w:b w:val="0"/>
          <w:bCs w:val="0"/>
          <w:color w:val="000000" w:themeColor="text1"/>
          <w:sz w:val="24"/>
          <w:szCs w:val="22"/>
        </w:rPr>
      </w:pPr>
      <w:r w:rsidRPr="003F7356">
        <w:rPr>
          <w:rFonts w:ascii="Times New Roman" w:hAnsi="Times New Roman"/>
          <w:b w:val="0"/>
          <w:color w:val="000000" w:themeColor="text1"/>
          <w:sz w:val="24"/>
        </w:rPr>
        <w:t>Figura 7:</w:t>
      </w:r>
      <w:r>
        <w:rPr>
          <w:rFonts w:ascii="Times New Roman" w:hAnsi="Times New Roman"/>
          <w:b w:val="0"/>
          <w:color w:val="000000" w:themeColor="text1"/>
          <w:sz w:val="24"/>
        </w:rPr>
        <w:t xml:space="preserve"> </w:t>
      </w:r>
      <w:r w:rsidRPr="003513BA">
        <w:rPr>
          <w:rFonts w:ascii="Times New Roman" w:hAnsi="Times New Roman"/>
          <w:b w:val="0"/>
          <w:bCs w:val="0"/>
          <w:color w:val="000000" w:themeColor="text1"/>
          <w:sz w:val="24"/>
          <w:szCs w:val="22"/>
        </w:rPr>
        <w:t xml:space="preserve">Ilustração de um modelo de filtração </w:t>
      </w:r>
      <w:r w:rsidRPr="003513BA">
        <w:rPr>
          <w:rFonts w:ascii="Times New Roman" w:hAnsi="Times New Roman"/>
          <w:b w:val="0"/>
          <w:bCs w:val="0"/>
          <w:i/>
          <w:color w:val="000000" w:themeColor="text1"/>
          <w:sz w:val="24"/>
          <w:szCs w:val="22"/>
        </w:rPr>
        <w:t>cross-flow</w:t>
      </w:r>
      <w:r>
        <w:rPr>
          <w:rFonts w:ascii="Times New Roman" w:hAnsi="Times New Roman"/>
          <w:b w:val="0"/>
          <w:bCs w:val="0"/>
          <w:color w:val="000000" w:themeColor="text1"/>
          <w:sz w:val="24"/>
          <w:szCs w:val="22"/>
        </w:rPr>
        <w:t>…………………………….30</w:t>
      </w:r>
    </w:p>
    <w:p w:rsidR="002D3E5D" w:rsidRPr="003513BA" w:rsidRDefault="002D3E5D" w:rsidP="002D3E5D">
      <w:pPr>
        <w:pStyle w:val="Legenda"/>
        <w:jc w:val="both"/>
        <w:rPr>
          <w:rFonts w:ascii="Times New Roman" w:hAnsi="Times New Roman"/>
          <w:b w:val="0"/>
          <w:bCs w:val="0"/>
          <w:color w:val="000000" w:themeColor="text1"/>
          <w:sz w:val="24"/>
          <w:szCs w:val="22"/>
        </w:rPr>
      </w:pPr>
      <w:r w:rsidRPr="00F641EE">
        <w:rPr>
          <w:rFonts w:ascii="Times New Roman" w:hAnsi="Times New Roman"/>
          <w:b w:val="0"/>
          <w:color w:val="000000" w:themeColor="text1"/>
          <w:sz w:val="24"/>
        </w:rPr>
        <w:t>Figura 8</w:t>
      </w:r>
      <w:r w:rsidRPr="003513BA">
        <w:rPr>
          <w:rFonts w:ascii="Times New Roman" w:hAnsi="Times New Roman"/>
          <w:b w:val="0"/>
          <w:bCs w:val="0"/>
          <w:color w:val="000000" w:themeColor="text1"/>
          <w:sz w:val="24"/>
          <w:szCs w:val="22"/>
        </w:rPr>
        <w:t>: Ilustração da reacção de redução do radical livre 2,2-difenil-1-picrilhidrazilo (DPPH), através da doação de um átomo de hidrogénio por um agente antioxidante, com formação da forma não radical DPPH-H</w:t>
      </w:r>
      <w:r>
        <w:rPr>
          <w:rFonts w:ascii="Times New Roman" w:hAnsi="Times New Roman"/>
          <w:b w:val="0"/>
          <w:bCs w:val="0"/>
          <w:color w:val="000000" w:themeColor="text1"/>
          <w:sz w:val="24"/>
          <w:szCs w:val="22"/>
        </w:rPr>
        <w:t>…………………………………………32</w:t>
      </w:r>
    </w:p>
    <w:p w:rsidR="002D3E5D" w:rsidRDefault="002D3E5D" w:rsidP="002D3E5D">
      <w:pPr>
        <w:pStyle w:val="Legenda"/>
        <w:jc w:val="both"/>
        <w:rPr>
          <w:rFonts w:ascii="Times New Roman" w:hAnsi="Times New Roman"/>
          <w:b w:val="0"/>
          <w:bCs w:val="0"/>
          <w:color w:val="000000" w:themeColor="text1"/>
          <w:sz w:val="24"/>
          <w:szCs w:val="22"/>
        </w:rPr>
      </w:pPr>
      <w:r w:rsidRPr="003513BA">
        <w:rPr>
          <w:rFonts w:ascii="Times New Roman" w:hAnsi="Times New Roman"/>
          <w:b w:val="0"/>
          <w:color w:val="000000" w:themeColor="text1"/>
          <w:sz w:val="24"/>
        </w:rPr>
        <w:t>Fgura 9:</w:t>
      </w:r>
      <w:r>
        <w:rPr>
          <w:rFonts w:ascii="Times New Roman" w:hAnsi="Times New Roman"/>
          <w:color w:val="000000" w:themeColor="text1"/>
          <w:sz w:val="24"/>
        </w:rPr>
        <w:t xml:space="preserve"> </w:t>
      </w:r>
      <w:r w:rsidRPr="00840996">
        <w:rPr>
          <w:rFonts w:ascii="Times New Roman" w:hAnsi="Times New Roman"/>
          <w:b w:val="0"/>
          <w:bCs w:val="0"/>
          <w:color w:val="000000" w:themeColor="text1"/>
          <w:sz w:val="24"/>
          <w:szCs w:val="22"/>
        </w:rPr>
        <w:t>Taxa mundial de incidência de cancro d mama. As taxas de incidência reportam-se a 100.000 indivíduos do sexo feminino e a todas as faixas etárias</w:t>
      </w:r>
      <w:r>
        <w:rPr>
          <w:rFonts w:ascii="Times New Roman" w:hAnsi="Times New Roman"/>
          <w:b w:val="0"/>
          <w:bCs w:val="0"/>
          <w:color w:val="000000" w:themeColor="text1"/>
          <w:sz w:val="24"/>
          <w:szCs w:val="22"/>
        </w:rPr>
        <w:t>………36</w:t>
      </w:r>
    </w:p>
    <w:p w:rsidR="002D3E5D" w:rsidRPr="00840996" w:rsidRDefault="002D3E5D" w:rsidP="002D3E5D">
      <w:pPr>
        <w:jc w:val="both"/>
        <w:rPr>
          <w:rFonts w:ascii="Times New Roman" w:hAnsi="Times New Roman"/>
          <w:color w:val="000000" w:themeColor="text1"/>
          <w:sz w:val="24"/>
        </w:rPr>
      </w:pPr>
      <w:r w:rsidRPr="00F641EE">
        <w:rPr>
          <w:rFonts w:ascii="Times New Roman" w:hAnsi="Times New Roman"/>
          <w:sz w:val="24"/>
        </w:rPr>
        <w:t>Figura 10</w:t>
      </w:r>
      <w:r>
        <w:rPr>
          <w:rFonts w:ascii="Times New Roman" w:hAnsi="Times New Roman"/>
          <w:sz w:val="24"/>
        </w:rPr>
        <w:t xml:space="preserve">: </w:t>
      </w:r>
      <w:r w:rsidRPr="00840996">
        <w:rPr>
          <w:rFonts w:ascii="Times New Roman" w:hAnsi="Times New Roman"/>
          <w:color w:val="000000" w:themeColor="text1"/>
          <w:sz w:val="24"/>
        </w:rPr>
        <w:t>Taxas de incidência e mortalidade por cancro em Portugal. Ambas as taxas reportam-se a indivíduos de ambos os sexos e de todas as faixas etárias. Destaque para o cancro da mama com a segunda maior incidência de cancro em Portugal</w:t>
      </w:r>
      <w:r>
        <w:rPr>
          <w:rFonts w:ascii="Times New Roman" w:hAnsi="Times New Roman"/>
          <w:color w:val="000000" w:themeColor="text1"/>
          <w:sz w:val="24"/>
        </w:rPr>
        <w:t>…………….36</w:t>
      </w:r>
    </w:p>
    <w:p w:rsidR="002D3E5D" w:rsidRDefault="002D3E5D" w:rsidP="002D3E5D">
      <w:pPr>
        <w:jc w:val="both"/>
        <w:rPr>
          <w:rFonts w:ascii="Times New Roman" w:hAnsi="Times New Roman"/>
          <w:sz w:val="24"/>
        </w:rPr>
      </w:pPr>
      <w:r>
        <w:rPr>
          <w:rFonts w:ascii="Times New Roman" w:hAnsi="Times New Roman"/>
          <w:sz w:val="24"/>
        </w:rPr>
        <w:t>Figura 11:</w:t>
      </w:r>
      <w:r w:rsidRPr="00CB632C">
        <w:rPr>
          <w:rFonts w:ascii="Times New Roman" w:hAnsi="Times New Roman"/>
          <w:sz w:val="24"/>
          <w:szCs w:val="24"/>
        </w:rPr>
        <w:t xml:space="preserve"> </w:t>
      </w:r>
      <w:r w:rsidRPr="00F86C5D">
        <w:rPr>
          <w:rFonts w:ascii="Times New Roman" w:hAnsi="Times New Roman"/>
          <w:sz w:val="24"/>
        </w:rPr>
        <w:t xml:space="preserve">Ilustrações do processo </w:t>
      </w:r>
      <w:r>
        <w:rPr>
          <w:rFonts w:ascii="Times New Roman" w:hAnsi="Times New Roman"/>
          <w:sz w:val="24"/>
        </w:rPr>
        <w:t>de obtenção do extracto aquoso</w:t>
      </w:r>
      <w:r w:rsidRPr="00F86C5D">
        <w:rPr>
          <w:rFonts w:ascii="Times New Roman" w:hAnsi="Times New Roman"/>
          <w:sz w:val="24"/>
        </w:rPr>
        <w:t xml:space="preserve"> de </w:t>
      </w:r>
      <w:r>
        <w:rPr>
          <w:rFonts w:ascii="Times New Roman" w:hAnsi="Times New Roman"/>
          <w:sz w:val="24"/>
        </w:rPr>
        <w:t>BAE</w:t>
      </w:r>
      <w:r w:rsidRPr="00F86C5D">
        <w:rPr>
          <w:rFonts w:ascii="Times New Roman" w:hAnsi="Times New Roman"/>
          <w:sz w:val="24"/>
        </w:rPr>
        <w:t xml:space="preserve">. Da esquerda para a direita: homogeneização do BAE, agitação, extracto aquoso após primeira agitação, centrifugação, e obtenção do extracto final o </w:t>
      </w:r>
      <w:r>
        <w:rPr>
          <w:rFonts w:ascii="Times New Roman" w:hAnsi="Times New Roman"/>
          <w:sz w:val="24"/>
        </w:rPr>
        <w:t>EB………………………………………………………………………………………45</w:t>
      </w:r>
    </w:p>
    <w:p w:rsidR="002D3E5D" w:rsidRDefault="002D3E5D" w:rsidP="002D3E5D">
      <w:pPr>
        <w:jc w:val="both"/>
        <w:rPr>
          <w:rFonts w:ascii="Times New Roman" w:hAnsi="Times New Roman"/>
          <w:sz w:val="24"/>
        </w:rPr>
      </w:pPr>
      <w:r w:rsidRPr="00F86C5D">
        <w:rPr>
          <w:rFonts w:ascii="Times New Roman" w:hAnsi="Times New Roman"/>
          <w:sz w:val="24"/>
          <w:szCs w:val="24"/>
        </w:rPr>
        <w:t>Figura 12</w:t>
      </w:r>
      <w:r>
        <w:rPr>
          <w:rFonts w:ascii="Times New Roman" w:hAnsi="Times New Roman"/>
          <w:sz w:val="24"/>
          <w:szCs w:val="24"/>
        </w:rPr>
        <w:t>:</w:t>
      </w:r>
      <w:r w:rsidRPr="00CB632C">
        <w:rPr>
          <w:rFonts w:ascii="Times New Roman" w:hAnsi="Times New Roman"/>
          <w:sz w:val="24"/>
          <w:szCs w:val="20"/>
        </w:rPr>
        <w:t xml:space="preserve"> </w:t>
      </w:r>
      <w:r w:rsidRPr="00F86C5D">
        <w:rPr>
          <w:rFonts w:ascii="Times New Roman" w:hAnsi="Times New Roman"/>
          <w:sz w:val="24"/>
          <w:szCs w:val="24"/>
        </w:rPr>
        <w:t>Ilustração dos tubo</w:t>
      </w:r>
      <w:r>
        <w:rPr>
          <w:rFonts w:ascii="Times New Roman" w:hAnsi="Times New Roman"/>
          <w:sz w:val="24"/>
          <w:szCs w:val="24"/>
        </w:rPr>
        <w:t>s de centrifugação após cada ci</w:t>
      </w:r>
      <w:r w:rsidRPr="00F86C5D">
        <w:rPr>
          <w:rFonts w:ascii="Times New Roman" w:hAnsi="Times New Roman"/>
          <w:sz w:val="24"/>
          <w:szCs w:val="24"/>
        </w:rPr>
        <w:t>clo de extracção. De salientar a cor do extracto que se torna cada vez menos intensa durante o processo de extracção de compostos fenólicos, correspondendo o tubo mais à esquerda ao primeiro ciclo de extracção de onde se extraiu a maior quantidade de fenóis</w:t>
      </w:r>
      <w:r>
        <w:rPr>
          <w:rFonts w:ascii="Times New Roman" w:hAnsi="Times New Roman"/>
          <w:sz w:val="24"/>
          <w:szCs w:val="24"/>
        </w:rPr>
        <w:t>…………………45</w:t>
      </w:r>
    </w:p>
    <w:p w:rsidR="002D3E5D" w:rsidRDefault="002D3E5D" w:rsidP="002D3E5D">
      <w:pPr>
        <w:jc w:val="both"/>
        <w:rPr>
          <w:rFonts w:ascii="Times New Roman" w:hAnsi="Times New Roman"/>
          <w:sz w:val="24"/>
          <w:szCs w:val="24"/>
        </w:rPr>
      </w:pPr>
      <w:r>
        <w:rPr>
          <w:rFonts w:ascii="Times New Roman" w:hAnsi="Times New Roman"/>
          <w:sz w:val="24"/>
          <w:szCs w:val="24"/>
        </w:rPr>
        <w:t xml:space="preserve">Figura 13: </w:t>
      </w:r>
      <w:r w:rsidRPr="00F86C5D">
        <w:rPr>
          <w:rFonts w:ascii="Times New Roman" w:hAnsi="Times New Roman"/>
          <w:sz w:val="24"/>
          <w:szCs w:val="20"/>
        </w:rPr>
        <w:t>Representação esquemática da obtenção de extractos aquosos concentrados de bagaço de azeitona extractado a partir do extracto bruto pela tecnologia limpa de membranas nanofiltração e osmose inversa</w:t>
      </w:r>
      <w:r>
        <w:rPr>
          <w:rFonts w:ascii="Times New Roman" w:hAnsi="Times New Roman"/>
          <w:sz w:val="24"/>
          <w:szCs w:val="20"/>
        </w:rPr>
        <w:t>……………………………………………47</w:t>
      </w:r>
    </w:p>
    <w:p w:rsidR="002D3E5D" w:rsidRDefault="002D3E5D" w:rsidP="002D3E5D">
      <w:pPr>
        <w:jc w:val="both"/>
        <w:rPr>
          <w:rFonts w:ascii="Times New Roman" w:hAnsi="Times New Roman"/>
          <w:sz w:val="24"/>
          <w:szCs w:val="20"/>
        </w:rPr>
      </w:pPr>
      <w:r>
        <w:rPr>
          <w:rFonts w:ascii="Times New Roman" w:hAnsi="Times New Roman"/>
          <w:sz w:val="24"/>
          <w:szCs w:val="20"/>
        </w:rPr>
        <w:lastRenderedPageBreak/>
        <w:t xml:space="preserve">Figura 14: </w:t>
      </w:r>
      <w:r w:rsidRPr="00F86C5D">
        <w:rPr>
          <w:rFonts w:ascii="Times New Roman" w:hAnsi="Times New Roman"/>
          <w:sz w:val="24"/>
          <w:szCs w:val="20"/>
        </w:rPr>
        <w:t xml:space="preserve">Representação esquemática do modelo de filtração de membranas </w:t>
      </w:r>
      <w:r w:rsidRPr="00F86C5D">
        <w:rPr>
          <w:rFonts w:ascii="Times New Roman" w:hAnsi="Times New Roman"/>
          <w:i/>
          <w:sz w:val="24"/>
          <w:szCs w:val="20"/>
        </w:rPr>
        <w:t>Crossflow</w:t>
      </w:r>
      <w:r w:rsidRPr="00F86C5D">
        <w:rPr>
          <w:rFonts w:ascii="Times New Roman" w:hAnsi="Times New Roman"/>
          <w:sz w:val="24"/>
          <w:szCs w:val="20"/>
        </w:rPr>
        <w:t xml:space="preserve"> utilizado para a obtenção de extractos aquosos concentrados de bagaço de azeitona extractado</w:t>
      </w:r>
      <w:r>
        <w:rPr>
          <w:rFonts w:ascii="Times New Roman" w:hAnsi="Times New Roman"/>
          <w:sz w:val="24"/>
          <w:szCs w:val="20"/>
        </w:rPr>
        <w:t>……………………………………………………………………………….47</w:t>
      </w:r>
    </w:p>
    <w:p w:rsidR="002D3E5D" w:rsidRDefault="002D3E5D" w:rsidP="002D3E5D">
      <w:pPr>
        <w:jc w:val="both"/>
        <w:rPr>
          <w:rFonts w:ascii="Times New Roman" w:hAnsi="Times New Roman"/>
          <w:sz w:val="24"/>
        </w:rPr>
      </w:pPr>
      <w:r>
        <w:rPr>
          <w:rFonts w:ascii="Times New Roman" w:hAnsi="Times New Roman"/>
          <w:sz w:val="24"/>
          <w:szCs w:val="20"/>
        </w:rPr>
        <w:t xml:space="preserve">Figura 15: </w:t>
      </w:r>
      <w:r w:rsidRPr="00F86C5D">
        <w:rPr>
          <w:rFonts w:ascii="Times New Roman" w:hAnsi="Times New Roman"/>
          <w:sz w:val="24"/>
        </w:rPr>
        <w:t xml:space="preserve">(A) Ilustração do sistema de membranas </w:t>
      </w:r>
      <w:r w:rsidRPr="00F86C5D">
        <w:rPr>
          <w:rFonts w:ascii="Times New Roman" w:hAnsi="Times New Roman"/>
          <w:i/>
          <w:sz w:val="24"/>
        </w:rPr>
        <w:t>SEPA-CELL CF II system</w:t>
      </w:r>
      <w:r w:rsidRPr="00F86C5D">
        <w:rPr>
          <w:rFonts w:ascii="Times New Roman" w:hAnsi="Times New Roman"/>
          <w:sz w:val="24"/>
        </w:rPr>
        <w:t xml:space="preserve"> utilizado nos processos de nanofiltração e osmose inversa; (B) ilustração da</w:t>
      </w:r>
      <w:r>
        <w:rPr>
          <w:rFonts w:ascii="Times New Roman" w:hAnsi="Times New Roman"/>
          <w:sz w:val="24"/>
        </w:rPr>
        <w:t xml:space="preserve"> membrana polimérica comercial </w:t>
      </w:r>
      <w:r w:rsidRPr="00F86C5D">
        <w:rPr>
          <w:rFonts w:ascii="Times New Roman" w:hAnsi="Times New Roman"/>
          <w:i/>
          <w:sz w:val="24"/>
        </w:rPr>
        <w:t>Polyamide Thin-Film Composite</w:t>
      </w:r>
      <w:r w:rsidRPr="00F86C5D">
        <w:rPr>
          <w:rFonts w:ascii="Times New Roman" w:hAnsi="Times New Roman"/>
          <w:sz w:val="24"/>
        </w:rPr>
        <w:t xml:space="preserve"> NF270 após ter sido utilizada no processo de nanofiltração</w:t>
      </w:r>
      <w:r>
        <w:rPr>
          <w:rFonts w:ascii="Times New Roman" w:hAnsi="Times New Roman"/>
          <w:sz w:val="24"/>
        </w:rPr>
        <w:t>………………………………………………………………48</w:t>
      </w:r>
    </w:p>
    <w:p w:rsidR="002D3E5D" w:rsidRPr="001B4568" w:rsidRDefault="002D3E5D" w:rsidP="002D3E5D">
      <w:pPr>
        <w:pStyle w:val="Legenda"/>
        <w:spacing w:line="276" w:lineRule="auto"/>
        <w:jc w:val="both"/>
        <w:rPr>
          <w:rFonts w:ascii="Times New Roman" w:hAnsi="Times New Roman"/>
          <w:b w:val="0"/>
          <w:color w:val="auto"/>
          <w:sz w:val="24"/>
        </w:rPr>
      </w:pPr>
      <w:r w:rsidRPr="00CB632C">
        <w:rPr>
          <w:rFonts w:ascii="Times New Roman" w:hAnsi="Times New Roman"/>
          <w:b w:val="0"/>
          <w:color w:val="auto"/>
          <w:sz w:val="24"/>
          <w:szCs w:val="24"/>
        </w:rPr>
        <w:t xml:space="preserve">Figura </w:t>
      </w:r>
      <w:r w:rsidRPr="00CB632C">
        <w:rPr>
          <w:rFonts w:ascii="Times New Roman" w:hAnsi="Times New Roman"/>
          <w:b w:val="0"/>
          <w:bCs w:val="0"/>
          <w:color w:val="auto"/>
          <w:sz w:val="24"/>
          <w:szCs w:val="20"/>
        </w:rPr>
        <w:t xml:space="preserve">16: </w:t>
      </w:r>
      <w:r w:rsidRPr="001B4568">
        <w:rPr>
          <w:rFonts w:ascii="Times New Roman" w:hAnsi="Times New Roman"/>
          <w:b w:val="0"/>
          <w:color w:val="auto"/>
          <w:sz w:val="24"/>
        </w:rPr>
        <w:t xml:space="preserve">Concentração de fenóis totais presente em cada um dos extractos de aquosos concentrados de BAE: EPC, ERC e EB. Destaque para o ERC que demonstrou a maior concentração em fenóis totais de entre os três extractos, e para o EPC que apresentou a menor concentração. Os valores vêm afectados dos erros padrões médios, obtidos pelos triplicados efectuados de cada extracto independentemente. Grupos sem letras em comum são significativamente diferentes, </w:t>
      </w:r>
      <w:r w:rsidRPr="001B4568">
        <w:rPr>
          <w:rFonts w:ascii="Times New Roman" w:hAnsi="Times New Roman"/>
          <w:b w:val="0"/>
          <w:i/>
          <w:color w:val="auto"/>
          <w:sz w:val="24"/>
        </w:rPr>
        <w:t>P</w:t>
      </w:r>
      <w:r w:rsidRPr="001B4568">
        <w:rPr>
          <w:rFonts w:ascii="Times New Roman" w:hAnsi="Times New Roman"/>
          <w:b w:val="0"/>
          <w:color w:val="auto"/>
          <w:sz w:val="24"/>
        </w:rPr>
        <w:t xml:space="preserve"> &lt; 0,05</w:t>
      </w:r>
      <w:r>
        <w:rPr>
          <w:rFonts w:ascii="Times New Roman" w:hAnsi="Times New Roman"/>
          <w:b w:val="0"/>
          <w:color w:val="auto"/>
          <w:sz w:val="24"/>
        </w:rPr>
        <w:t>……………………………………59</w:t>
      </w:r>
    </w:p>
    <w:p w:rsidR="002D3E5D" w:rsidRPr="00A02571" w:rsidRDefault="002D3E5D" w:rsidP="002D3E5D">
      <w:pPr>
        <w:pStyle w:val="Legenda"/>
        <w:spacing w:line="276" w:lineRule="auto"/>
        <w:jc w:val="both"/>
        <w:rPr>
          <w:rFonts w:ascii="Times New Roman" w:hAnsi="Times New Roman"/>
          <w:b w:val="0"/>
          <w:color w:val="auto"/>
          <w:sz w:val="24"/>
        </w:rPr>
      </w:pPr>
      <w:r w:rsidRPr="00CB632C">
        <w:rPr>
          <w:rFonts w:ascii="Times New Roman" w:hAnsi="Times New Roman"/>
          <w:b w:val="0"/>
          <w:bCs w:val="0"/>
          <w:color w:val="auto"/>
          <w:sz w:val="24"/>
          <w:szCs w:val="20"/>
        </w:rPr>
        <w:t xml:space="preserve">Figura 17: </w:t>
      </w:r>
      <w:r w:rsidRPr="00A02571">
        <w:rPr>
          <w:rFonts w:ascii="Times New Roman" w:hAnsi="Times New Roman"/>
          <w:b w:val="0"/>
          <w:color w:val="auto"/>
          <w:sz w:val="24"/>
        </w:rPr>
        <w:t>Cromatogramas obtidos por HPLC do subproduto BAE (A), e de BAE com co-injecção de Hidroxitirosol (100µg/mL) (B). Destaque para o aumento do pico no cromatograma de BAE com co-injecção (B), correspondendo ao tempo de retenção do composto Hidroxitirosol</w:t>
      </w:r>
      <w:r>
        <w:rPr>
          <w:rFonts w:ascii="Times New Roman" w:hAnsi="Times New Roman"/>
          <w:b w:val="0"/>
          <w:color w:val="auto"/>
          <w:sz w:val="24"/>
        </w:rPr>
        <w:t>………………………………………………………………..61</w:t>
      </w:r>
    </w:p>
    <w:p w:rsidR="002D3E5D" w:rsidRPr="00A02571" w:rsidRDefault="002D3E5D" w:rsidP="002D3E5D">
      <w:pPr>
        <w:pStyle w:val="Legenda"/>
        <w:tabs>
          <w:tab w:val="left" w:pos="284"/>
        </w:tabs>
        <w:spacing w:line="276" w:lineRule="auto"/>
        <w:jc w:val="both"/>
        <w:rPr>
          <w:rFonts w:ascii="Times New Roman" w:hAnsi="Times New Roman"/>
          <w:b w:val="0"/>
          <w:color w:val="auto"/>
          <w:sz w:val="24"/>
        </w:rPr>
      </w:pPr>
      <w:r w:rsidRPr="00A02571">
        <w:rPr>
          <w:rFonts w:ascii="Times New Roman" w:hAnsi="Times New Roman"/>
          <w:b w:val="0"/>
          <w:color w:val="auto"/>
          <w:sz w:val="24"/>
        </w:rPr>
        <w:t>Figura 18: Quantificação de Hidroxitirosol presente em cada um dos extractos aquosos concentrados de BAE. Cromatogramas obtidos por HPLC do padrão Hidroxitirosol à concentração de 0,2mg/mL (A), e dos extractos EB (B), ERC (C) e EPC</w:t>
      </w:r>
      <w:r>
        <w:rPr>
          <w:rFonts w:ascii="Times New Roman" w:hAnsi="Times New Roman"/>
          <w:b w:val="0"/>
          <w:color w:val="auto"/>
          <w:sz w:val="24"/>
        </w:rPr>
        <w:t xml:space="preserve"> (D)………..61</w:t>
      </w:r>
    </w:p>
    <w:p w:rsidR="002D3E5D" w:rsidRPr="002352DE" w:rsidRDefault="002D3E5D" w:rsidP="002D3E5D">
      <w:pPr>
        <w:pStyle w:val="Legenda"/>
        <w:spacing w:line="276" w:lineRule="auto"/>
        <w:jc w:val="both"/>
        <w:rPr>
          <w:rFonts w:ascii="Times New Roman" w:hAnsi="Times New Roman"/>
          <w:b w:val="0"/>
          <w:color w:val="auto"/>
          <w:sz w:val="24"/>
        </w:rPr>
      </w:pPr>
      <w:r w:rsidRPr="002352DE">
        <w:rPr>
          <w:rFonts w:ascii="Times New Roman" w:hAnsi="Times New Roman"/>
          <w:b w:val="0"/>
          <w:color w:val="auto"/>
          <w:sz w:val="24"/>
        </w:rPr>
        <w:t>Figura 19: Concentração de Hidroxitirosol presente em cada um dos extractos aquosos concentrados de BAE: EPC, ERC e EB. Destaque para o ERC que demonstrou a maior concentração em Hidroxitirosol de entre os três extractos, e para o EPC que apresentou a menor concentração deste fenol. Os valores vêm afectados dos erros padrões médios, obtidos pelos triplicados efectuados de cada extracto independentemente. Grupos com letras diferentes são significativamente diferentes, P &lt; 0,05</w:t>
      </w:r>
      <w:r>
        <w:rPr>
          <w:rFonts w:ascii="Times New Roman" w:hAnsi="Times New Roman"/>
          <w:b w:val="0"/>
          <w:color w:val="auto"/>
          <w:sz w:val="24"/>
        </w:rPr>
        <w:t>…………………………</w:t>
      </w:r>
      <w:r w:rsidRPr="002352DE">
        <w:rPr>
          <w:rFonts w:ascii="Times New Roman" w:hAnsi="Times New Roman"/>
          <w:b w:val="0"/>
          <w:color w:val="auto"/>
          <w:sz w:val="24"/>
        </w:rPr>
        <w:t>.</w:t>
      </w:r>
      <w:r>
        <w:rPr>
          <w:rFonts w:ascii="Times New Roman" w:hAnsi="Times New Roman"/>
          <w:b w:val="0"/>
          <w:color w:val="auto"/>
          <w:sz w:val="24"/>
        </w:rPr>
        <w:t>62</w:t>
      </w:r>
    </w:p>
    <w:p w:rsidR="002D3E5D" w:rsidRPr="002352DE" w:rsidRDefault="002D3E5D" w:rsidP="002D3E5D">
      <w:pPr>
        <w:pStyle w:val="Legenda"/>
        <w:spacing w:line="276" w:lineRule="auto"/>
        <w:jc w:val="both"/>
        <w:rPr>
          <w:rFonts w:ascii="Times New Roman" w:hAnsi="Times New Roman"/>
          <w:b w:val="0"/>
          <w:color w:val="auto"/>
          <w:sz w:val="24"/>
        </w:rPr>
      </w:pPr>
      <w:r w:rsidRPr="002352DE">
        <w:rPr>
          <w:rFonts w:ascii="Times New Roman" w:hAnsi="Times New Roman"/>
          <w:b w:val="0"/>
          <w:color w:val="auto"/>
          <w:sz w:val="24"/>
        </w:rPr>
        <w:t>Figura 20: Ilustrações de uma das réplicas dos ensaios de (A) DPPH e de (B) poder redutor realizados com os extractos aquosos concentrados de BAE. Da esquerda para a direita encontram-se as concentrações crescentes testadas para cada extracto, verificando-se a alteração de cor da solução como consequência da actividade antioxidante exercida pelas diferentes concentrações testadas nos extractos (fonte própria)</w:t>
      </w:r>
      <w:r>
        <w:rPr>
          <w:rFonts w:ascii="Times New Roman" w:hAnsi="Times New Roman"/>
          <w:b w:val="0"/>
          <w:color w:val="auto"/>
          <w:sz w:val="24"/>
        </w:rPr>
        <w:t>…………………………………………………………………………………65</w:t>
      </w:r>
    </w:p>
    <w:p w:rsidR="002D3E5D" w:rsidRDefault="002D3E5D" w:rsidP="002D3E5D">
      <w:pPr>
        <w:pStyle w:val="Legenda"/>
        <w:spacing w:line="276" w:lineRule="auto"/>
        <w:jc w:val="both"/>
        <w:rPr>
          <w:rFonts w:ascii="Times New Roman" w:hAnsi="Times New Roman"/>
          <w:b w:val="0"/>
          <w:color w:val="auto"/>
          <w:sz w:val="24"/>
        </w:rPr>
      </w:pPr>
      <w:r w:rsidRPr="002352DE">
        <w:rPr>
          <w:rFonts w:ascii="Times New Roman" w:hAnsi="Times New Roman"/>
          <w:b w:val="0"/>
          <w:color w:val="auto"/>
          <w:sz w:val="24"/>
        </w:rPr>
        <w:t>Figura 21: Avaliação da capacidade antioxidante dos extractos aquosos concentrados de BAE: EB, EPC e ERC, pelo método de DPPH, utilizando como padrões o BHA, o α-tocoferol e o HT. Os valores vêm afectados dos erros padrões médios, obtidos pelos triplicados efectuados de cada extracto e padrão independentemente. Grupos sem letras em comum são significativamente diferentes, P &lt; 0,05</w:t>
      </w:r>
      <w:r>
        <w:rPr>
          <w:rFonts w:ascii="Times New Roman" w:hAnsi="Times New Roman"/>
          <w:b w:val="0"/>
          <w:color w:val="auto"/>
          <w:sz w:val="24"/>
        </w:rPr>
        <w:t>………………………………66</w:t>
      </w:r>
    </w:p>
    <w:p w:rsidR="002D3E5D" w:rsidRPr="002352DE" w:rsidRDefault="002D3E5D" w:rsidP="002D3E5D">
      <w:pPr>
        <w:pStyle w:val="Legenda"/>
        <w:spacing w:line="276" w:lineRule="auto"/>
        <w:jc w:val="both"/>
        <w:rPr>
          <w:rFonts w:ascii="Times New Roman" w:hAnsi="Times New Roman"/>
          <w:b w:val="0"/>
          <w:color w:val="auto"/>
          <w:sz w:val="24"/>
        </w:rPr>
      </w:pPr>
      <w:r w:rsidRPr="002352DE">
        <w:rPr>
          <w:rFonts w:ascii="Times New Roman" w:hAnsi="Times New Roman"/>
          <w:b w:val="0"/>
          <w:color w:val="auto"/>
          <w:sz w:val="24"/>
        </w:rPr>
        <w:lastRenderedPageBreak/>
        <w:t>Figura 22: Avaliação da capacidade antioxidante dos extractos aquosos concentrados de BAE: EB, EPC e ERC, pelo método do poder redutor, utilizando como padrões o BHA, o α-tocoferol e o HT. Os valores vêm afectados dos erros padrões médios, obtidos pelos triplicados efectuados de cada extracto e padrão independentemente. Grupos sem letras em comum são significativamente diferentes, P &lt; 0,05</w:t>
      </w:r>
      <w:r>
        <w:rPr>
          <w:rFonts w:ascii="Times New Roman" w:hAnsi="Times New Roman"/>
          <w:b w:val="0"/>
          <w:color w:val="auto"/>
          <w:sz w:val="24"/>
        </w:rPr>
        <w:t>………………………………..66</w:t>
      </w:r>
    </w:p>
    <w:p w:rsidR="002D3E5D" w:rsidRPr="002352DE" w:rsidRDefault="002D3E5D" w:rsidP="002D3E5D">
      <w:pPr>
        <w:jc w:val="both"/>
        <w:rPr>
          <w:rFonts w:ascii="Times New Roman" w:hAnsi="Times New Roman"/>
          <w:bCs/>
          <w:sz w:val="24"/>
          <w:szCs w:val="18"/>
        </w:rPr>
      </w:pPr>
      <w:r w:rsidRPr="002352DE">
        <w:rPr>
          <w:rFonts w:ascii="Times New Roman" w:hAnsi="Times New Roman"/>
          <w:bCs/>
          <w:sz w:val="24"/>
          <w:szCs w:val="18"/>
        </w:rPr>
        <w:t>Figura 23: Efeito da concentração do padr</w:t>
      </w:r>
      <w:r>
        <w:rPr>
          <w:rFonts w:ascii="Times New Roman" w:hAnsi="Times New Roman"/>
          <w:bCs/>
          <w:sz w:val="24"/>
          <w:szCs w:val="18"/>
        </w:rPr>
        <w:t>ão de referência Hidroxitirosol</w:t>
      </w:r>
      <w:r w:rsidRPr="002352DE">
        <w:rPr>
          <w:rFonts w:ascii="Times New Roman" w:hAnsi="Times New Roman"/>
          <w:bCs/>
          <w:sz w:val="24"/>
          <w:szCs w:val="18"/>
        </w:rPr>
        <w:t xml:space="preserve"> no crescimento celular de células MDA-MB-231. As células foram incubadas durante 48h, com concentrações crescentes de Hidroxitirosol (6 – 6487μM). Como controlo foram utilizadas células MDA-MB-231 sem tratamento com o composto fenólico referido. Os valores vêm afectados dos erros padrões médios, obtidos pelos triplicados efectuados, independentemente, para cada uma das concentrações testadas</w:t>
      </w:r>
      <w:r>
        <w:rPr>
          <w:rFonts w:ascii="Times New Roman" w:hAnsi="Times New Roman"/>
          <w:bCs/>
          <w:sz w:val="24"/>
          <w:szCs w:val="18"/>
        </w:rPr>
        <w:t>………………………68</w:t>
      </w:r>
    </w:p>
    <w:p w:rsidR="002D3E5D" w:rsidRDefault="002D3E5D" w:rsidP="002D3E5D">
      <w:pPr>
        <w:autoSpaceDE w:val="0"/>
        <w:autoSpaceDN w:val="0"/>
        <w:adjustRightInd w:val="0"/>
        <w:jc w:val="both"/>
        <w:rPr>
          <w:rFonts w:ascii="Times New Roman" w:hAnsi="Times New Roman"/>
          <w:bCs/>
          <w:sz w:val="24"/>
          <w:szCs w:val="18"/>
        </w:rPr>
      </w:pPr>
      <w:r>
        <w:rPr>
          <w:rFonts w:ascii="Times New Roman" w:hAnsi="Times New Roman"/>
          <w:bCs/>
          <w:sz w:val="24"/>
          <w:szCs w:val="18"/>
        </w:rPr>
        <w:t xml:space="preserve">Figura 24: </w:t>
      </w:r>
      <w:r w:rsidRPr="0083301A">
        <w:rPr>
          <w:rFonts w:ascii="Times New Roman" w:hAnsi="Times New Roman"/>
          <w:bCs/>
          <w:sz w:val="24"/>
          <w:szCs w:val="18"/>
        </w:rPr>
        <w:t xml:space="preserve">Efeito da concentração do EB de BAE no crescimento celular de células MDA-MB-231. As células foram incubadas durante 48h, com concentrações crescentes de extracto expressas em unidades mássicas (100 – 1500μg/mL) e em concentração de Hidroxitirosol presente na concentração mássica de cada extracto (8 - 1196μM). Como controlo foram utilizadas células MDA-MB-231 sem tratamento de extracto. Os valores vêm afectados dos erros padrões médios, obtidos pelos triplicados efectuados, independentemente, para cada </w:t>
      </w:r>
      <w:r>
        <w:rPr>
          <w:rFonts w:ascii="Times New Roman" w:hAnsi="Times New Roman"/>
          <w:bCs/>
          <w:sz w:val="24"/>
          <w:szCs w:val="18"/>
        </w:rPr>
        <w:t>uma das concentrações testadas………………………69</w:t>
      </w:r>
    </w:p>
    <w:p w:rsidR="002D3E5D" w:rsidRPr="0083301A" w:rsidRDefault="002D3E5D" w:rsidP="002D3E5D">
      <w:pPr>
        <w:autoSpaceDE w:val="0"/>
        <w:autoSpaceDN w:val="0"/>
        <w:adjustRightInd w:val="0"/>
        <w:jc w:val="both"/>
        <w:rPr>
          <w:rFonts w:ascii="Times New Roman" w:hAnsi="Times New Roman"/>
          <w:bCs/>
          <w:sz w:val="24"/>
          <w:szCs w:val="18"/>
        </w:rPr>
      </w:pPr>
      <w:r>
        <w:rPr>
          <w:rFonts w:ascii="Times New Roman" w:hAnsi="Times New Roman"/>
          <w:bCs/>
          <w:sz w:val="24"/>
          <w:szCs w:val="18"/>
        </w:rPr>
        <w:t xml:space="preserve">Figura 25: </w:t>
      </w:r>
      <w:r w:rsidRPr="0083301A">
        <w:rPr>
          <w:rFonts w:ascii="Times New Roman" w:hAnsi="Times New Roman"/>
          <w:bCs/>
          <w:sz w:val="24"/>
          <w:szCs w:val="18"/>
        </w:rPr>
        <w:t>Efeito da concentração do EPC de BAE no crescimento celular de células MDA-MB-231. As células foram incubadas durante 48h, com concentrações crescentes de extracto expressas em unidades mássicas (100 – 1500μg/mL) e em concentração de Hidroxitirosol presente na concentração mássica de cada extracto (3 - 468μM). Como controlo foram utilizadas células MDA-MB-231 sem tratamento de extracto. Os valores vêm afectados dos erros padrões médios, obtidos pelos triplicados efectuados, independentemente, para cada uma das concentrações testadas</w:t>
      </w:r>
      <w:r>
        <w:rPr>
          <w:rFonts w:ascii="Times New Roman" w:hAnsi="Times New Roman"/>
          <w:bCs/>
          <w:sz w:val="24"/>
          <w:szCs w:val="18"/>
        </w:rPr>
        <w:t>……………………….69</w:t>
      </w:r>
      <w:r w:rsidRPr="0083301A">
        <w:rPr>
          <w:rFonts w:ascii="Times New Roman" w:hAnsi="Times New Roman"/>
          <w:bCs/>
          <w:sz w:val="24"/>
          <w:szCs w:val="18"/>
        </w:rPr>
        <w:t xml:space="preserve"> </w:t>
      </w:r>
    </w:p>
    <w:p w:rsidR="002D3E5D" w:rsidRPr="0083301A" w:rsidRDefault="002D3E5D" w:rsidP="002D3E5D">
      <w:pPr>
        <w:autoSpaceDE w:val="0"/>
        <w:autoSpaceDN w:val="0"/>
        <w:adjustRightInd w:val="0"/>
        <w:jc w:val="both"/>
        <w:rPr>
          <w:rFonts w:ascii="Times New Roman" w:hAnsi="Times New Roman"/>
          <w:bCs/>
          <w:sz w:val="24"/>
          <w:szCs w:val="18"/>
        </w:rPr>
      </w:pPr>
      <w:r>
        <w:rPr>
          <w:rFonts w:ascii="Times New Roman" w:hAnsi="Times New Roman"/>
          <w:bCs/>
          <w:sz w:val="24"/>
          <w:szCs w:val="18"/>
        </w:rPr>
        <w:t xml:space="preserve">Figura 26: </w:t>
      </w:r>
      <w:r w:rsidRPr="0083301A">
        <w:rPr>
          <w:rFonts w:ascii="Times New Roman" w:hAnsi="Times New Roman"/>
          <w:bCs/>
          <w:sz w:val="24"/>
          <w:szCs w:val="18"/>
        </w:rPr>
        <w:t>Efeito da concentração do ERC de BAE no crescimento celular de células MDA-MB-231. As células foram incubadas durante 48h, com concentrações crescentes de extracto expressas em expressas em unidades mássicas (100 – 1500μg/mL) e em concentração de Hidroxitirosol presente na concentração mássica de cada extracto (8 - 1207μM). Como controlo foram utilizadas células MDA-MB-231 sem tratamento de extracto. Os valores vêm afectados dos erros padrões médios, obtidos pelos triplicados efectuados, independentemente, para cada uma das concentrações testadas……</w:t>
      </w:r>
      <w:r>
        <w:rPr>
          <w:rFonts w:ascii="Times New Roman" w:hAnsi="Times New Roman"/>
          <w:bCs/>
          <w:sz w:val="24"/>
          <w:szCs w:val="18"/>
        </w:rPr>
        <w:t>……70</w:t>
      </w:r>
    </w:p>
    <w:p w:rsidR="002D3E5D" w:rsidRDefault="002D3E5D" w:rsidP="002D3E5D">
      <w:pPr>
        <w:jc w:val="both"/>
        <w:rPr>
          <w:rFonts w:ascii="Times New Roman" w:hAnsi="Times New Roman"/>
          <w:bCs/>
          <w:sz w:val="24"/>
          <w:szCs w:val="18"/>
        </w:rPr>
      </w:pPr>
      <w:r w:rsidRPr="0083301A">
        <w:rPr>
          <w:rFonts w:ascii="Times New Roman" w:hAnsi="Times New Roman"/>
          <w:bCs/>
          <w:sz w:val="24"/>
          <w:szCs w:val="18"/>
        </w:rPr>
        <w:t>Figura 27: Determinação dos valores de IC</w:t>
      </w:r>
      <w:r w:rsidRPr="006569A9">
        <w:rPr>
          <w:rFonts w:ascii="Times New Roman" w:hAnsi="Times New Roman"/>
          <w:bCs/>
          <w:sz w:val="24"/>
          <w:szCs w:val="18"/>
          <w:vertAlign w:val="subscript"/>
        </w:rPr>
        <w:t>50</w:t>
      </w:r>
      <w:r w:rsidRPr="0083301A">
        <w:rPr>
          <w:rFonts w:ascii="Times New Roman" w:hAnsi="Times New Roman"/>
          <w:bCs/>
          <w:sz w:val="24"/>
          <w:szCs w:val="18"/>
        </w:rPr>
        <w:t xml:space="preserve"> relativos à viabilidade celular em termos de crescimento das células MDA-MB-231, incubadas durante 48h com concentrações crescentes de Hidroxitirosol. Os valores vêm afectados dos erros padrões médios, obtidos pelos triplicados efectuados, independentemente, para cada uma das concentrações testadas</w:t>
      </w:r>
      <w:r>
        <w:rPr>
          <w:rFonts w:ascii="Times New Roman" w:hAnsi="Times New Roman"/>
          <w:bCs/>
          <w:sz w:val="24"/>
          <w:szCs w:val="18"/>
        </w:rPr>
        <w:t>………………………………………………………………….70</w:t>
      </w:r>
    </w:p>
    <w:p w:rsidR="002D3E5D" w:rsidRDefault="002D3E5D" w:rsidP="002D3E5D">
      <w:pPr>
        <w:pStyle w:val="PargrafodaLista"/>
        <w:tabs>
          <w:tab w:val="left" w:pos="993"/>
        </w:tabs>
        <w:ind w:left="0"/>
        <w:jc w:val="both"/>
        <w:rPr>
          <w:rFonts w:ascii="Times New Roman" w:hAnsi="Times New Roman"/>
          <w:bCs/>
          <w:sz w:val="24"/>
          <w:szCs w:val="18"/>
        </w:rPr>
      </w:pPr>
      <w:r w:rsidRPr="006569A9">
        <w:rPr>
          <w:rFonts w:ascii="Times New Roman" w:hAnsi="Times New Roman"/>
          <w:bCs/>
          <w:sz w:val="24"/>
          <w:szCs w:val="18"/>
        </w:rPr>
        <w:t>Figura 28: Determinação dos valores de IC</w:t>
      </w:r>
      <w:r w:rsidRPr="006569A9">
        <w:rPr>
          <w:rFonts w:ascii="Times New Roman" w:hAnsi="Times New Roman"/>
          <w:bCs/>
          <w:sz w:val="24"/>
          <w:szCs w:val="18"/>
          <w:vertAlign w:val="subscript"/>
        </w:rPr>
        <w:t>50</w:t>
      </w:r>
      <w:r w:rsidRPr="006569A9">
        <w:rPr>
          <w:rFonts w:ascii="Times New Roman" w:hAnsi="Times New Roman"/>
          <w:bCs/>
          <w:sz w:val="24"/>
          <w:szCs w:val="18"/>
        </w:rPr>
        <w:t xml:space="preserve"> relativos à viabilidade celular em termos de crescimento das células MDA-MB-231, incubadas durante 48h com concentrações crescentes de EB de BAE. Os valores vêm afectados dos erros padrões médios, obtidos </w:t>
      </w:r>
      <w:r w:rsidRPr="006569A9">
        <w:rPr>
          <w:rFonts w:ascii="Times New Roman" w:hAnsi="Times New Roman"/>
          <w:bCs/>
          <w:sz w:val="24"/>
          <w:szCs w:val="18"/>
        </w:rPr>
        <w:lastRenderedPageBreak/>
        <w:t>pelos triplicados efectuados, independentemente, para cada uma das concentrações testadas</w:t>
      </w:r>
      <w:r>
        <w:rPr>
          <w:rFonts w:ascii="Times New Roman" w:hAnsi="Times New Roman"/>
          <w:bCs/>
          <w:sz w:val="24"/>
          <w:szCs w:val="18"/>
        </w:rPr>
        <w:t>………………………………………………………………………………….71</w:t>
      </w:r>
    </w:p>
    <w:p w:rsidR="002D3E5D" w:rsidRPr="006569A9" w:rsidRDefault="002D3E5D" w:rsidP="002D3E5D">
      <w:pPr>
        <w:pStyle w:val="PargrafodaLista"/>
        <w:tabs>
          <w:tab w:val="left" w:pos="993"/>
        </w:tabs>
        <w:ind w:left="0"/>
        <w:jc w:val="both"/>
        <w:rPr>
          <w:rFonts w:ascii="Times New Roman" w:hAnsi="Times New Roman"/>
          <w:bCs/>
          <w:sz w:val="24"/>
          <w:szCs w:val="18"/>
        </w:rPr>
      </w:pPr>
    </w:p>
    <w:p w:rsidR="002D3E5D" w:rsidRDefault="002D3E5D" w:rsidP="002D3E5D">
      <w:pPr>
        <w:pStyle w:val="PargrafodaLista"/>
        <w:tabs>
          <w:tab w:val="left" w:pos="993"/>
        </w:tabs>
        <w:ind w:left="0"/>
        <w:jc w:val="both"/>
        <w:rPr>
          <w:rFonts w:ascii="Times New Roman" w:hAnsi="Times New Roman"/>
          <w:bCs/>
          <w:sz w:val="24"/>
          <w:szCs w:val="18"/>
        </w:rPr>
      </w:pPr>
      <w:r w:rsidRPr="006569A9">
        <w:rPr>
          <w:rFonts w:ascii="Times New Roman" w:hAnsi="Times New Roman"/>
          <w:bCs/>
          <w:sz w:val="24"/>
          <w:szCs w:val="18"/>
        </w:rPr>
        <w:t>Figura 2</w:t>
      </w:r>
      <w:r>
        <w:rPr>
          <w:rFonts w:ascii="Times New Roman" w:hAnsi="Times New Roman"/>
          <w:bCs/>
          <w:sz w:val="24"/>
          <w:szCs w:val="18"/>
        </w:rPr>
        <w:t>9</w:t>
      </w:r>
      <w:r w:rsidRPr="006569A9">
        <w:rPr>
          <w:rFonts w:ascii="Times New Roman" w:hAnsi="Times New Roman"/>
          <w:bCs/>
          <w:sz w:val="24"/>
          <w:szCs w:val="18"/>
        </w:rPr>
        <w:t>: Determinação dos valores de IC</w:t>
      </w:r>
      <w:r w:rsidRPr="006569A9">
        <w:rPr>
          <w:rFonts w:ascii="Times New Roman" w:hAnsi="Times New Roman"/>
          <w:bCs/>
          <w:sz w:val="24"/>
          <w:szCs w:val="18"/>
          <w:vertAlign w:val="subscript"/>
        </w:rPr>
        <w:t>50</w:t>
      </w:r>
      <w:r w:rsidRPr="006569A9">
        <w:rPr>
          <w:rFonts w:ascii="Times New Roman" w:hAnsi="Times New Roman"/>
          <w:bCs/>
          <w:sz w:val="24"/>
          <w:szCs w:val="18"/>
        </w:rPr>
        <w:t xml:space="preserve"> relativos à viabilidade celular em termos de crescimento das células MDA-MB-231, incubadas durante 48h co</w:t>
      </w:r>
      <w:r>
        <w:rPr>
          <w:rFonts w:ascii="Times New Roman" w:hAnsi="Times New Roman"/>
          <w:bCs/>
          <w:sz w:val="24"/>
          <w:szCs w:val="18"/>
        </w:rPr>
        <w:t>m concentrações crescentes de EPC</w:t>
      </w:r>
      <w:r w:rsidRPr="006569A9">
        <w:rPr>
          <w:rFonts w:ascii="Times New Roman" w:hAnsi="Times New Roman"/>
          <w:bCs/>
          <w:sz w:val="24"/>
          <w:szCs w:val="18"/>
        </w:rPr>
        <w:t xml:space="preserve"> de BAE. Os valores vêm afectados dos erros padrões médios, obtidos pelos triplicados efectuados, independentemente, para cada uma das concentrações testadas</w:t>
      </w:r>
      <w:r>
        <w:rPr>
          <w:rFonts w:ascii="Times New Roman" w:hAnsi="Times New Roman"/>
          <w:bCs/>
          <w:sz w:val="24"/>
          <w:szCs w:val="18"/>
        </w:rPr>
        <w:t>………………………………………………………………………………….71</w:t>
      </w:r>
      <w:r w:rsidRPr="006569A9">
        <w:rPr>
          <w:rFonts w:ascii="Times New Roman" w:hAnsi="Times New Roman"/>
          <w:bCs/>
          <w:sz w:val="24"/>
          <w:szCs w:val="18"/>
        </w:rPr>
        <w:t xml:space="preserve"> </w:t>
      </w:r>
    </w:p>
    <w:p w:rsidR="002D3E5D" w:rsidRPr="006569A9" w:rsidRDefault="002D3E5D" w:rsidP="002D3E5D">
      <w:pPr>
        <w:pStyle w:val="PargrafodaLista"/>
        <w:tabs>
          <w:tab w:val="left" w:pos="993"/>
        </w:tabs>
        <w:ind w:left="0"/>
        <w:jc w:val="both"/>
        <w:rPr>
          <w:rFonts w:ascii="Times New Roman" w:hAnsi="Times New Roman"/>
          <w:bCs/>
          <w:sz w:val="24"/>
          <w:szCs w:val="18"/>
        </w:rPr>
      </w:pPr>
    </w:p>
    <w:p w:rsidR="002D3E5D" w:rsidRPr="006569A9" w:rsidRDefault="002D3E5D" w:rsidP="002D3E5D">
      <w:pPr>
        <w:pStyle w:val="PargrafodaLista"/>
        <w:tabs>
          <w:tab w:val="left" w:pos="993"/>
        </w:tabs>
        <w:ind w:left="0"/>
        <w:jc w:val="both"/>
        <w:rPr>
          <w:rFonts w:ascii="Times New Roman" w:hAnsi="Times New Roman"/>
          <w:bCs/>
          <w:sz w:val="24"/>
          <w:szCs w:val="18"/>
        </w:rPr>
      </w:pPr>
      <w:r w:rsidRPr="006569A9">
        <w:rPr>
          <w:rFonts w:ascii="Times New Roman" w:hAnsi="Times New Roman"/>
          <w:bCs/>
          <w:sz w:val="24"/>
          <w:szCs w:val="18"/>
        </w:rPr>
        <w:t xml:space="preserve">Figura </w:t>
      </w:r>
      <w:r>
        <w:rPr>
          <w:rFonts w:ascii="Times New Roman" w:hAnsi="Times New Roman"/>
          <w:bCs/>
          <w:sz w:val="24"/>
          <w:szCs w:val="18"/>
        </w:rPr>
        <w:t>30</w:t>
      </w:r>
      <w:r w:rsidRPr="006569A9">
        <w:rPr>
          <w:rFonts w:ascii="Times New Roman" w:hAnsi="Times New Roman"/>
          <w:bCs/>
          <w:sz w:val="24"/>
          <w:szCs w:val="18"/>
        </w:rPr>
        <w:t>: Determinação dos valores de IC</w:t>
      </w:r>
      <w:r w:rsidRPr="006569A9">
        <w:rPr>
          <w:rFonts w:ascii="Times New Roman" w:hAnsi="Times New Roman"/>
          <w:bCs/>
          <w:sz w:val="24"/>
          <w:szCs w:val="18"/>
          <w:vertAlign w:val="subscript"/>
        </w:rPr>
        <w:t>50</w:t>
      </w:r>
      <w:r w:rsidRPr="006569A9">
        <w:rPr>
          <w:rFonts w:ascii="Times New Roman" w:hAnsi="Times New Roman"/>
          <w:bCs/>
          <w:sz w:val="24"/>
          <w:szCs w:val="18"/>
        </w:rPr>
        <w:t xml:space="preserve"> relativos à viabilidade celular em termos de crescimento das células MDA-MB-231, incubadas durante 48h co</w:t>
      </w:r>
      <w:r>
        <w:rPr>
          <w:rFonts w:ascii="Times New Roman" w:hAnsi="Times New Roman"/>
          <w:bCs/>
          <w:sz w:val="24"/>
          <w:szCs w:val="18"/>
        </w:rPr>
        <w:t>m concentrações crescentes de ERC</w:t>
      </w:r>
      <w:r w:rsidRPr="006569A9">
        <w:rPr>
          <w:rFonts w:ascii="Times New Roman" w:hAnsi="Times New Roman"/>
          <w:bCs/>
          <w:sz w:val="24"/>
          <w:szCs w:val="18"/>
        </w:rPr>
        <w:t xml:space="preserve"> de BAE. Os valores vêm afectados dos erros padrões médios, obtidos pelos triplicados efectuados, independentemente, para cada </w:t>
      </w:r>
      <w:r>
        <w:rPr>
          <w:rFonts w:ascii="Times New Roman" w:hAnsi="Times New Roman"/>
          <w:bCs/>
          <w:sz w:val="24"/>
          <w:szCs w:val="18"/>
        </w:rPr>
        <w:t>uma das concentrações testadas…………………………………………………………………72</w:t>
      </w:r>
    </w:p>
    <w:p w:rsidR="002D3E5D" w:rsidRPr="00133165" w:rsidRDefault="002D3E5D" w:rsidP="002D3E5D">
      <w:pPr>
        <w:pStyle w:val="Legenda"/>
        <w:jc w:val="both"/>
        <w:rPr>
          <w:rFonts w:ascii="Times New Roman" w:hAnsi="Times New Roman"/>
          <w:b w:val="0"/>
          <w:color w:val="auto"/>
          <w:sz w:val="24"/>
        </w:rPr>
      </w:pPr>
      <w:r w:rsidRPr="00133165">
        <w:rPr>
          <w:rFonts w:ascii="Times New Roman" w:hAnsi="Times New Roman"/>
          <w:b w:val="0"/>
          <w:color w:val="auto"/>
          <w:sz w:val="24"/>
        </w:rPr>
        <w:t>Figura 3</w:t>
      </w:r>
      <w:r w:rsidR="00A5023D">
        <w:rPr>
          <w:rFonts w:ascii="Times New Roman" w:hAnsi="Times New Roman"/>
          <w:b w:val="0"/>
          <w:color w:val="auto"/>
          <w:sz w:val="24"/>
        </w:rPr>
        <w:t>1</w:t>
      </w:r>
      <w:r w:rsidRPr="00133165">
        <w:rPr>
          <w:rFonts w:ascii="Times New Roman" w:hAnsi="Times New Roman"/>
          <w:b w:val="0"/>
          <w:color w:val="auto"/>
          <w:sz w:val="24"/>
        </w:rPr>
        <w:t>: Curvas de crescimento de Saccharomyces cerevisiae durante 9h de incubação com o agente oxidante peróxido de hidrogénio (Controlo negativo), sem o agente oxidante e sem extracto (Controlo positivo), com peróxido de hidrogénio e com diferentes extractos derivados do BAE (EB, EPC e ERC), e sem peróxido de hidrogénio e com os três extractos derivados do BAE (Controlo EB</w:t>
      </w:r>
      <w:r>
        <w:rPr>
          <w:rFonts w:ascii="Times New Roman" w:hAnsi="Times New Roman"/>
          <w:b w:val="0"/>
          <w:color w:val="auto"/>
          <w:sz w:val="24"/>
        </w:rPr>
        <w:t>, Controlo EPC e Controlo ERC).…………………………………………………………………………………...89</w:t>
      </w:r>
    </w:p>
    <w:p w:rsidR="002D3E5D" w:rsidRDefault="002D3E5D" w:rsidP="002D3E5D">
      <w:pPr>
        <w:jc w:val="both"/>
        <w:rPr>
          <w:rFonts w:ascii="Times New Roman" w:hAnsi="Times New Roman"/>
          <w:bCs/>
          <w:sz w:val="24"/>
          <w:szCs w:val="18"/>
        </w:rPr>
      </w:pPr>
    </w:p>
    <w:p w:rsidR="002D3E5D" w:rsidRDefault="002D3E5D" w:rsidP="002D3E5D">
      <w:pPr>
        <w:jc w:val="both"/>
        <w:rPr>
          <w:rFonts w:ascii="Times New Roman" w:hAnsi="Times New Roman"/>
          <w:bCs/>
          <w:sz w:val="24"/>
          <w:szCs w:val="18"/>
        </w:rPr>
      </w:pPr>
    </w:p>
    <w:p w:rsidR="002D3E5D" w:rsidRDefault="002D3E5D" w:rsidP="002D3E5D">
      <w:pPr>
        <w:jc w:val="both"/>
        <w:rPr>
          <w:rFonts w:ascii="Times New Roman" w:hAnsi="Times New Roman"/>
          <w:bCs/>
          <w:sz w:val="24"/>
          <w:szCs w:val="18"/>
        </w:rPr>
      </w:pPr>
    </w:p>
    <w:p w:rsidR="002D3E5D" w:rsidRPr="00A02571" w:rsidRDefault="002D3E5D" w:rsidP="002D3E5D">
      <w:pPr>
        <w:jc w:val="both"/>
        <w:rPr>
          <w:rFonts w:ascii="Times New Roman" w:hAnsi="Times New Roman"/>
          <w:bCs/>
          <w:sz w:val="24"/>
          <w:szCs w:val="18"/>
        </w:rPr>
      </w:pPr>
    </w:p>
    <w:p w:rsidR="002D3E5D" w:rsidRPr="00CB632C" w:rsidRDefault="002D3E5D" w:rsidP="002D3E5D">
      <w:pPr>
        <w:jc w:val="both"/>
        <w:rPr>
          <w:rFonts w:ascii="Times New Roman" w:hAnsi="Times New Roman"/>
          <w:sz w:val="24"/>
          <w:szCs w:val="24"/>
        </w:rPr>
      </w:pPr>
    </w:p>
    <w:p w:rsidR="002D3E5D" w:rsidRDefault="002D3E5D" w:rsidP="002D3E5D">
      <w:pPr>
        <w:spacing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line="240" w:lineRule="auto"/>
        <w:jc w:val="center"/>
        <w:rPr>
          <w:rFonts w:ascii="Times New Roman" w:hAnsi="Times New Roman"/>
          <w:sz w:val="24"/>
          <w:szCs w:val="24"/>
        </w:rPr>
      </w:pPr>
    </w:p>
    <w:p w:rsidR="002D3E5D" w:rsidRDefault="002D3E5D" w:rsidP="002D3E5D">
      <w:pPr>
        <w:spacing w:after="0"/>
        <w:rPr>
          <w:rFonts w:ascii="Times New Roman" w:hAnsi="Times New Roman"/>
          <w:sz w:val="24"/>
          <w:szCs w:val="24"/>
        </w:rPr>
      </w:pPr>
    </w:p>
    <w:p w:rsidR="00527929" w:rsidRDefault="00527929" w:rsidP="002D3E5D">
      <w:pPr>
        <w:spacing w:after="0"/>
        <w:rPr>
          <w:rFonts w:ascii="Times New Roman" w:hAnsi="Times New Roman"/>
          <w:sz w:val="24"/>
          <w:szCs w:val="24"/>
        </w:rPr>
      </w:pPr>
    </w:p>
    <w:p w:rsidR="00527929" w:rsidRDefault="00527929" w:rsidP="002D3E5D">
      <w:pPr>
        <w:spacing w:after="0"/>
        <w:rPr>
          <w:rFonts w:ascii="Times New Roman" w:hAnsi="Times New Roman"/>
          <w:sz w:val="24"/>
          <w:szCs w:val="24"/>
        </w:rPr>
      </w:pPr>
    </w:p>
    <w:p w:rsidR="002D3E5D" w:rsidRDefault="002D3E5D" w:rsidP="002D3E5D">
      <w:pPr>
        <w:spacing w:after="0"/>
        <w:rPr>
          <w:rFonts w:ascii="Times New Roman" w:hAnsi="Times New Roman"/>
          <w:sz w:val="24"/>
          <w:szCs w:val="24"/>
        </w:rPr>
      </w:pPr>
    </w:p>
    <w:p w:rsidR="002D3E5D" w:rsidRDefault="002D3E5D" w:rsidP="002D3E5D">
      <w:pPr>
        <w:spacing w:after="0"/>
        <w:rPr>
          <w:rFonts w:ascii="Times New Roman" w:hAnsi="Times New Roman"/>
          <w:b/>
          <w:sz w:val="28"/>
          <w:szCs w:val="24"/>
        </w:rPr>
      </w:pPr>
      <w:r w:rsidRPr="009B4121">
        <w:rPr>
          <w:rFonts w:ascii="Times New Roman" w:hAnsi="Times New Roman"/>
          <w:b/>
          <w:sz w:val="28"/>
          <w:szCs w:val="24"/>
        </w:rPr>
        <w:lastRenderedPageBreak/>
        <w:t xml:space="preserve">Índice de </w:t>
      </w:r>
      <w:r>
        <w:rPr>
          <w:rFonts w:ascii="Times New Roman" w:hAnsi="Times New Roman"/>
          <w:b/>
          <w:sz w:val="28"/>
          <w:szCs w:val="24"/>
        </w:rPr>
        <w:t>Tabel</w:t>
      </w:r>
      <w:r w:rsidRPr="009B4121">
        <w:rPr>
          <w:rFonts w:ascii="Times New Roman" w:hAnsi="Times New Roman"/>
          <w:b/>
          <w:sz w:val="28"/>
          <w:szCs w:val="24"/>
        </w:rPr>
        <w:t>as</w:t>
      </w:r>
    </w:p>
    <w:p w:rsidR="002D3E5D" w:rsidRDefault="002D3E5D" w:rsidP="002D3E5D">
      <w:pPr>
        <w:spacing w:after="0"/>
        <w:rPr>
          <w:rFonts w:ascii="Times New Roman" w:hAnsi="Times New Roman"/>
          <w:b/>
          <w:sz w:val="28"/>
          <w:szCs w:val="24"/>
        </w:rPr>
      </w:pPr>
    </w:p>
    <w:p w:rsidR="002D3E5D" w:rsidRPr="001B4568" w:rsidRDefault="002D3E5D" w:rsidP="002D3E5D">
      <w:pPr>
        <w:jc w:val="both"/>
        <w:rPr>
          <w:rFonts w:ascii="Times New Roman" w:hAnsi="Times New Roman"/>
          <w:sz w:val="24"/>
          <w:szCs w:val="24"/>
        </w:rPr>
      </w:pPr>
      <w:r>
        <w:rPr>
          <w:rFonts w:ascii="Times New Roman" w:hAnsi="Times New Roman"/>
          <w:sz w:val="24"/>
          <w:szCs w:val="24"/>
        </w:rPr>
        <w:t xml:space="preserve">Tabela I: </w:t>
      </w:r>
      <w:r w:rsidRPr="0009428A">
        <w:rPr>
          <w:rFonts w:ascii="Times New Roman" w:hAnsi="Times New Roman"/>
          <w:sz w:val="24"/>
        </w:rPr>
        <w:t>Tabela resumo das várias bioactividades reportadas em estudos referentes ao composto fenólico Hidroxitirosol</w:t>
      </w:r>
      <w:r>
        <w:rPr>
          <w:rFonts w:ascii="Times New Roman" w:hAnsi="Times New Roman"/>
          <w:sz w:val="24"/>
        </w:rPr>
        <w:t>………………………………………………………24</w:t>
      </w:r>
    </w:p>
    <w:p w:rsidR="002D3E5D" w:rsidRDefault="002D3E5D" w:rsidP="002D3E5D">
      <w:pPr>
        <w:jc w:val="both"/>
        <w:rPr>
          <w:rFonts w:ascii="Times New Roman" w:hAnsi="Times New Roman"/>
          <w:sz w:val="24"/>
        </w:rPr>
      </w:pPr>
      <w:r>
        <w:rPr>
          <w:rFonts w:ascii="Times New Roman" w:hAnsi="Times New Roman"/>
          <w:sz w:val="24"/>
          <w:szCs w:val="24"/>
        </w:rPr>
        <w:t xml:space="preserve">Tabela II: </w:t>
      </w:r>
      <w:r w:rsidRPr="001B4568">
        <w:rPr>
          <w:rFonts w:ascii="Times New Roman" w:hAnsi="Times New Roman"/>
          <w:sz w:val="24"/>
        </w:rPr>
        <w:t>Grau de pureza em fenóis totais de cada um dos extractos aquosos concentrados de BAE: EB, ERC e EPC, expresso em percentagem. Destaque para o EPC que apresenta a maior percentagem de grau de pureza em compostos fenólicos de entre os três extractos em estudo</w:t>
      </w:r>
      <w:r>
        <w:rPr>
          <w:rFonts w:ascii="Times New Roman" w:hAnsi="Times New Roman"/>
          <w:sz w:val="24"/>
        </w:rPr>
        <w:t>……………………………………………………….59</w:t>
      </w:r>
    </w:p>
    <w:p w:rsidR="002D3E5D" w:rsidRPr="006737F5" w:rsidRDefault="002D3E5D" w:rsidP="002D3E5D">
      <w:pPr>
        <w:pStyle w:val="Legenda"/>
        <w:keepNext/>
        <w:jc w:val="both"/>
        <w:rPr>
          <w:rFonts w:ascii="Times New Roman" w:hAnsi="Times New Roman"/>
          <w:b w:val="0"/>
          <w:bCs w:val="0"/>
          <w:color w:val="auto"/>
          <w:sz w:val="24"/>
          <w:szCs w:val="24"/>
        </w:rPr>
      </w:pPr>
      <w:r w:rsidRPr="006737F5">
        <w:rPr>
          <w:rFonts w:ascii="Times New Roman" w:hAnsi="Times New Roman"/>
          <w:b w:val="0"/>
          <w:bCs w:val="0"/>
          <w:color w:val="auto"/>
          <w:sz w:val="24"/>
          <w:szCs w:val="24"/>
        </w:rPr>
        <w:t>Tabela III: Grau de pureza em Hidroxitirosol de cada um dos extractos aquosos concentrados de BAE: EB, ERC e EPC, expresso em percentagem. Destaque para o EPC que apresenta a maior percentagem de grau de pureza em Hidroxitirosol de entre os três extractos em estudo</w:t>
      </w:r>
      <w:r>
        <w:rPr>
          <w:rFonts w:ascii="Times New Roman" w:hAnsi="Times New Roman"/>
          <w:b w:val="0"/>
          <w:bCs w:val="0"/>
          <w:color w:val="auto"/>
          <w:sz w:val="24"/>
          <w:szCs w:val="24"/>
        </w:rPr>
        <w:t>……………………………………………………………..63</w:t>
      </w:r>
      <w:r w:rsidRPr="006737F5">
        <w:rPr>
          <w:rFonts w:ascii="Times New Roman" w:hAnsi="Times New Roman"/>
          <w:b w:val="0"/>
          <w:bCs w:val="0"/>
          <w:color w:val="auto"/>
          <w:sz w:val="24"/>
          <w:szCs w:val="24"/>
        </w:rPr>
        <w:t xml:space="preserve">   </w:t>
      </w:r>
    </w:p>
    <w:p w:rsidR="002D3E5D" w:rsidRPr="00031E6B" w:rsidRDefault="002D3E5D" w:rsidP="002D3E5D">
      <w:pPr>
        <w:pStyle w:val="PargrafodaLista"/>
        <w:tabs>
          <w:tab w:val="left" w:pos="993"/>
        </w:tabs>
        <w:ind w:left="0"/>
        <w:jc w:val="both"/>
        <w:rPr>
          <w:rFonts w:ascii="Times New Roman" w:hAnsi="Times New Roman"/>
          <w:sz w:val="24"/>
          <w:szCs w:val="24"/>
        </w:rPr>
      </w:pPr>
      <w:r w:rsidRPr="00031E6B">
        <w:rPr>
          <w:rFonts w:ascii="Times New Roman" w:hAnsi="Times New Roman"/>
          <w:sz w:val="24"/>
          <w:szCs w:val="24"/>
        </w:rPr>
        <w:t>Tabela IV: Valores de IC50 relativos à viabilidade celular determinada para a linha celular MDA-MB-231, incubadas dura</w:t>
      </w:r>
      <w:r>
        <w:rPr>
          <w:rFonts w:ascii="Times New Roman" w:hAnsi="Times New Roman"/>
          <w:sz w:val="24"/>
          <w:szCs w:val="24"/>
        </w:rPr>
        <w:t>n</w:t>
      </w:r>
      <w:r w:rsidRPr="00031E6B">
        <w:rPr>
          <w:rFonts w:ascii="Times New Roman" w:hAnsi="Times New Roman"/>
          <w:sz w:val="24"/>
          <w:szCs w:val="24"/>
        </w:rPr>
        <w:t>te 48h com concentrações crescentes do padrão Hidroxitirosol, e dos três extractos derivados de BAE: EB, EPC e ERC. Os valores vêm afectados dos erros padrões médios, obtidos pelos triplicados efectuados, independentemente, para cada uma das concentrações testadas</w:t>
      </w:r>
      <w:r>
        <w:rPr>
          <w:rFonts w:ascii="Times New Roman" w:hAnsi="Times New Roman"/>
          <w:sz w:val="24"/>
          <w:szCs w:val="24"/>
        </w:rPr>
        <w:t>……………………….72</w:t>
      </w:r>
      <w:r w:rsidRPr="00031E6B">
        <w:rPr>
          <w:rFonts w:ascii="Times New Roman" w:hAnsi="Times New Roman"/>
          <w:sz w:val="24"/>
          <w:szCs w:val="24"/>
        </w:rPr>
        <w:t xml:space="preserve"> </w:t>
      </w:r>
    </w:p>
    <w:p w:rsidR="001B4568" w:rsidRPr="001B4568" w:rsidRDefault="001B4568" w:rsidP="009B4121">
      <w:pPr>
        <w:jc w:val="both"/>
        <w:rPr>
          <w:rFonts w:ascii="Times New Roman" w:hAnsi="Times New Roman"/>
          <w:sz w:val="24"/>
          <w:szCs w:val="24"/>
        </w:rPr>
      </w:pPr>
      <w:r w:rsidRPr="00031E6B">
        <w:rPr>
          <w:rFonts w:ascii="Times New Roman" w:hAnsi="Times New Roman"/>
          <w:sz w:val="24"/>
          <w:szCs w:val="24"/>
        </w:rPr>
        <w:t xml:space="preserve">  </w:t>
      </w:r>
      <w:r w:rsidRPr="001B4568">
        <w:rPr>
          <w:rFonts w:ascii="Times New Roman" w:hAnsi="Times New Roman"/>
          <w:sz w:val="24"/>
          <w:szCs w:val="24"/>
        </w:rPr>
        <w:t xml:space="preserve"> </w:t>
      </w:r>
    </w:p>
    <w:p w:rsidR="009B4121" w:rsidRDefault="009B4121" w:rsidP="001B4568">
      <w:pPr>
        <w:jc w:val="both"/>
        <w:rPr>
          <w:rFonts w:ascii="Times New Roman" w:hAnsi="Times New Roman"/>
          <w:sz w:val="24"/>
          <w:szCs w:val="24"/>
        </w:rPr>
      </w:pPr>
    </w:p>
    <w:p w:rsidR="009B4121" w:rsidRDefault="009B4121" w:rsidP="001B4568">
      <w:pPr>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1B4568">
      <w:pPr>
        <w:spacing w:after="0"/>
        <w:jc w:val="both"/>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9B4121" w:rsidRDefault="009B4121" w:rsidP="00721162">
      <w:pPr>
        <w:spacing w:after="0"/>
        <w:jc w:val="right"/>
        <w:rPr>
          <w:rFonts w:ascii="Times New Roman" w:hAnsi="Times New Roman"/>
          <w:sz w:val="24"/>
          <w:szCs w:val="24"/>
        </w:rPr>
      </w:pPr>
    </w:p>
    <w:p w:rsidR="00E208A8" w:rsidRDefault="00E208A8" w:rsidP="006737F5">
      <w:pPr>
        <w:spacing w:after="0"/>
        <w:rPr>
          <w:rFonts w:ascii="Times New Roman" w:hAnsi="Times New Roman"/>
          <w:sz w:val="24"/>
          <w:szCs w:val="24"/>
        </w:rPr>
      </w:pPr>
    </w:p>
    <w:p w:rsidR="00D97217" w:rsidRDefault="00D97217" w:rsidP="00D97217">
      <w:pPr>
        <w:spacing w:after="0"/>
        <w:rPr>
          <w:rFonts w:ascii="Times New Roman" w:hAnsi="Times New Roman"/>
          <w:b/>
          <w:sz w:val="28"/>
          <w:szCs w:val="24"/>
        </w:rPr>
      </w:pPr>
      <w:r>
        <w:rPr>
          <w:rFonts w:ascii="Times New Roman" w:hAnsi="Times New Roman"/>
          <w:b/>
          <w:sz w:val="28"/>
          <w:szCs w:val="24"/>
        </w:rPr>
        <w:lastRenderedPageBreak/>
        <w:t>Abreviaturas</w:t>
      </w:r>
    </w:p>
    <w:p w:rsidR="00D97217" w:rsidRDefault="00D97217" w:rsidP="00D97217">
      <w:pPr>
        <w:spacing w:after="0"/>
        <w:jc w:val="right"/>
        <w:rPr>
          <w:rFonts w:ascii="Times New Roman" w:hAnsi="Times New Roman"/>
          <w:sz w:val="24"/>
          <w:szCs w:val="24"/>
        </w:rPr>
      </w:pPr>
    </w:p>
    <w:p w:rsidR="00D97217" w:rsidRPr="00F54274" w:rsidRDefault="00D97217" w:rsidP="00D97217">
      <w:pPr>
        <w:spacing w:after="0"/>
        <w:jc w:val="both"/>
        <w:rPr>
          <w:rFonts w:ascii="Times New Roman" w:hAnsi="Times New Roman"/>
          <w:sz w:val="24"/>
          <w:szCs w:val="24"/>
        </w:rPr>
      </w:pPr>
      <w:r w:rsidRPr="00F54274">
        <w:rPr>
          <w:rFonts w:ascii="Times New Roman" w:hAnsi="Times New Roman"/>
          <w:sz w:val="24"/>
          <w:szCs w:val="24"/>
        </w:rPr>
        <w:t xml:space="preserve">ADN - </w:t>
      </w:r>
      <w:r>
        <w:rPr>
          <w:rFonts w:ascii="Times New Roman" w:hAnsi="Times New Roman"/>
          <w:sz w:val="24"/>
          <w:szCs w:val="24"/>
        </w:rPr>
        <w:t>Á</w:t>
      </w:r>
      <w:r w:rsidRPr="00F54274">
        <w:rPr>
          <w:rFonts w:ascii="Times New Roman" w:hAnsi="Times New Roman"/>
          <w:sz w:val="24"/>
          <w:szCs w:val="24"/>
        </w:rPr>
        <w:t>cido</w:t>
      </w:r>
      <w:r>
        <w:rPr>
          <w:rFonts w:ascii="Times New Roman" w:hAnsi="Times New Roman"/>
          <w:sz w:val="24"/>
          <w:szCs w:val="24"/>
        </w:rPr>
        <w:t xml:space="preserve"> D</w:t>
      </w:r>
      <w:r w:rsidRPr="00F54274">
        <w:rPr>
          <w:rFonts w:ascii="Times New Roman" w:hAnsi="Times New Roman"/>
          <w:sz w:val="24"/>
          <w:szCs w:val="24"/>
        </w:rPr>
        <w:t>esoxirribonucleico</w:t>
      </w:r>
    </w:p>
    <w:p w:rsidR="00D97217" w:rsidRDefault="00D97217" w:rsidP="00D97217">
      <w:pPr>
        <w:spacing w:after="0"/>
        <w:jc w:val="both"/>
        <w:rPr>
          <w:rFonts w:ascii="Times New Roman" w:hAnsi="Times New Roman"/>
          <w:sz w:val="24"/>
          <w:szCs w:val="24"/>
          <w:lang w:eastAsia="pt-PT"/>
        </w:rPr>
      </w:pPr>
      <w:r w:rsidRPr="00F54274">
        <w:rPr>
          <w:rFonts w:ascii="Times New Roman" w:hAnsi="Times New Roman"/>
          <w:sz w:val="24"/>
          <w:szCs w:val="24"/>
          <w:lang w:eastAsia="pt-PT"/>
        </w:rPr>
        <w:t>Al</w:t>
      </w:r>
      <w:r>
        <w:rPr>
          <w:rFonts w:ascii="Times New Roman" w:hAnsi="Times New Roman"/>
          <w:sz w:val="24"/>
          <w:szCs w:val="24"/>
          <w:lang w:eastAsia="pt-PT"/>
        </w:rPr>
        <w:t xml:space="preserve"> – Alumínio</w:t>
      </w:r>
    </w:p>
    <w:p w:rsidR="00D97217" w:rsidRDefault="00D97217" w:rsidP="00D97217">
      <w:pPr>
        <w:spacing w:after="0"/>
        <w:jc w:val="both"/>
        <w:rPr>
          <w:rFonts w:ascii="Times New Roman" w:hAnsi="Times New Roman"/>
          <w:sz w:val="24"/>
          <w:szCs w:val="24"/>
          <w:lang w:eastAsia="pt-PT"/>
        </w:rPr>
      </w:pPr>
      <w:r w:rsidRPr="00F54274">
        <w:rPr>
          <w:rFonts w:ascii="Times New Roman" w:hAnsi="Times New Roman"/>
          <w:sz w:val="24"/>
          <w:szCs w:val="24"/>
          <w:lang w:eastAsia="pt-PT"/>
        </w:rPr>
        <w:t>Ba</w:t>
      </w:r>
      <w:r>
        <w:rPr>
          <w:rFonts w:ascii="Times New Roman" w:hAnsi="Times New Roman"/>
          <w:sz w:val="24"/>
          <w:szCs w:val="24"/>
          <w:lang w:eastAsia="pt-PT"/>
        </w:rPr>
        <w:t xml:space="preserve"> – Bário</w:t>
      </w:r>
    </w:p>
    <w:p w:rsidR="00D97217" w:rsidRDefault="00D97217" w:rsidP="00D97217">
      <w:pPr>
        <w:spacing w:after="0"/>
        <w:jc w:val="both"/>
        <w:rPr>
          <w:rFonts w:ascii="Times New Roman" w:hAnsi="Times New Roman"/>
          <w:sz w:val="24"/>
          <w:szCs w:val="24"/>
        </w:rPr>
      </w:pPr>
      <w:r>
        <w:rPr>
          <w:rFonts w:ascii="Times New Roman" w:hAnsi="Times New Roman"/>
          <w:sz w:val="24"/>
          <w:szCs w:val="24"/>
        </w:rPr>
        <w:t>BAE - Bagaço de Azeitona E</w:t>
      </w:r>
      <w:r w:rsidRPr="00F54274">
        <w:rPr>
          <w:rFonts w:ascii="Times New Roman" w:hAnsi="Times New Roman"/>
          <w:sz w:val="24"/>
          <w:szCs w:val="24"/>
        </w:rPr>
        <w:t xml:space="preserve">xtractado </w:t>
      </w:r>
    </w:p>
    <w:p w:rsidR="00D97217" w:rsidRDefault="00D97217" w:rsidP="00D97217">
      <w:pPr>
        <w:spacing w:after="0"/>
        <w:jc w:val="both"/>
        <w:rPr>
          <w:rFonts w:ascii="Times New Roman" w:hAnsi="Times New Roman"/>
          <w:sz w:val="24"/>
          <w:szCs w:val="24"/>
          <w:lang w:eastAsia="pt-PT"/>
        </w:rPr>
      </w:pPr>
      <w:r>
        <w:rPr>
          <w:rFonts w:ascii="Times New Roman" w:hAnsi="Times New Roman"/>
          <w:sz w:val="24"/>
          <w:szCs w:val="24"/>
          <w:lang w:eastAsia="pt-PT"/>
        </w:rPr>
        <w:t xml:space="preserve">BHA - </w:t>
      </w:r>
      <w:r>
        <w:rPr>
          <w:rFonts w:ascii="Times New Roman" w:hAnsi="Times New Roman"/>
          <w:sz w:val="24"/>
        </w:rPr>
        <w:t>H</w:t>
      </w:r>
      <w:r w:rsidRPr="00290FF2">
        <w:rPr>
          <w:rFonts w:ascii="Times New Roman" w:hAnsi="Times New Roman"/>
          <w:sz w:val="24"/>
        </w:rPr>
        <w:t>idroxianisolo butilado</w:t>
      </w:r>
    </w:p>
    <w:p w:rsidR="00D97217" w:rsidRDefault="00D97217" w:rsidP="00D97217">
      <w:pPr>
        <w:spacing w:after="0"/>
        <w:jc w:val="both"/>
        <w:rPr>
          <w:rFonts w:ascii="Times New Roman" w:hAnsi="Times New Roman"/>
          <w:sz w:val="24"/>
          <w:szCs w:val="24"/>
          <w:lang w:eastAsia="pt-PT"/>
        </w:rPr>
      </w:pPr>
      <w:r w:rsidRPr="00F54274">
        <w:rPr>
          <w:rFonts w:ascii="Times New Roman" w:hAnsi="Times New Roman"/>
          <w:sz w:val="24"/>
          <w:szCs w:val="24"/>
          <w:lang w:eastAsia="pt-PT"/>
        </w:rPr>
        <w:t>Ca</w:t>
      </w:r>
      <w:r>
        <w:rPr>
          <w:rFonts w:ascii="Times New Roman" w:hAnsi="Times New Roman"/>
          <w:sz w:val="24"/>
          <w:szCs w:val="24"/>
          <w:lang w:eastAsia="pt-PT"/>
        </w:rPr>
        <w:t xml:space="preserve"> – Cálcio</w:t>
      </w:r>
    </w:p>
    <w:p w:rsidR="00D97217" w:rsidRDefault="00D97217" w:rsidP="00D97217">
      <w:pPr>
        <w:spacing w:after="0"/>
        <w:jc w:val="both"/>
        <w:rPr>
          <w:rFonts w:ascii="Times New Roman" w:hAnsi="Times New Roman"/>
          <w:sz w:val="24"/>
          <w:szCs w:val="24"/>
          <w:lang w:eastAsia="pt-PT"/>
        </w:rPr>
      </w:pPr>
      <w:r w:rsidRPr="00F54274">
        <w:rPr>
          <w:rFonts w:ascii="Times New Roman" w:hAnsi="Times New Roman"/>
          <w:sz w:val="24"/>
          <w:szCs w:val="24"/>
          <w:lang w:eastAsia="pt-PT"/>
        </w:rPr>
        <w:t>Co</w:t>
      </w:r>
      <w:r>
        <w:rPr>
          <w:rFonts w:ascii="Times New Roman" w:hAnsi="Times New Roman"/>
          <w:sz w:val="24"/>
          <w:szCs w:val="24"/>
          <w:lang w:eastAsia="pt-PT"/>
        </w:rPr>
        <w:t xml:space="preserve"> – Cobalto</w:t>
      </w:r>
    </w:p>
    <w:p w:rsidR="00D97217" w:rsidRDefault="00D97217" w:rsidP="00D97217">
      <w:pPr>
        <w:spacing w:after="0"/>
        <w:jc w:val="both"/>
        <w:rPr>
          <w:rFonts w:ascii="Times New Roman" w:hAnsi="Times New Roman"/>
          <w:sz w:val="24"/>
          <w:szCs w:val="24"/>
        </w:rPr>
      </w:pPr>
      <w:r w:rsidRPr="00F54274">
        <w:rPr>
          <w:rFonts w:ascii="Times New Roman" w:hAnsi="Times New Roman"/>
          <w:sz w:val="24"/>
          <w:szCs w:val="24"/>
        </w:rPr>
        <w:t>CO</w:t>
      </w:r>
      <w:r w:rsidRPr="00F54274">
        <w:rPr>
          <w:rFonts w:ascii="Times New Roman" w:hAnsi="Times New Roman"/>
          <w:sz w:val="24"/>
          <w:szCs w:val="24"/>
          <w:vertAlign w:val="subscript"/>
        </w:rPr>
        <w:t>2</w:t>
      </w:r>
      <w:r w:rsidRPr="00F54274">
        <w:rPr>
          <w:rFonts w:ascii="Times New Roman" w:hAnsi="Times New Roman"/>
          <w:sz w:val="24"/>
          <w:szCs w:val="24"/>
        </w:rPr>
        <w:t xml:space="preserve"> – Dióxido de Carbono</w:t>
      </w:r>
    </w:p>
    <w:p w:rsidR="00D97217" w:rsidRDefault="00D97217" w:rsidP="00D97217">
      <w:pPr>
        <w:spacing w:after="0"/>
        <w:jc w:val="both"/>
        <w:rPr>
          <w:rFonts w:ascii="Times New Roman" w:hAnsi="Times New Roman"/>
          <w:sz w:val="24"/>
          <w:szCs w:val="24"/>
          <w:lang w:eastAsia="pt-PT"/>
        </w:rPr>
      </w:pPr>
      <w:r w:rsidRPr="00F54274">
        <w:rPr>
          <w:rFonts w:ascii="Times New Roman" w:hAnsi="Times New Roman"/>
          <w:sz w:val="24"/>
          <w:szCs w:val="24"/>
          <w:lang w:eastAsia="pt-PT"/>
        </w:rPr>
        <w:t>Cu</w:t>
      </w:r>
      <w:r>
        <w:rPr>
          <w:rFonts w:ascii="Times New Roman" w:hAnsi="Times New Roman"/>
          <w:sz w:val="24"/>
          <w:szCs w:val="24"/>
          <w:lang w:eastAsia="pt-PT"/>
        </w:rPr>
        <w:t xml:space="preserve"> – Cobre</w:t>
      </w:r>
    </w:p>
    <w:p w:rsidR="00D97217" w:rsidRPr="00FC0F96" w:rsidRDefault="00D97217" w:rsidP="00D97217">
      <w:pPr>
        <w:spacing w:after="0"/>
        <w:jc w:val="both"/>
        <w:rPr>
          <w:rFonts w:ascii="Times New Roman" w:hAnsi="Times New Roman"/>
          <w:b/>
          <w:sz w:val="24"/>
        </w:rPr>
      </w:pPr>
      <w:r w:rsidRPr="00FC0F96">
        <w:rPr>
          <w:rFonts w:ascii="Times New Roman" w:hAnsi="Times New Roman"/>
          <w:sz w:val="24"/>
          <w:szCs w:val="24"/>
        </w:rPr>
        <w:t xml:space="preserve">DMEM - </w:t>
      </w:r>
      <w:r w:rsidRPr="00FC0F96">
        <w:rPr>
          <w:rFonts w:ascii="Times New Roman" w:hAnsi="Times New Roman"/>
          <w:i/>
          <w:iCs/>
          <w:sz w:val="24"/>
          <w:szCs w:val="24"/>
        </w:rPr>
        <w:t>Dulbecco's Modified Eagle Medium</w:t>
      </w:r>
    </w:p>
    <w:p w:rsidR="00D97217" w:rsidRDefault="00D97217" w:rsidP="00D97217">
      <w:pPr>
        <w:spacing w:after="0"/>
        <w:jc w:val="both"/>
        <w:rPr>
          <w:rFonts w:ascii="Times New Roman" w:hAnsi="Times New Roman"/>
          <w:bCs/>
          <w:sz w:val="24"/>
          <w:szCs w:val="24"/>
        </w:rPr>
      </w:pPr>
      <w:r w:rsidRPr="00922066">
        <w:rPr>
          <w:rFonts w:ascii="Times New Roman" w:hAnsi="Times New Roman"/>
          <w:sz w:val="24"/>
          <w:szCs w:val="24"/>
        </w:rPr>
        <w:t>DMSO - Dimetilsulfóxido</w:t>
      </w:r>
      <w:r>
        <w:rPr>
          <w:rFonts w:ascii="Times New Roman" w:hAnsi="Times New Roman"/>
          <w:bCs/>
          <w:sz w:val="24"/>
          <w:szCs w:val="24"/>
        </w:rPr>
        <w:t xml:space="preserve"> </w:t>
      </w:r>
    </w:p>
    <w:p w:rsidR="00D97217" w:rsidRDefault="00D97217" w:rsidP="00D97217">
      <w:pPr>
        <w:spacing w:after="0"/>
        <w:jc w:val="both"/>
        <w:rPr>
          <w:rFonts w:ascii="Times New Roman" w:hAnsi="Times New Roman"/>
          <w:bCs/>
          <w:sz w:val="24"/>
          <w:szCs w:val="24"/>
        </w:rPr>
      </w:pPr>
      <w:r w:rsidRPr="00B6332E">
        <w:rPr>
          <w:rFonts w:ascii="Times New Roman" w:hAnsi="Times New Roman"/>
          <w:sz w:val="24"/>
          <w:szCs w:val="24"/>
        </w:rPr>
        <w:t>DO</w:t>
      </w:r>
      <w:r>
        <w:rPr>
          <w:rFonts w:ascii="Times New Roman" w:hAnsi="Times New Roman"/>
          <w:sz w:val="24"/>
          <w:szCs w:val="24"/>
        </w:rPr>
        <w:t xml:space="preserve"> - Densidade óptica </w:t>
      </w:r>
    </w:p>
    <w:p w:rsidR="00D97217" w:rsidRDefault="00D97217" w:rsidP="00D97217">
      <w:pPr>
        <w:spacing w:after="0"/>
        <w:jc w:val="both"/>
        <w:rPr>
          <w:rFonts w:ascii="Times New Roman" w:hAnsi="Times New Roman"/>
          <w:bCs/>
          <w:sz w:val="24"/>
          <w:szCs w:val="24"/>
        </w:rPr>
      </w:pPr>
      <w:r>
        <w:rPr>
          <w:rFonts w:ascii="Times New Roman" w:hAnsi="Times New Roman"/>
          <w:bCs/>
          <w:sz w:val="24"/>
          <w:szCs w:val="24"/>
        </w:rPr>
        <w:t>DOX - D</w:t>
      </w:r>
      <w:r w:rsidRPr="00F54274">
        <w:rPr>
          <w:rFonts w:ascii="Times New Roman" w:hAnsi="Times New Roman"/>
          <w:bCs/>
          <w:sz w:val="24"/>
          <w:szCs w:val="24"/>
        </w:rPr>
        <w:t xml:space="preserve">oxorrubicina </w:t>
      </w:r>
    </w:p>
    <w:p w:rsidR="00D97217" w:rsidRDefault="00D97217" w:rsidP="00D97217">
      <w:pPr>
        <w:spacing w:after="0"/>
        <w:jc w:val="both"/>
        <w:rPr>
          <w:rFonts w:ascii="Times New Roman" w:hAnsi="Times New Roman"/>
          <w:sz w:val="24"/>
          <w:szCs w:val="24"/>
          <w:lang w:eastAsia="pt-PT"/>
        </w:rPr>
      </w:pPr>
      <w:r>
        <w:rPr>
          <w:rFonts w:ascii="Times New Roman" w:hAnsi="Times New Roman"/>
          <w:sz w:val="24"/>
          <w:szCs w:val="24"/>
          <w:lang w:eastAsia="pt-PT"/>
        </w:rPr>
        <w:t xml:space="preserve">DPPH - </w:t>
      </w:r>
      <w:r w:rsidRPr="00F54274">
        <w:rPr>
          <w:rFonts w:ascii="Times New Roman" w:hAnsi="Times New Roman"/>
          <w:sz w:val="24"/>
          <w:szCs w:val="24"/>
          <w:lang w:eastAsia="pt-PT"/>
        </w:rPr>
        <w:t xml:space="preserve">2,2-difenil-1-picrilhidrazilo </w:t>
      </w:r>
    </w:p>
    <w:p w:rsidR="00D97217" w:rsidRPr="00F54274" w:rsidRDefault="00D97217" w:rsidP="00D97217">
      <w:pPr>
        <w:spacing w:after="0"/>
        <w:jc w:val="both"/>
        <w:rPr>
          <w:rFonts w:ascii="Times New Roman" w:hAnsi="Times New Roman"/>
          <w:sz w:val="24"/>
          <w:szCs w:val="24"/>
        </w:rPr>
      </w:pPr>
      <w:r w:rsidRPr="00F54274">
        <w:rPr>
          <w:rFonts w:ascii="Times New Roman" w:hAnsi="Times New Roman"/>
          <w:sz w:val="24"/>
          <w:szCs w:val="24"/>
        </w:rPr>
        <w:t xml:space="preserve">EB – </w:t>
      </w:r>
      <w:r>
        <w:rPr>
          <w:rFonts w:ascii="Times New Roman" w:hAnsi="Times New Roman"/>
          <w:sz w:val="24"/>
          <w:szCs w:val="24"/>
        </w:rPr>
        <w:t>Extracto B</w:t>
      </w:r>
      <w:r w:rsidRPr="00F54274">
        <w:rPr>
          <w:rFonts w:ascii="Times New Roman" w:hAnsi="Times New Roman"/>
          <w:sz w:val="24"/>
          <w:szCs w:val="24"/>
        </w:rPr>
        <w:t>ruto</w:t>
      </w:r>
    </w:p>
    <w:p w:rsidR="00D97217" w:rsidRPr="00F54274" w:rsidRDefault="00D97217" w:rsidP="00D97217">
      <w:pPr>
        <w:spacing w:after="0"/>
        <w:jc w:val="both"/>
        <w:rPr>
          <w:rFonts w:ascii="Times New Roman" w:hAnsi="Times New Roman"/>
          <w:sz w:val="24"/>
          <w:szCs w:val="24"/>
        </w:rPr>
      </w:pPr>
      <w:r>
        <w:rPr>
          <w:rFonts w:ascii="Times New Roman" w:hAnsi="Times New Roman"/>
          <w:sz w:val="24"/>
          <w:szCs w:val="24"/>
        </w:rPr>
        <w:t xml:space="preserve">EPC - </w:t>
      </w:r>
      <w:r w:rsidRPr="00F54274">
        <w:rPr>
          <w:rFonts w:ascii="Times New Roman" w:hAnsi="Times New Roman"/>
          <w:sz w:val="24"/>
          <w:szCs w:val="24"/>
        </w:rPr>
        <w:t xml:space="preserve">Extracto Permeado Concentrado </w:t>
      </w:r>
    </w:p>
    <w:p w:rsidR="00D97217" w:rsidRDefault="00D97217" w:rsidP="00D97217">
      <w:pPr>
        <w:spacing w:after="0"/>
        <w:jc w:val="both"/>
        <w:rPr>
          <w:rFonts w:ascii="Times New Roman" w:hAnsi="Times New Roman"/>
          <w:sz w:val="24"/>
          <w:szCs w:val="24"/>
        </w:rPr>
      </w:pPr>
      <w:r>
        <w:rPr>
          <w:rFonts w:ascii="Times New Roman" w:hAnsi="Times New Roman"/>
          <w:sz w:val="24"/>
          <w:szCs w:val="24"/>
        </w:rPr>
        <w:t>ERC</w:t>
      </w:r>
      <w:r w:rsidRPr="00F54274">
        <w:rPr>
          <w:rFonts w:ascii="Times New Roman" w:hAnsi="Times New Roman"/>
          <w:sz w:val="24"/>
          <w:szCs w:val="24"/>
        </w:rPr>
        <w:t xml:space="preserve"> </w:t>
      </w:r>
      <w:r>
        <w:rPr>
          <w:rFonts w:ascii="Times New Roman" w:hAnsi="Times New Roman"/>
          <w:sz w:val="24"/>
          <w:szCs w:val="24"/>
        </w:rPr>
        <w:t xml:space="preserve">- </w:t>
      </w:r>
      <w:r w:rsidRPr="00F54274">
        <w:rPr>
          <w:rFonts w:ascii="Times New Roman" w:hAnsi="Times New Roman"/>
          <w:sz w:val="24"/>
          <w:szCs w:val="24"/>
        </w:rPr>
        <w:t xml:space="preserve">Extracto Retido Concentrado </w:t>
      </w:r>
    </w:p>
    <w:p w:rsidR="00D97217" w:rsidRPr="00F54274" w:rsidRDefault="00D97217" w:rsidP="00D97217">
      <w:pPr>
        <w:spacing w:after="0"/>
        <w:jc w:val="both"/>
        <w:rPr>
          <w:rFonts w:ascii="Times New Roman" w:hAnsi="Times New Roman"/>
          <w:i/>
          <w:iCs/>
          <w:sz w:val="24"/>
          <w:szCs w:val="24"/>
        </w:rPr>
      </w:pPr>
      <w:r w:rsidRPr="00F54274">
        <w:rPr>
          <w:rFonts w:ascii="Times New Roman" w:hAnsi="Times New Roman"/>
          <w:sz w:val="24"/>
          <w:szCs w:val="24"/>
        </w:rPr>
        <w:t xml:space="preserve">FBS – </w:t>
      </w:r>
      <w:r>
        <w:rPr>
          <w:rFonts w:ascii="Times New Roman" w:hAnsi="Times New Roman"/>
          <w:i/>
          <w:iCs/>
          <w:sz w:val="24"/>
          <w:szCs w:val="24"/>
        </w:rPr>
        <w:t>F</w:t>
      </w:r>
      <w:r w:rsidRPr="00F54274">
        <w:rPr>
          <w:rFonts w:ascii="Times New Roman" w:hAnsi="Times New Roman"/>
          <w:i/>
          <w:iCs/>
          <w:sz w:val="24"/>
          <w:szCs w:val="24"/>
        </w:rPr>
        <w:t>etal bovine serum</w:t>
      </w:r>
    </w:p>
    <w:p w:rsidR="00D97217" w:rsidRDefault="00D97217" w:rsidP="00D97217">
      <w:pPr>
        <w:spacing w:after="0"/>
        <w:jc w:val="both"/>
        <w:rPr>
          <w:rFonts w:ascii="Times New Roman" w:hAnsi="Times New Roman"/>
          <w:sz w:val="24"/>
          <w:szCs w:val="24"/>
          <w:lang w:eastAsia="pt-PT"/>
        </w:rPr>
      </w:pPr>
      <w:r w:rsidRPr="00F54274">
        <w:rPr>
          <w:rFonts w:ascii="Times New Roman" w:hAnsi="Times New Roman"/>
          <w:sz w:val="24"/>
          <w:szCs w:val="24"/>
          <w:lang w:eastAsia="pt-PT"/>
        </w:rPr>
        <w:t>Fe</w:t>
      </w:r>
      <w:r>
        <w:rPr>
          <w:rFonts w:ascii="Times New Roman" w:hAnsi="Times New Roman"/>
          <w:sz w:val="24"/>
          <w:szCs w:val="24"/>
          <w:lang w:eastAsia="pt-PT"/>
        </w:rPr>
        <w:t xml:space="preserve"> – Ferro</w:t>
      </w:r>
    </w:p>
    <w:p w:rsidR="00D97217" w:rsidRPr="00F54274" w:rsidRDefault="00D97217" w:rsidP="00D97217">
      <w:pPr>
        <w:spacing w:after="0"/>
        <w:jc w:val="both"/>
        <w:rPr>
          <w:rFonts w:ascii="Times New Roman" w:hAnsi="Times New Roman"/>
          <w:bCs/>
          <w:sz w:val="24"/>
          <w:szCs w:val="24"/>
        </w:rPr>
      </w:pPr>
      <w:r>
        <w:rPr>
          <w:rFonts w:ascii="Times New Roman" w:hAnsi="Times New Roman"/>
          <w:bCs/>
          <w:sz w:val="24"/>
          <w:szCs w:val="24"/>
        </w:rPr>
        <w:t>GPx - Glutationo peroxidase</w:t>
      </w:r>
    </w:p>
    <w:p w:rsidR="00D97217" w:rsidRPr="00F54274" w:rsidRDefault="00D97217" w:rsidP="00D97217">
      <w:pPr>
        <w:spacing w:after="0"/>
        <w:jc w:val="both"/>
        <w:rPr>
          <w:rFonts w:ascii="Times New Roman" w:hAnsi="Times New Roman"/>
          <w:sz w:val="24"/>
          <w:szCs w:val="24"/>
          <w:lang w:eastAsia="pt-PT"/>
        </w:rPr>
      </w:pPr>
      <w:r w:rsidRPr="00F54274">
        <w:rPr>
          <w:rFonts w:ascii="Times New Roman" w:hAnsi="Times New Roman"/>
          <w:sz w:val="24"/>
          <w:szCs w:val="24"/>
          <w:lang w:eastAsia="pt-PT"/>
        </w:rPr>
        <w:t>HER-</w:t>
      </w:r>
      <w:r>
        <w:rPr>
          <w:rFonts w:ascii="Times New Roman" w:hAnsi="Times New Roman"/>
          <w:sz w:val="24"/>
          <w:szCs w:val="24"/>
          <w:lang w:eastAsia="pt-PT"/>
        </w:rPr>
        <w:t>2 - R</w:t>
      </w:r>
      <w:r w:rsidRPr="00F54274">
        <w:rPr>
          <w:rFonts w:ascii="Times New Roman" w:hAnsi="Times New Roman"/>
          <w:sz w:val="24"/>
          <w:szCs w:val="24"/>
          <w:lang w:eastAsia="pt-PT"/>
        </w:rPr>
        <w:t xml:space="preserve">eceptor tipo 2 do factor de crescimento epidérmico humano </w:t>
      </w:r>
    </w:p>
    <w:p w:rsidR="00D97217" w:rsidRDefault="00D97217" w:rsidP="00D97217">
      <w:pPr>
        <w:spacing w:after="0"/>
        <w:jc w:val="both"/>
        <w:rPr>
          <w:rFonts w:ascii="Times New Roman" w:hAnsi="Times New Roman"/>
          <w:sz w:val="24"/>
          <w:szCs w:val="24"/>
        </w:rPr>
      </w:pPr>
      <w:r w:rsidRPr="00F54274">
        <w:rPr>
          <w:rFonts w:ascii="Times New Roman" w:hAnsi="Times New Roman"/>
          <w:sz w:val="24"/>
          <w:szCs w:val="24"/>
        </w:rPr>
        <w:t xml:space="preserve">HPLC - </w:t>
      </w:r>
      <w:r>
        <w:rPr>
          <w:rFonts w:ascii="Times New Roman" w:hAnsi="Times New Roman"/>
          <w:sz w:val="24"/>
          <w:szCs w:val="24"/>
        </w:rPr>
        <w:t>C</w:t>
      </w:r>
      <w:r w:rsidRPr="00F54274">
        <w:rPr>
          <w:rFonts w:ascii="Times New Roman" w:hAnsi="Times New Roman"/>
          <w:sz w:val="24"/>
          <w:szCs w:val="24"/>
        </w:rPr>
        <w:t>romatografia líquida de alta eficiência</w:t>
      </w:r>
    </w:p>
    <w:p w:rsidR="00D97217" w:rsidRPr="00F54274" w:rsidRDefault="00D97217" w:rsidP="00D97217">
      <w:pPr>
        <w:spacing w:after="0"/>
        <w:jc w:val="both"/>
        <w:rPr>
          <w:rFonts w:ascii="Times New Roman" w:hAnsi="Times New Roman"/>
          <w:sz w:val="24"/>
          <w:szCs w:val="24"/>
          <w:lang w:eastAsia="pt-PT"/>
        </w:rPr>
      </w:pPr>
      <w:r>
        <w:rPr>
          <w:rFonts w:ascii="Times New Roman" w:hAnsi="Times New Roman"/>
          <w:sz w:val="24"/>
          <w:szCs w:val="24"/>
        </w:rPr>
        <w:t>HT - Hidroxitirosol</w:t>
      </w:r>
      <w:r w:rsidRPr="00F54274">
        <w:rPr>
          <w:rFonts w:ascii="Times New Roman" w:hAnsi="Times New Roman"/>
          <w:sz w:val="24"/>
          <w:szCs w:val="24"/>
        </w:rPr>
        <w:t xml:space="preserve"> </w:t>
      </w:r>
    </w:p>
    <w:p w:rsidR="00D97217" w:rsidRPr="00F54274" w:rsidRDefault="00D97217" w:rsidP="00D97217">
      <w:pPr>
        <w:spacing w:after="0"/>
        <w:jc w:val="both"/>
        <w:rPr>
          <w:rFonts w:ascii="Times New Roman" w:hAnsi="Times New Roman"/>
          <w:szCs w:val="24"/>
        </w:rPr>
      </w:pPr>
      <w:r w:rsidRPr="00F54274">
        <w:rPr>
          <w:rFonts w:ascii="Times New Roman" w:hAnsi="Times New Roman"/>
          <w:sz w:val="24"/>
          <w:szCs w:val="24"/>
        </w:rPr>
        <w:t>H</w:t>
      </w:r>
      <w:r w:rsidRPr="00F54274">
        <w:rPr>
          <w:rFonts w:ascii="Times New Roman" w:hAnsi="Times New Roman"/>
          <w:sz w:val="24"/>
          <w:szCs w:val="24"/>
          <w:vertAlign w:val="subscript"/>
        </w:rPr>
        <w:t>2</w:t>
      </w:r>
      <w:r w:rsidRPr="00F54274">
        <w:rPr>
          <w:rFonts w:ascii="Times New Roman" w:hAnsi="Times New Roman"/>
          <w:sz w:val="24"/>
          <w:szCs w:val="24"/>
        </w:rPr>
        <w:t>O</w:t>
      </w:r>
      <w:r w:rsidRPr="00F54274">
        <w:rPr>
          <w:rFonts w:ascii="Times New Roman" w:hAnsi="Times New Roman"/>
          <w:sz w:val="24"/>
          <w:szCs w:val="24"/>
          <w:vertAlign w:val="subscript"/>
        </w:rPr>
        <w:t xml:space="preserve">2 </w:t>
      </w:r>
      <w:r w:rsidRPr="00F54274">
        <w:rPr>
          <w:rFonts w:ascii="Times New Roman" w:hAnsi="Times New Roman"/>
          <w:sz w:val="24"/>
          <w:szCs w:val="24"/>
        </w:rPr>
        <w:t>– Peróxido de Hidrogénio</w:t>
      </w:r>
    </w:p>
    <w:p w:rsidR="00D97217" w:rsidRPr="00FC0F96" w:rsidRDefault="00D97217" w:rsidP="00D97217">
      <w:pPr>
        <w:spacing w:after="0"/>
        <w:jc w:val="both"/>
        <w:rPr>
          <w:rFonts w:ascii="Times New Roman" w:hAnsi="Times New Roman"/>
          <w:sz w:val="24"/>
          <w:szCs w:val="24"/>
        </w:rPr>
      </w:pPr>
      <w:r w:rsidRPr="00F54274">
        <w:rPr>
          <w:rFonts w:ascii="Times New Roman" w:hAnsi="Times New Roman"/>
          <w:sz w:val="24"/>
          <w:szCs w:val="24"/>
        </w:rPr>
        <w:t>H</w:t>
      </w:r>
      <w:r w:rsidRPr="00F54274">
        <w:rPr>
          <w:rFonts w:ascii="Times New Roman" w:hAnsi="Times New Roman"/>
          <w:sz w:val="24"/>
          <w:szCs w:val="24"/>
          <w:vertAlign w:val="subscript"/>
        </w:rPr>
        <w:t>2</w:t>
      </w:r>
      <w:r w:rsidRPr="00F54274">
        <w:rPr>
          <w:rFonts w:ascii="Times New Roman" w:hAnsi="Times New Roman"/>
          <w:sz w:val="24"/>
          <w:szCs w:val="24"/>
        </w:rPr>
        <w:t>O –</w:t>
      </w:r>
      <w:r>
        <w:rPr>
          <w:rFonts w:ascii="Times New Roman" w:hAnsi="Times New Roman"/>
          <w:sz w:val="24"/>
          <w:szCs w:val="24"/>
        </w:rPr>
        <w:t xml:space="preserve"> Á</w:t>
      </w:r>
      <w:r w:rsidRPr="00F54274">
        <w:rPr>
          <w:rFonts w:ascii="Times New Roman" w:hAnsi="Times New Roman"/>
          <w:sz w:val="24"/>
          <w:szCs w:val="24"/>
        </w:rPr>
        <w:t>gua</w:t>
      </w:r>
    </w:p>
    <w:p w:rsidR="00D97217" w:rsidRDefault="00D97217" w:rsidP="00D97217">
      <w:pPr>
        <w:spacing w:after="0"/>
        <w:jc w:val="both"/>
        <w:rPr>
          <w:rFonts w:ascii="Times New Roman" w:hAnsi="Times New Roman"/>
          <w:sz w:val="24"/>
          <w:szCs w:val="24"/>
          <w:lang w:eastAsia="pt-PT"/>
        </w:rPr>
      </w:pPr>
      <w:r>
        <w:rPr>
          <w:rFonts w:ascii="Times New Roman" w:hAnsi="Times New Roman"/>
          <w:sz w:val="24"/>
          <w:szCs w:val="24"/>
          <w:lang w:eastAsia="pt-PT"/>
        </w:rPr>
        <w:t>K – Potássio</w:t>
      </w:r>
    </w:p>
    <w:p w:rsidR="00D97217" w:rsidRDefault="00D97217" w:rsidP="00D97217">
      <w:pPr>
        <w:spacing w:after="0"/>
        <w:jc w:val="both"/>
        <w:rPr>
          <w:rFonts w:ascii="Times New Roman" w:hAnsi="Times New Roman"/>
          <w:sz w:val="24"/>
          <w:szCs w:val="24"/>
        </w:rPr>
      </w:pPr>
      <w:r>
        <w:rPr>
          <w:rFonts w:ascii="Times New Roman" w:hAnsi="Times New Roman"/>
          <w:sz w:val="24"/>
          <w:szCs w:val="24"/>
        </w:rPr>
        <w:t>LDL - L</w:t>
      </w:r>
      <w:r w:rsidRPr="00F54274">
        <w:rPr>
          <w:rFonts w:ascii="Times New Roman" w:hAnsi="Times New Roman"/>
          <w:sz w:val="24"/>
          <w:szCs w:val="24"/>
        </w:rPr>
        <w:t xml:space="preserve">ipoproteínas de baixa densidade </w:t>
      </w:r>
    </w:p>
    <w:p w:rsidR="00D97217" w:rsidRPr="00F54274" w:rsidRDefault="00D97217" w:rsidP="00D97217">
      <w:pPr>
        <w:spacing w:after="0"/>
        <w:jc w:val="both"/>
        <w:rPr>
          <w:rFonts w:ascii="Times New Roman" w:hAnsi="Times New Roman"/>
          <w:sz w:val="24"/>
          <w:szCs w:val="24"/>
        </w:rPr>
      </w:pPr>
      <w:r>
        <w:rPr>
          <w:rFonts w:ascii="Times New Roman" w:hAnsi="Times New Roman"/>
          <w:sz w:val="24"/>
          <w:szCs w:val="24"/>
        </w:rPr>
        <w:t xml:space="preserve">LP - </w:t>
      </w:r>
      <w:r>
        <w:rPr>
          <w:rFonts w:ascii="Times New Roman" w:hAnsi="Times New Roman"/>
          <w:sz w:val="24"/>
        </w:rPr>
        <w:t>P</w:t>
      </w:r>
      <w:r w:rsidRPr="00A60187">
        <w:rPr>
          <w:rFonts w:ascii="Times New Roman" w:hAnsi="Times New Roman"/>
          <w:sz w:val="24"/>
        </w:rPr>
        <w:t>ermeabilidade hidráulica</w:t>
      </w:r>
    </w:p>
    <w:p w:rsidR="00D97217" w:rsidRDefault="00D97217" w:rsidP="00D97217">
      <w:pPr>
        <w:spacing w:after="0"/>
        <w:jc w:val="both"/>
        <w:rPr>
          <w:rFonts w:ascii="Times New Roman" w:hAnsi="Times New Roman"/>
          <w:sz w:val="24"/>
          <w:szCs w:val="24"/>
          <w:lang w:eastAsia="pt-PT"/>
        </w:rPr>
      </w:pPr>
      <w:r>
        <w:rPr>
          <w:rFonts w:ascii="Times New Roman" w:hAnsi="Times New Roman"/>
          <w:sz w:val="24"/>
          <w:szCs w:val="24"/>
          <w:lang w:eastAsia="pt-PT"/>
        </w:rPr>
        <w:t>Mg – Magnésio</w:t>
      </w:r>
    </w:p>
    <w:p w:rsidR="00D97217" w:rsidRDefault="00D97217" w:rsidP="00D97217">
      <w:pPr>
        <w:spacing w:after="0"/>
        <w:jc w:val="both"/>
        <w:rPr>
          <w:rFonts w:ascii="Times New Roman" w:hAnsi="Times New Roman"/>
          <w:sz w:val="24"/>
          <w:szCs w:val="24"/>
        </w:rPr>
      </w:pPr>
      <w:r w:rsidRPr="00F54274">
        <w:rPr>
          <w:rFonts w:ascii="Times New Roman" w:hAnsi="Times New Roman"/>
          <w:sz w:val="24"/>
          <w:szCs w:val="24"/>
          <w:lang w:eastAsia="pt-PT"/>
        </w:rPr>
        <w:t>Mn</w:t>
      </w:r>
      <w:r>
        <w:rPr>
          <w:rFonts w:ascii="Times New Roman" w:hAnsi="Times New Roman"/>
          <w:sz w:val="24"/>
          <w:szCs w:val="24"/>
          <w:lang w:eastAsia="pt-PT"/>
        </w:rPr>
        <w:t xml:space="preserve"> – Manganês</w:t>
      </w:r>
      <w:r w:rsidRPr="00F54274">
        <w:rPr>
          <w:rFonts w:ascii="Times New Roman" w:hAnsi="Times New Roman"/>
          <w:sz w:val="24"/>
          <w:szCs w:val="24"/>
        </w:rPr>
        <w:t xml:space="preserve"> </w:t>
      </w:r>
    </w:p>
    <w:p w:rsidR="00D97217" w:rsidRPr="00FA118A" w:rsidRDefault="00D97217" w:rsidP="00D97217">
      <w:pPr>
        <w:spacing w:after="0"/>
        <w:jc w:val="both"/>
        <w:rPr>
          <w:rFonts w:ascii="Times New Roman" w:hAnsi="Times New Roman"/>
          <w:sz w:val="24"/>
          <w:szCs w:val="24"/>
        </w:rPr>
      </w:pPr>
      <w:r w:rsidRPr="00FA118A">
        <w:rPr>
          <w:rFonts w:ascii="Times New Roman" w:hAnsi="Times New Roman"/>
          <w:sz w:val="24"/>
          <w:szCs w:val="24"/>
        </w:rPr>
        <w:t xml:space="preserve">MTT - </w:t>
      </w:r>
      <w:r w:rsidRPr="00FA118A">
        <w:rPr>
          <w:rFonts w:ascii="Times New Roman" w:hAnsi="Times New Roman"/>
          <w:i/>
          <w:sz w:val="24"/>
          <w:szCs w:val="24"/>
        </w:rPr>
        <w:t>3-(4, 5-dimethylthiazolyl-2)-2, 5-diphenyltetrazolium bromide</w:t>
      </w:r>
      <w:r w:rsidRPr="00FA118A">
        <w:rPr>
          <w:rFonts w:ascii="Times New Roman" w:hAnsi="Times New Roman"/>
          <w:sz w:val="24"/>
          <w:szCs w:val="24"/>
        </w:rPr>
        <w:t xml:space="preserve"> </w:t>
      </w:r>
    </w:p>
    <w:p w:rsidR="00D97217" w:rsidRPr="005130E2" w:rsidRDefault="00D97217" w:rsidP="00D97217">
      <w:pPr>
        <w:spacing w:after="0"/>
        <w:jc w:val="both"/>
        <w:rPr>
          <w:rFonts w:ascii="Times New Roman" w:hAnsi="Times New Roman"/>
          <w:sz w:val="24"/>
          <w:lang w:eastAsia="pt-PT"/>
        </w:rPr>
      </w:pPr>
      <w:r w:rsidRPr="005130E2">
        <w:rPr>
          <w:rFonts w:ascii="Times New Roman" w:hAnsi="Times New Roman"/>
          <w:sz w:val="24"/>
          <w:lang w:eastAsia="pt-PT"/>
        </w:rPr>
        <w:t>MUFA – Ácidos gordos monoinsaturados; d</w:t>
      </w:r>
      <w:r>
        <w:rPr>
          <w:rFonts w:ascii="Times New Roman" w:hAnsi="Times New Roman"/>
          <w:sz w:val="24"/>
          <w:lang w:eastAsia="pt-PT"/>
        </w:rPr>
        <w:t xml:space="preserve">o inglês: </w:t>
      </w:r>
      <w:r w:rsidRPr="005130E2">
        <w:rPr>
          <w:rFonts w:ascii="Times New Roman" w:hAnsi="Times New Roman"/>
          <w:i/>
          <w:sz w:val="24"/>
          <w:lang w:eastAsia="pt-PT"/>
        </w:rPr>
        <w:t>monounsaturated fatty acids</w:t>
      </w:r>
    </w:p>
    <w:p w:rsidR="00D97217" w:rsidRPr="00F641EE" w:rsidRDefault="00D97217" w:rsidP="00D97217">
      <w:pPr>
        <w:spacing w:after="0"/>
        <w:jc w:val="both"/>
        <w:rPr>
          <w:rFonts w:ascii="Times New Roman" w:hAnsi="Times New Roman"/>
          <w:sz w:val="24"/>
          <w:szCs w:val="24"/>
          <w:lang w:val="en-US"/>
        </w:rPr>
      </w:pPr>
      <w:r w:rsidRPr="00F641EE">
        <w:rPr>
          <w:rFonts w:ascii="Times New Roman" w:hAnsi="Times New Roman"/>
          <w:sz w:val="24"/>
          <w:lang w:val="en-US" w:eastAsia="pt-PT"/>
        </w:rPr>
        <w:t xml:space="preserve">MWCO – </w:t>
      </w:r>
      <w:r w:rsidRPr="00F641EE">
        <w:rPr>
          <w:rFonts w:ascii="Times New Roman" w:hAnsi="Times New Roman"/>
          <w:i/>
          <w:sz w:val="24"/>
          <w:lang w:val="en-US" w:eastAsia="pt-PT"/>
        </w:rPr>
        <w:t>Molecular weight cut off</w:t>
      </w:r>
    </w:p>
    <w:p w:rsidR="00D97217" w:rsidRPr="005130E2" w:rsidRDefault="00D97217" w:rsidP="00D97217">
      <w:pPr>
        <w:spacing w:after="0"/>
        <w:jc w:val="both"/>
        <w:rPr>
          <w:rFonts w:ascii="Times New Roman" w:hAnsi="Times New Roman"/>
          <w:sz w:val="24"/>
          <w:szCs w:val="24"/>
          <w:lang w:val="en-US" w:eastAsia="pt-PT"/>
        </w:rPr>
      </w:pPr>
      <w:r w:rsidRPr="005130E2">
        <w:rPr>
          <w:rFonts w:ascii="Times New Roman" w:hAnsi="Times New Roman"/>
          <w:sz w:val="24"/>
          <w:szCs w:val="24"/>
          <w:lang w:val="en-US" w:eastAsia="pt-PT"/>
        </w:rPr>
        <w:t>Ni – Níquel</w:t>
      </w:r>
    </w:p>
    <w:p w:rsidR="00D97217" w:rsidRPr="00FA118A" w:rsidRDefault="00D97217" w:rsidP="00D97217">
      <w:pPr>
        <w:spacing w:after="0"/>
        <w:jc w:val="both"/>
        <w:rPr>
          <w:rFonts w:ascii="Times New Roman" w:hAnsi="Times New Roman"/>
          <w:sz w:val="24"/>
          <w:szCs w:val="24"/>
          <w:lang w:val="en-US" w:eastAsia="pt-PT"/>
        </w:rPr>
      </w:pPr>
      <w:r w:rsidRPr="00FA118A">
        <w:rPr>
          <w:rFonts w:ascii="Times New Roman" w:hAnsi="Times New Roman"/>
          <w:sz w:val="24"/>
          <w:szCs w:val="24"/>
          <w:lang w:val="en-US" w:eastAsia="pt-PT"/>
        </w:rPr>
        <w:t>P- Fósforo</w:t>
      </w:r>
    </w:p>
    <w:p w:rsidR="00D97217" w:rsidRPr="00FA118A" w:rsidRDefault="00D97217" w:rsidP="00D97217">
      <w:pPr>
        <w:spacing w:after="0"/>
        <w:jc w:val="both"/>
        <w:rPr>
          <w:rFonts w:ascii="Times New Roman" w:hAnsi="Times New Roman"/>
          <w:i/>
          <w:iCs/>
          <w:sz w:val="24"/>
          <w:szCs w:val="24"/>
          <w:lang w:val="en-US"/>
        </w:rPr>
      </w:pPr>
      <w:r w:rsidRPr="00FA118A">
        <w:rPr>
          <w:rFonts w:ascii="Times New Roman" w:hAnsi="Times New Roman"/>
          <w:sz w:val="24"/>
          <w:szCs w:val="24"/>
          <w:lang w:val="en-US"/>
        </w:rPr>
        <w:t xml:space="preserve">PBS - </w:t>
      </w:r>
      <w:r w:rsidRPr="00FA118A">
        <w:rPr>
          <w:rFonts w:ascii="Times New Roman" w:hAnsi="Times New Roman"/>
          <w:i/>
          <w:iCs/>
          <w:sz w:val="24"/>
          <w:szCs w:val="24"/>
          <w:lang w:val="en-US"/>
        </w:rPr>
        <w:t>Phosphate buffer saline</w:t>
      </w:r>
    </w:p>
    <w:p w:rsidR="00D97217" w:rsidRPr="005130E2" w:rsidRDefault="00D97217" w:rsidP="00D97217">
      <w:pPr>
        <w:spacing w:after="0"/>
        <w:jc w:val="both"/>
        <w:rPr>
          <w:rFonts w:ascii="Times New Roman" w:hAnsi="Times New Roman"/>
          <w:sz w:val="24"/>
          <w:lang w:eastAsia="pt-PT"/>
        </w:rPr>
      </w:pPr>
      <w:r>
        <w:rPr>
          <w:rFonts w:ascii="Times New Roman" w:hAnsi="Times New Roman"/>
          <w:iCs/>
          <w:sz w:val="24"/>
          <w:szCs w:val="24"/>
        </w:rPr>
        <w:t xml:space="preserve">PUFA – Ácidos gordos polinsaturados; </w:t>
      </w:r>
      <w:r w:rsidRPr="005130E2">
        <w:rPr>
          <w:rFonts w:ascii="Times New Roman" w:hAnsi="Times New Roman"/>
          <w:sz w:val="24"/>
          <w:lang w:eastAsia="pt-PT"/>
        </w:rPr>
        <w:t>d</w:t>
      </w:r>
      <w:r>
        <w:rPr>
          <w:rFonts w:ascii="Times New Roman" w:hAnsi="Times New Roman"/>
          <w:sz w:val="24"/>
          <w:lang w:eastAsia="pt-PT"/>
        </w:rPr>
        <w:t xml:space="preserve">o inglês: </w:t>
      </w:r>
      <w:r>
        <w:rPr>
          <w:rFonts w:ascii="Times New Roman" w:hAnsi="Times New Roman"/>
          <w:i/>
          <w:sz w:val="24"/>
          <w:lang w:eastAsia="pt-PT"/>
        </w:rPr>
        <w:t>polyun</w:t>
      </w:r>
      <w:r w:rsidRPr="005130E2">
        <w:rPr>
          <w:rFonts w:ascii="Times New Roman" w:hAnsi="Times New Roman"/>
          <w:i/>
          <w:sz w:val="24"/>
          <w:lang w:eastAsia="pt-PT"/>
        </w:rPr>
        <w:t>saturated fatty acids</w:t>
      </w:r>
    </w:p>
    <w:p w:rsidR="00D97217" w:rsidRPr="00F54274" w:rsidRDefault="00D97217" w:rsidP="00D97217">
      <w:pPr>
        <w:spacing w:after="0"/>
        <w:jc w:val="both"/>
        <w:rPr>
          <w:rFonts w:ascii="Times New Roman" w:hAnsi="Times New Roman"/>
          <w:sz w:val="24"/>
          <w:szCs w:val="24"/>
        </w:rPr>
      </w:pPr>
      <w:r>
        <w:rPr>
          <w:rFonts w:ascii="Times New Roman" w:hAnsi="Times New Roman"/>
          <w:sz w:val="24"/>
          <w:szCs w:val="24"/>
        </w:rPr>
        <w:t>RE - Receptor de E</w:t>
      </w:r>
      <w:r w:rsidRPr="00F54274">
        <w:rPr>
          <w:rFonts w:ascii="Times New Roman" w:hAnsi="Times New Roman"/>
          <w:sz w:val="24"/>
          <w:szCs w:val="24"/>
        </w:rPr>
        <w:t>strogénio</w:t>
      </w:r>
    </w:p>
    <w:p w:rsidR="00D97217" w:rsidRPr="00F54274" w:rsidRDefault="00D97217" w:rsidP="00D97217">
      <w:pPr>
        <w:spacing w:after="0"/>
        <w:jc w:val="both"/>
        <w:rPr>
          <w:rFonts w:ascii="Times New Roman" w:hAnsi="Times New Roman"/>
          <w:i/>
          <w:iCs/>
          <w:sz w:val="24"/>
          <w:szCs w:val="24"/>
        </w:rPr>
      </w:pPr>
      <w:r>
        <w:rPr>
          <w:rFonts w:ascii="Times New Roman" w:hAnsi="Times New Roman"/>
          <w:sz w:val="24"/>
          <w:szCs w:val="24"/>
        </w:rPr>
        <w:t>ROS – Espécies Reactivas de O</w:t>
      </w:r>
      <w:r w:rsidRPr="00F54274">
        <w:rPr>
          <w:rFonts w:ascii="Times New Roman" w:hAnsi="Times New Roman"/>
          <w:sz w:val="24"/>
          <w:szCs w:val="24"/>
        </w:rPr>
        <w:t xml:space="preserve">xigénio; do inglês: </w:t>
      </w:r>
      <w:r w:rsidRPr="00F54274">
        <w:rPr>
          <w:rFonts w:ascii="Times New Roman" w:hAnsi="Times New Roman"/>
          <w:i/>
          <w:iCs/>
          <w:sz w:val="24"/>
          <w:szCs w:val="24"/>
        </w:rPr>
        <w:t>reactive oxygen species</w:t>
      </w:r>
    </w:p>
    <w:p w:rsidR="00D97217" w:rsidRDefault="00D97217" w:rsidP="00D97217">
      <w:pPr>
        <w:spacing w:after="0"/>
        <w:jc w:val="both"/>
        <w:rPr>
          <w:rFonts w:ascii="Times New Roman" w:hAnsi="Times New Roman"/>
          <w:sz w:val="24"/>
          <w:szCs w:val="24"/>
          <w:lang w:eastAsia="pt-PT"/>
        </w:rPr>
      </w:pPr>
      <w:r>
        <w:rPr>
          <w:rFonts w:ascii="Times New Roman" w:hAnsi="Times New Roman"/>
          <w:sz w:val="24"/>
          <w:szCs w:val="24"/>
          <w:lang w:eastAsia="pt-PT"/>
        </w:rPr>
        <w:t>RPg - Receptor de P</w:t>
      </w:r>
      <w:r w:rsidRPr="00F54274">
        <w:rPr>
          <w:rFonts w:ascii="Times New Roman" w:hAnsi="Times New Roman"/>
          <w:sz w:val="24"/>
          <w:szCs w:val="24"/>
          <w:lang w:eastAsia="pt-PT"/>
        </w:rPr>
        <w:t xml:space="preserve">rogesterona </w:t>
      </w:r>
    </w:p>
    <w:p w:rsidR="00D97217" w:rsidRDefault="00D97217" w:rsidP="00D97217">
      <w:pPr>
        <w:spacing w:after="0"/>
        <w:jc w:val="both"/>
        <w:rPr>
          <w:rFonts w:ascii="Times New Roman" w:hAnsi="Times New Roman"/>
          <w:sz w:val="24"/>
          <w:szCs w:val="24"/>
          <w:lang w:eastAsia="pt-PT"/>
        </w:rPr>
      </w:pPr>
      <w:r>
        <w:rPr>
          <w:rFonts w:ascii="Times-Roman" w:hAnsi="Times-Roman" w:cs="Times-Roman"/>
          <w:sz w:val="24"/>
          <w:lang w:eastAsia="pt-PT"/>
        </w:rPr>
        <w:t xml:space="preserve">SFA - Ácidos gordos saturados; </w:t>
      </w:r>
      <w:r w:rsidRPr="005130E2">
        <w:rPr>
          <w:rFonts w:ascii="Times New Roman" w:hAnsi="Times New Roman"/>
          <w:sz w:val="24"/>
          <w:lang w:eastAsia="pt-PT"/>
        </w:rPr>
        <w:t>d</w:t>
      </w:r>
      <w:r>
        <w:rPr>
          <w:rFonts w:ascii="Times New Roman" w:hAnsi="Times New Roman"/>
          <w:sz w:val="24"/>
          <w:lang w:eastAsia="pt-PT"/>
        </w:rPr>
        <w:t xml:space="preserve">o inglês: </w:t>
      </w:r>
      <w:r w:rsidRPr="005130E2">
        <w:rPr>
          <w:rFonts w:ascii="Times New Roman" w:hAnsi="Times New Roman"/>
          <w:i/>
          <w:sz w:val="24"/>
          <w:lang w:eastAsia="pt-PT"/>
        </w:rPr>
        <w:t>saturated fatty acids</w:t>
      </w:r>
    </w:p>
    <w:p w:rsidR="00D97217" w:rsidRDefault="00D97217" w:rsidP="00D97217">
      <w:pPr>
        <w:spacing w:after="0"/>
        <w:jc w:val="both"/>
        <w:rPr>
          <w:rFonts w:ascii="Times New Roman" w:hAnsi="Times New Roman"/>
          <w:sz w:val="24"/>
        </w:rPr>
      </w:pPr>
      <w:r>
        <w:rPr>
          <w:rFonts w:ascii="Times New Roman" w:hAnsi="Times New Roman"/>
          <w:sz w:val="24"/>
        </w:rPr>
        <w:lastRenderedPageBreak/>
        <w:t>SOD - Superóxido D</w:t>
      </w:r>
      <w:r w:rsidRPr="00D470C2">
        <w:rPr>
          <w:rFonts w:ascii="Times New Roman" w:hAnsi="Times New Roman"/>
          <w:sz w:val="24"/>
        </w:rPr>
        <w:t>ismutase</w:t>
      </w:r>
    </w:p>
    <w:p w:rsidR="00D97217" w:rsidRPr="00D470C2" w:rsidRDefault="00D97217" w:rsidP="00D97217">
      <w:pPr>
        <w:spacing w:after="0"/>
        <w:jc w:val="both"/>
        <w:rPr>
          <w:rFonts w:ascii="Times New Roman" w:hAnsi="Times New Roman"/>
          <w:sz w:val="24"/>
        </w:rPr>
      </w:pPr>
      <w:r>
        <w:rPr>
          <w:rFonts w:ascii="Times New Roman" w:hAnsi="Times New Roman"/>
          <w:sz w:val="24"/>
          <w:lang w:eastAsia="pt-PT"/>
        </w:rPr>
        <w:t xml:space="preserve">TNBC – Cancro da Mama Fenótipo Triplo Negativo; do inglês: </w:t>
      </w:r>
      <w:r w:rsidRPr="00733952">
        <w:rPr>
          <w:rFonts w:ascii="Times New Roman" w:hAnsi="Times New Roman"/>
          <w:i/>
          <w:sz w:val="24"/>
          <w:lang w:eastAsia="pt-PT"/>
        </w:rPr>
        <w:t>Triple Negative Breast Cancer</w:t>
      </w:r>
    </w:p>
    <w:p w:rsidR="00D97217" w:rsidRPr="00193C57" w:rsidRDefault="00D97217" w:rsidP="00D97217">
      <w:pPr>
        <w:spacing w:after="0"/>
        <w:jc w:val="both"/>
        <w:rPr>
          <w:rFonts w:ascii="Times New Roman" w:hAnsi="Times New Roman"/>
          <w:sz w:val="24"/>
          <w:szCs w:val="24"/>
        </w:rPr>
      </w:pPr>
      <w:r w:rsidRPr="00193C57">
        <w:rPr>
          <w:rFonts w:ascii="Times New Roman" w:hAnsi="Times New Roman"/>
          <w:sz w:val="24"/>
          <w:szCs w:val="24"/>
        </w:rPr>
        <w:t>UFC – Unidades formadoras de c</w:t>
      </w:r>
      <w:r>
        <w:rPr>
          <w:rFonts w:ascii="Times New Roman" w:hAnsi="Times New Roman"/>
          <w:sz w:val="24"/>
          <w:szCs w:val="24"/>
        </w:rPr>
        <w:t>olónias</w:t>
      </w:r>
    </w:p>
    <w:p w:rsidR="00D97217" w:rsidRDefault="00D97217" w:rsidP="00D97217">
      <w:pPr>
        <w:spacing w:after="0"/>
        <w:jc w:val="both"/>
        <w:rPr>
          <w:rFonts w:ascii="Times New Roman" w:hAnsi="Times New Roman"/>
          <w:sz w:val="24"/>
          <w:szCs w:val="24"/>
        </w:rPr>
      </w:pPr>
      <w:r>
        <w:rPr>
          <w:rFonts w:ascii="Times New Roman" w:hAnsi="Times New Roman"/>
          <w:sz w:val="24"/>
          <w:szCs w:val="24"/>
        </w:rPr>
        <w:t>UV- Radiação Ultravioleta</w:t>
      </w:r>
    </w:p>
    <w:p w:rsidR="00D97217" w:rsidRPr="00853EC8" w:rsidRDefault="00D97217" w:rsidP="00D97217">
      <w:pPr>
        <w:spacing w:after="0"/>
        <w:jc w:val="both"/>
        <w:rPr>
          <w:rFonts w:ascii="Times New Roman" w:hAnsi="Times New Roman"/>
          <w:i/>
          <w:sz w:val="24"/>
          <w:szCs w:val="24"/>
          <w:lang w:val="en-US"/>
        </w:rPr>
      </w:pPr>
      <w:r w:rsidRPr="00853EC8">
        <w:rPr>
          <w:rFonts w:ascii="Times New Roman" w:hAnsi="Times New Roman"/>
          <w:sz w:val="24"/>
          <w:szCs w:val="24"/>
          <w:lang w:val="en-US"/>
        </w:rPr>
        <w:t xml:space="preserve">YPD - </w:t>
      </w:r>
      <w:r w:rsidRPr="00853EC8">
        <w:rPr>
          <w:rFonts w:ascii="Times New Roman" w:hAnsi="Times New Roman"/>
          <w:i/>
          <w:sz w:val="24"/>
          <w:szCs w:val="24"/>
          <w:lang w:val="en-US"/>
        </w:rPr>
        <w:t>Yeast peptone dextrose</w:t>
      </w:r>
    </w:p>
    <w:p w:rsidR="00D97217" w:rsidRPr="00853EC8" w:rsidRDefault="00D97217" w:rsidP="00D97217">
      <w:pPr>
        <w:spacing w:after="0"/>
        <w:jc w:val="both"/>
        <w:rPr>
          <w:rFonts w:ascii="Times New Roman" w:hAnsi="Times New Roman"/>
          <w:sz w:val="24"/>
          <w:szCs w:val="24"/>
          <w:lang w:val="en-US" w:eastAsia="pt-PT"/>
        </w:rPr>
      </w:pPr>
      <w:r w:rsidRPr="00853EC8">
        <w:rPr>
          <w:rFonts w:ascii="Times New Roman" w:hAnsi="Times New Roman"/>
          <w:sz w:val="24"/>
          <w:szCs w:val="24"/>
          <w:lang w:val="en-US" w:eastAsia="pt-PT"/>
        </w:rPr>
        <w:t>Zn - Zinco</w:t>
      </w:r>
    </w:p>
    <w:p w:rsidR="00D97217" w:rsidRDefault="00D97217" w:rsidP="00D97217">
      <w:pPr>
        <w:spacing w:after="0"/>
        <w:jc w:val="both"/>
        <w:rPr>
          <w:rFonts w:ascii="Times New Roman" w:hAnsi="Times New Roman"/>
          <w:sz w:val="24"/>
        </w:rPr>
      </w:pPr>
      <m:oMath>
        <m:r>
          <m:rPr>
            <m:sty m:val="bi"/>
          </m:rPr>
          <w:rPr>
            <w:rFonts w:ascii="Times New Roman" w:hAnsi="Times New Roman"/>
            <w:sz w:val="24"/>
          </w:rPr>
          <m:t>∆</m:t>
        </m:r>
      </m:oMath>
      <w:r w:rsidRPr="00A60187">
        <w:rPr>
          <w:rFonts w:ascii="Times New Roman" w:hAnsi="Times New Roman"/>
          <w:b/>
          <w:i/>
          <w:sz w:val="24"/>
        </w:rPr>
        <w:t>P</w:t>
      </w:r>
      <w:r>
        <w:rPr>
          <w:rFonts w:ascii="Times New Roman" w:hAnsi="Times New Roman"/>
          <w:sz w:val="24"/>
        </w:rPr>
        <w:t xml:space="preserve"> - Variação da Pressão R</w:t>
      </w:r>
      <w:r w:rsidRPr="00A60187">
        <w:rPr>
          <w:rFonts w:ascii="Times New Roman" w:hAnsi="Times New Roman"/>
          <w:sz w:val="24"/>
        </w:rPr>
        <w:t xml:space="preserve">egulada </w:t>
      </w:r>
    </w:p>
    <w:p w:rsidR="00D97217" w:rsidRDefault="00D97217" w:rsidP="00D97217">
      <w:pPr>
        <w:spacing w:after="0"/>
        <w:jc w:val="both"/>
        <w:rPr>
          <w:rFonts w:ascii="Times New Roman" w:hAnsi="Times New Roman"/>
          <w:b/>
          <w:sz w:val="24"/>
        </w:rPr>
      </w:pPr>
      <m:oMath>
        <m:r>
          <m:rPr>
            <m:sty m:val="bi"/>
          </m:rPr>
          <w:rPr>
            <w:rFonts w:ascii="Times New Roman" w:hAnsi="Times New Roman"/>
            <w:sz w:val="24"/>
          </w:rPr>
          <m:t>∆</m:t>
        </m:r>
        <m:r>
          <m:rPr>
            <m:sty m:val="bi"/>
          </m:rPr>
          <w:rPr>
            <w:rFonts w:ascii="Cambria Math" w:hAnsi="Cambria Math"/>
            <w:sz w:val="24"/>
          </w:rPr>
          <m:t>π</m:t>
        </m:r>
      </m:oMath>
      <w:r w:rsidRPr="00A60187">
        <w:rPr>
          <w:rFonts w:ascii="Times New Roman" w:hAnsi="Times New Roman"/>
          <w:sz w:val="24"/>
        </w:rPr>
        <w:t xml:space="preserve"> </w:t>
      </w:r>
      <w:r>
        <w:rPr>
          <w:rFonts w:ascii="Times New Roman" w:hAnsi="Times New Roman"/>
          <w:sz w:val="24"/>
        </w:rPr>
        <w:t>- Variação da Pressão O</w:t>
      </w:r>
      <w:r w:rsidRPr="00A60187">
        <w:rPr>
          <w:rFonts w:ascii="Times New Roman" w:hAnsi="Times New Roman"/>
          <w:sz w:val="24"/>
        </w:rPr>
        <w:t xml:space="preserve">smótica entre o lado retido e o permeado </w:t>
      </w:r>
    </w:p>
    <w:p w:rsidR="00D97217" w:rsidRDefault="00D97217" w:rsidP="00D97217">
      <w:pPr>
        <w:spacing w:after="0"/>
        <w:jc w:val="both"/>
        <w:rPr>
          <w:rFonts w:ascii="Times New Roman" w:hAnsi="Times New Roman"/>
          <w:sz w:val="24"/>
        </w:rPr>
      </w:pPr>
      <w:r w:rsidRPr="00A60187">
        <w:rPr>
          <w:rFonts w:ascii="Times New Roman" w:hAnsi="Times New Roman"/>
          <w:b/>
          <w:i/>
          <w:sz w:val="24"/>
        </w:rPr>
        <w:t>JV</w:t>
      </w:r>
      <w:r>
        <w:rPr>
          <w:rFonts w:ascii="Times New Roman" w:hAnsi="Times New Roman"/>
          <w:b/>
          <w:i/>
          <w:sz w:val="24"/>
        </w:rPr>
        <w:t xml:space="preserve"> - </w:t>
      </w:r>
      <w:r>
        <w:rPr>
          <w:rFonts w:ascii="Times New Roman" w:hAnsi="Times New Roman"/>
          <w:sz w:val="24"/>
        </w:rPr>
        <w:t>F</w:t>
      </w:r>
      <w:r w:rsidRPr="00A60187">
        <w:rPr>
          <w:rFonts w:ascii="Times New Roman" w:hAnsi="Times New Roman"/>
          <w:sz w:val="24"/>
        </w:rPr>
        <w:t xml:space="preserve">luxo da </w:t>
      </w:r>
      <w:r>
        <w:rPr>
          <w:rFonts w:ascii="Times New Roman" w:hAnsi="Times New Roman"/>
          <w:sz w:val="24"/>
        </w:rPr>
        <w:t>M</w:t>
      </w:r>
      <w:r w:rsidRPr="00A60187">
        <w:rPr>
          <w:rFonts w:ascii="Times New Roman" w:hAnsi="Times New Roman"/>
          <w:sz w:val="24"/>
        </w:rPr>
        <w:t>embrana</w:t>
      </w:r>
    </w:p>
    <w:p w:rsidR="00D97217" w:rsidRDefault="00D97217" w:rsidP="00D97217">
      <w:pPr>
        <w:spacing w:after="0"/>
        <w:jc w:val="both"/>
        <w:rPr>
          <w:rFonts w:ascii="Times New Roman" w:hAnsi="Times New Roman"/>
          <w:sz w:val="24"/>
          <w:szCs w:val="24"/>
        </w:rPr>
      </w:pPr>
      <w:r w:rsidRPr="00C45009">
        <w:rPr>
          <w:rFonts w:ascii="Times New Roman" w:hAnsi="Times New Roman"/>
          <w:sz w:val="24"/>
          <w:szCs w:val="24"/>
        </w:rPr>
        <w:t>ω-3</w:t>
      </w:r>
      <w:r>
        <w:rPr>
          <w:rFonts w:ascii="Times New Roman" w:hAnsi="Times New Roman"/>
          <w:sz w:val="24"/>
          <w:szCs w:val="24"/>
        </w:rPr>
        <w:t>- Ômega 3</w:t>
      </w:r>
    </w:p>
    <w:p w:rsidR="00D97217" w:rsidRDefault="00D97217" w:rsidP="00D97217">
      <w:pPr>
        <w:spacing w:after="0"/>
        <w:jc w:val="both"/>
        <w:rPr>
          <w:rFonts w:ascii="Times New Roman" w:hAnsi="Times New Roman"/>
          <w:sz w:val="24"/>
          <w:szCs w:val="24"/>
        </w:rPr>
      </w:pPr>
      <w:r w:rsidRPr="00C45009">
        <w:rPr>
          <w:rFonts w:ascii="Times New Roman" w:hAnsi="Times New Roman"/>
          <w:sz w:val="24"/>
          <w:szCs w:val="24"/>
        </w:rPr>
        <w:t>ω-6</w:t>
      </w:r>
      <w:r>
        <w:rPr>
          <w:rFonts w:ascii="Times New Roman" w:hAnsi="Times New Roman"/>
          <w:sz w:val="24"/>
          <w:szCs w:val="24"/>
        </w:rPr>
        <w:t>- Ômega 6</w:t>
      </w:r>
    </w:p>
    <w:p w:rsidR="00D97217" w:rsidRPr="00922066" w:rsidRDefault="00D97217" w:rsidP="00D97217">
      <w:pPr>
        <w:spacing w:after="0"/>
        <w:jc w:val="both"/>
        <w:rPr>
          <w:rFonts w:ascii="Times New Roman" w:hAnsi="Times New Roman"/>
          <w:sz w:val="24"/>
          <w:szCs w:val="24"/>
        </w:rPr>
      </w:pPr>
    </w:p>
    <w:p w:rsidR="00D97217" w:rsidRDefault="00D97217" w:rsidP="00D97217">
      <w:pPr>
        <w:pStyle w:val="Default"/>
        <w:rPr>
          <w:sz w:val="23"/>
          <w:szCs w:val="23"/>
        </w:rPr>
      </w:pPr>
      <w:r w:rsidRPr="009E35D7">
        <w:rPr>
          <w:sz w:val="23"/>
          <w:szCs w:val="23"/>
          <w:u w:val="single"/>
        </w:rPr>
        <w:t>Unidades de medida</w:t>
      </w:r>
      <w:r w:rsidRPr="009E35D7">
        <w:rPr>
          <w:sz w:val="23"/>
          <w:szCs w:val="23"/>
        </w:rPr>
        <w:t xml:space="preserve"> </w:t>
      </w:r>
    </w:p>
    <w:p w:rsidR="00D97217" w:rsidRPr="009E35D7" w:rsidRDefault="00D97217" w:rsidP="00D97217">
      <w:pPr>
        <w:pStyle w:val="Default"/>
        <w:rPr>
          <w:sz w:val="23"/>
          <w:szCs w:val="23"/>
        </w:rPr>
      </w:pPr>
    </w:p>
    <w:p w:rsidR="00D97217" w:rsidRPr="009E35D7" w:rsidRDefault="00D97217" w:rsidP="00D97217">
      <w:pPr>
        <w:pStyle w:val="Default"/>
        <w:spacing w:line="276" w:lineRule="auto"/>
        <w:rPr>
          <w:szCs w:val="23"/>
        </w:rPr>
      </w:pPr>
      <w:r w:rsidRPr="009E35D7">
        <w:rPr>
          <w:szCs w:val="23"/>
        </w:rPr>
        <w:t xml:space="preserve">% - percentagem </w:t>
      </w:r>
    </w:p>
    <w:p w:rsidR="00D97217" w:rsidRPr="009E35D7" w:rsidRDefault="00D97217" w:rsidP="00D97217">
      <w:pPr>
        <w:pStyle w:val="Default"/>
        <w:spacing w:line="276" w:lineRule="auto"/>
        <w:rPr>
          <w:szCs w:val="23"/>
        </w:rPr>
      </w:pPr>
      <w:r w:rsidRPr="009E35D7">
        <w:rPr>
          <w:szCs w:val="23"/>
        </w:rPr>
        <w:t xml:space="preserve">ºC – graus Celsius </w:t>
      </w:r>
    </w:p>
    <w:p w:rsidR="00D97217" w:rsidRPr="009E35D7" w:rsidRDefault="00D97217" w:rsidP="00D97217">
      <w:pPr>
        <w:spacing w:after="0"/>
        <w:jc w:val="both"/>
        <w:rPr>
          <w:rFonts w:ascii="Times New Roman" w:hAnsi="Times New Roman"/>
          <w:sz w:val="24"/>
          <w:szCs w:val="23"/>
        </w:rPr>
      </w:pPr>
      <w:r w:rsidRPr="009E35D7">
        <w:rPr>
          <w:rFonts w:ascii="Times New Roman" w:hAnsi="Times New Roman"/>
          <w:sz w:val="24"/>
          <w:szCs w:val="23"/>
        </w:rPr>
        <w:t>μ</w:t>
      </w:r>
      <w:r>
        <w:rPr>
          <w:rFonts w:ascii="Times New Roman" w:hAnsi="Times New Roman"/>
          <w:sz w:val="24"/>
          <w:szCs w:val="23"/>
        </w:rPr>
        <w:t>g – micrograma</w:t>
      </w:r>
    </w:p>
    <w:p w:rsidR="00D97217" w:rsidRPr="009E35D7" w:rsidRDefault="00D97217" w:rsidP="00D97217">
      <w:pPr>
        <w:pStyle w:val="Default"/>
        <w:spacing w:line="276" w:lineRule="auto"/>
        <w:rPr>
          <w:szCs w:val="23"/>
        </w:rPr>
      </w:pPr>
      <w:r w:rsidRPr="009E35D7">
        <w:rPr>
          <w:szCs w:val="23"/>
        </w:rPr>
        <w:t xml:space="preserve">μL – microlitro </w:t>
      </w:r>
    </w:p>
    <w:p w:rsidR="00D97217" w:rsidRPr="009E35D7" w:rsidRDefault="00D97217" w:rsidP="00D97217">
      <w:pPr>
        <w:pStyle w:val="Default"/>
        <w:spacing w:line="276" w:lineRule="auto"/>
        <w:rPr>
          <w:szCs w:val="23"/>
        </w:rPr>
      </w:pPr>
      <w:r w:rsidRPr="009E35D7">
        <w:rPr>
          <w:szCs w:val="23"/>
        </w:rPr>
        <w:t xml:space="preserve">μM - micromolar </w:t>
      </w:r>
    </w:p>
    <w:p w:rsidR="00D97217" w:rsidRDefault="00D97217" w:rsidP="00D97217">
      <w:pPr>
        <w:pStyle w:val="Default"/>
        <w:spacing w:line="276" w:lineRule="auto"/>
        <w:rPr>
          <w:szCs w:val="23"/>
        </w:rPr>
      </w:pPr>
      <w:r>
        <w:rPr>
          <w:szCs w:val="23"/>
        </w:rPr>
        <w:t>bar – bar</w:t>
      </w:r>
    </w:p>
    <w:p w:rsidR="00D97217" w:rsidRPr="009E35D7" w:rsidRDefault="00D97217" w:rsidP="00D97217">
      <w:pPr>
        <w:pStyle w:val="Default"/>
        <w:spacing w:line="276" w:lineRule="auto"/>
        <w:rPr>
          <w:szCs w:val="23"/>
        </w:rPr>
      </w:pPr>
      <w:r w:rsidRPr="009E35D7">
        <w:rPr>
          <w:szCs w:val="23"/>
        </w:rPr>
        <w:t xml:space="preserve">g – grama </w:t>
      </w:r>
    </w:p>
    <w:p w:rsidR="00280503" w:rsidRDefault="00280503" w:rsidP="00280503">
      <w:pPr>
        <w:pStyle w:val="Default"/>
        <w:spacing w:line="276" w:lineRule="auto"/>
        <w:rPr>
          <w:szCs w:val="23"/>
        </w:rPr>
      </w:pPr>
      <w:r w:rsidRPr="00280503">
        <w:rPr>
          <w:rFonts w:ascii="Calibri" w:hAnsi="Calibri" w:cs="Calibri"/>
          <w:i/>
          <w:szCs w:val="23"/>
        </w:rPr>
        <w:t>ɡ</w:t>
      </w:r>
      <w:r>
        <w:rPr>
          <w:szCs w:val="23"/>
        </w:rPr>
        <w:t>- gês</w:t>
      </w:r>
    </w:p>
    <w:p w:rsidR="00D97217" w:rsidRPr="009E35D7" w:rsidRDefault="00D97217" w:rsidP="00D97217">
      <w:pPr>
        <w:pStyle w:val="Default"/>
        <w:spacing w:line="276" w:lineRule="auto"/>
        <w:rPr>
          <w:szCs w:val="23"/>
        </w:rPr>
      </w:pPr>
      <w:r w:rsidRPr="009E35D7">
        <w:rPr>
          <w:szCs w:val="23"/>
        </w:rPr>
        <w:t>h – horas</w:t>
      </w:r>
    </w:p>
    <w:p w:rsidR="00D97217" w:rsidRPr="00922066" w:rsidRDefault="00D97217" w:rsidP="00D97217">
      <w:pPr>
        <w:pStyle w:val="Default"/>
        <w:spacing w:line="276" w:lineRule="auto"/>
        <w:rPr>
          <w:szCs w:val="23"/>
        </w:rPr>
      </w:pPr>
      <w:r w:rsidRPr="00922066">
        <w:rPr>
          <w:szCs w:val="23"/>
        </w:rPr>
        <w:t>Kcal - quilocaloria</w:t>
      </w:r>
    </w:p>
    <w:p w:rsidR="00D97217" w:rsidRPr="00922066" w:rsidRDefault="00D97217" w:rsidP="00D97217">
      <w:pPr>
        <w:pStyle w:val="Default"/>
        <w:spacing w:line="276" w:lineRule="auto"/>
        <w:rPr>
          <w:szCs w:val="23"/>
        </w:rPr>
      </w:pPr>
      <w:r w:rsidRPr="00922066">
        <w:rPr>
          <w:szCs w:val="23"/>
        </w:rPr>
        <w:t xml:space="preserve">kg - kilograma </w:t>
      </w:r>
    </w:p>
    <w:p w:rsidR="00D97217" w:rsidRPr="00922066" w:rsidRDefault="00D97217" w:rsidP="00D97217">
      <w:pPr>
        <w:pStyle w:val="Default"/>
        <w:spacing w:line="276" w:lineRule="auto"/>
        <w:rPr>
          <w:szCs w:val="23"/>
        </w:rPr>
      </w:pPr>
      <w:r w:rsidRPr="00922066">
        <w:rPr>
          <w:szCs w:val="23"/>
        </w:rPr>
        <w:t>L – litro</w:t>
      </w:r>
    </w:p>
    <w:p w:rsidR="00D97217" w:rsidRPr="00922066" w:rsidRDefault="00D97217" w:rsidP="00D97217">
      <w:pPr>
        <w:pStyle w:val="Default"/>
        <w:spacing w:line="276" w:lineRule="auto"/>
        <w:rPr>
          <w:szCs w:val="23"/>
        </w:rPr>
      </w:pPr>
      <w:r w:rsidRPr="00922066">
        <w:rPr>
          <w:szCs w:val="23"/>
        </w:rPr>
        <w:t>m- massa</w:t>
      </w:r>
    </w:p>
    <w:p w:rsidR="00D97217" w:rsidRPr="00922066" w:rsidRDefault="00D97217" w:rsidP="00D97217">
      <w:pPr>
        <w:pStyle w:val="Default"/>
        <w:spacing w:line="276" w:lineRule="auto"/>
        <w:rPr>
          <w:szCs w:val="23"/>
        </w:rPr>
      </w:pPr>
      <w:r w:rsidRPr="00922066">
        <w:rPr>
          <w:szCs w:val="23"/>
        </w:rPr>
        <w:t>m</w:t>
      </w:r>
      <w:r w:rsidRPr="00922066">
        <w:rPr>
          <w:szCs w:val="23"/>
          <w:vertAlign w:val="superscript"/>
        </w:rPr>
        <w:t>2</w:t>
      </w:r>
      <w:r w:rsidRPr="00922066">
        <w:rPr>
          <w:szCs w:val="23"/>
        </w:rPr>
        <w:t xml:space="preserve"> – metro quadrado</w:t>
      </w:r>
    </w:p>
    <w:p w:rsidR="00D97217" w:rsidRPr="00922066" w:rsidRDefault="00D97217" w:rsidP="00D97217">
      <w:pPr>
        <w:pStyle w:val="Default"/>
        <w:spacing w:line="276" w:lineRule="auto"/>
        <w:rPr>
          <w:szCs w:val="23"/>
        </w:rPr>
      </w:pPr>
      <w:r w:rsidRPr="00922066">
        <w:rPr>
          <w:szCs w:val="23"/>
        </w:rPr>
        <w:t>M – molar</w:t>
      </w:r>
    </w:p>
    <w:p w:rsidR="00D97217" w:rsidRPr="009E35D7" w:rsidRDefault="00D97217" w:rsidP="00D97217">
      <w:pPr>
        <w:pStyle w:val="Default"/>
        <w:spacing w:line="276" w:lineRule="auto"/>
        <w:rPr>
          <w:szCs w:val="23"/>
          <w:lang w:val="sv-SE"/>
        </w:rPr>
      </w:pPr>
      <w:r w:rsidRPr="009E35D7">
        <w:rPr>
          <w:szCs w:val="23"/>
          <w:lang w:val="sv-SE"/>
        </w:rPr>
        <w:t xml:space="preserve">mg - miligrama </w:t>
      </w:r>
    </w:p>
    <w:p w:rsidR="00D97217" w:rsidRPr="009E35D7" w:rsidRDefault="00D97217" w:rsidP="00D97217">
      <w:pPr>
        <w:pStyle w:val="Default"/>
        <w:spacing w:line="276" w:lineRule="auto"/>
        <w:rPr>
          <w:szCs w:val="23"/>
          <w:lang w:val="sv-SE"/>
        </w:rPr>
      </w:pPr>
      <w:r w:rsidRPr="009E35D7">
        <w:rPr>
          <w:szCs w:val="23"/>
          <w:lang w:val="sv-SE"/>
        </w:rPr>
        <w:t xml:space="preserve">min - minuto </w:t>
      </w:r>
    </w:p>
    <w:p w:rsidR="00D97217" w:rsidRPr="009E35D7" w:rsidRDefault="00D97217" w:rsidP="00D97217">
      <w:pPr>
        <w:pStyle w:val="Default"/>
        <w:spacing w:line="276" w:lineRule="auto"/>
        <w:rPr>
          <w:szCs w:val="23"/>
          <w:lang w:val="sv-SE"/>
        </w:rPr>
      </w:pPr>
      <w:r w:rsidRPr="009E35D7">
        <w:rPr>
          <w:szCs w:val="23"/>
          <w:lang w:val="sv-SE"/>
        </w:rPr>
        <w:t xml:space="preserve">mL – mililitro </w:t>
      </w:r>
    </w:p>
    <w:p w:rsidR="00D97217" w:rsidRPr="009E35D7" w:rsidRDefault="00D97217" w:rsidP="00D97217">
      <w:pPr>
        <w:pStyle w:val="Default"/>
        <w:spacing w:line="276" w:lineRule="auto"/>
        <w:rPr>
          <w:szCs w:val="23"/>
        </w:rPr>
      </w:pPr>
      <w:r w:rsidRPr="009E35D7">
        <w:rPr>
          <w:szCs w:val="23"/>
        </w:rPr>
        <w:t>mM – milimolar</w:t>
      </w:r>
    </w:p>
    <w:p w:rsidR="00D97217" w:rsidRPr="009E35D7" w:rsidRDefault="00D97217" w:rsidP="00D97217">
      <w:pPr>
        <w:pStyle w:val="Default"/>
        <w:spacing w:line="276" w:lineRule="auto"/>
        <w:rPr>
          <w:szCs w:val="23"/>
        </w:rPr>
      </w:pPr>
      <w:r w:rsidRPr="009E35D7">
        <w:rPr>
          <w:szCs w:val="23"/>
        </w:rPr>
        <w:t xml:space="preserve">mol - mole </w:t>
      </w:r>
    </w:p>
    <w:p w:rsidR="00D97217" w:rsidRPr="009E35D7" w:rsidRDefault="00D97217" w:rsidP="00D97217">
      <w:pPr>
        <w:pStyle w:val="Default"/>
        <w:spacing w:line="276" w:lineRule="auto"/>
        <w:rPr>
          <w:szCs w:val="23"/>
        </w:rPr>
      </w:pPr>
      <w:r w:rsidRPr="009E35D7">
        <w:rPr>
          <w:szCs w:val="23"/>
        </w:rPr>
        <w:t>nm – nanómetro</w:t>
      </w:r>
    </w:p>
    <w:p w:rsidR="00D97217" w:rsidRPr="009E35D7" w:rsidRDefault="00D97217" w:rsidP="00D97217">
      <w:pPr>
        <w:pStyle w:val="Default"/>
        <w:spacing w:line="276" w:lineRule="auto"/>
        <w:rPr>
          <w:szCs w:val="23"/>
        </w:rPr>
      </w:pPr>
      <w:r w:rsidRPr="009E35D7">
        <w:rPr>
          <w:szCs w:val="23"/>
        </w:rPr>
        <w:t xml:space="preserve">nM - nanomolar </w:t>
      </w:r>
    </w:p>
    <w:p w:rsidR="00D97217" w:rsidRPr="009E35D7" w:rsidRDefault="00D97217" w:rsidP="00D97217">
      <w:pPr>
        <w:pStyle w:val="Default"/>
        <w:spacing w:line="276" w:lineRule="auto"/>
        <w:rPr>
          <w:szCs w:val="23"/>
        </w:rPr>
      </w:pPr>
      <w:r w:rsidRPr="009E35D7">
        <w:rPr>
          <w:szCs w:val="23"/>
        </w:rPr>
        <w:t xml:space="preserve">rpm – rotações por minuto </w:t>
      </w:r>
    </w:p>
    <w:p w:rsidR="00D97217" w:rsidRDefault="00D97217" w:rsidP="00D97217">
      <w:pPr>
        <w:pStyle w:val="Default"/>
        <w:spacing w:line="276" w:lineRule="auto"/>
        <w:rPr>
          <w:szCs w:val="23"/>
        </w:rPr>
      </w:pPr>
      <w:r>
        <w:rPr>
          <w:szCs w:val="23"/>
        </w:rPr>
        <w:t>s – segundos</w:t>
      </w:r>
    </w:p>
    <w:p w:rsidR="00D97217" w:rsidRPr="009E35D7" w:rsidRDefault="00D97217" w:rsidP="00D97217">
      <w:pPr>
        <w:pStyle w:val="Default"/>
        <w:spacing w:line="276" w:lineRule="auto"/>
        <w:rPr>
          <w:szCs w:val="23"/>
        </w:rPr>
      </w:pPr>
      <w:r>
        <w:rPr>
          <w:szCs w:val="23"/>
        </w:rPr>
        <w:t>V - volume</w:t>
      </w:r>
    </w:p>
    <w:p w:rsidR="009B4121" w:rsidRPr="009E35D7" w:rsidRDefault="009B4121" w:rsidP="009E35D7">
      <w:pPr>
        <w:spacing w:after="0"/>
        <w:jc w:val="both"/>
        <w:rPr>
          <w:rFonts w:ascii="Times New Roman" w:hAnsi="Times New Roman"/>
          <w:sz w:val="28"/>
          <w:szCs w:val="24"/>
        </w:rPr>
      </w:pPr>
    </w:p>
    <w:p w:rsidR="009B4121" w:rsidRDefault="009B4121" w:rsidP="009E35D7">
      <w:pPr>
        <w:spacing w:after="0"/>
        <w:jc w:val="both"/>
        <w:rPr>
          <w:rFonts w:ascii="Times New Roman" w:hAnsi="Times New Roman"/>
          <w:sz w:val="24"/>
          <w:szCs w:val="24"/>
        </w:rPr>
      </w:pPr>
    </w:p>
    <w:p w:rsidR="009B4121" w:rsidRDefault="009B4121" w:rsidP="009E35D7">
      <w:pPr>
        <w:spacing w:after="0"/>
        <w:jc w:val="both"/>
        <w:rPr>
          <w:rFonts w:ascii="Times New Roman" w:hAnsi="Times New Roman"/>
          <w:sz w:val="24"/>
          <w:szCs w:val="24"/>
        </w:rPr>
      </w:pPr>
    </w:p>
    <w:p w:rsidR="009B4121" w:rsidRDefault="009B4121" w:rsidP="009E35D7">
      <w:pPr>
        <w:spacing w:after="0"/>
        <w:jc w:val="both"/>
        <w:rPr>
          <w:rFonts w:ascii="Times New Roman" w:hAnsi="Times New Roman"/>
          <w:sz w:val="24"/>
          <w:szCs w:val="24"/>
        </w:rPr>
      </w:pPr>
    </w:p>
    <w:p w:rsidR="006737F5" w:rsidRDefault="006737F5" w:rsidP="00D855C6">
      <w:pPr>
        <w:spacing w:after="0"/>
        <w:jc w:val="both"/>
        <w:rPr>
          <w:rFonts w:ascii="Times New Roman" w:hAnsi="Times New Roman"/>
          <w:sz w:val="24"/>
          <w:szCs w:val="24"/>
        </w:rPr>
      </w:pPr>
    </w:p>
    <w:p w:rsidR="006737F5" w:rsidRDefault="006737F5" w:rsidP="00D855C6">
      <w:pPr>
        <w:spacing w:after="0"/>
        <w:jc w:val="both"/>
        <w:rPr>
          <w:rFonts w:ascii="Times New Roman" w:hAnsi="Times New Roman"/>
          <w:sz w:val="24"/>
          <w:szCs w:val="24"/>
        </w:rPr>
      </w:pPr>
    </w:p>
    <w:p w:rsidR="00D97217" w:rsidRPr="00D855C6" w:rsidRDefault="00D97217" w:rsidP="00D97217">
      <w:pPr>
        <w:spacing w:after="0"/>
        <w:jc w:val="both"/>
        <w:rPr>
          <w:rFonts w:ascii="Times New Roman" w:hAnsi="Times New Roman"/>
          <w:b/>
          <w:sz w:val="28"/>
          <w:szCs w:val="24"/>
        </w:rPr>
      </w:pPr>
      <w:r w:rsidRPr="00D855C6">
        <w:rPr>
          <w:rFonts w:ascii="Times New Roman" w:hAnsi="Times New Roman"/>
          <w:b/>
          <w:sz w:val="28"/>
          <w:szCs w:val="24"/>
        </w:rPr>
        <w:t xml:space="preserve">Resumo </w:t>
      </w:r>
    </w:p>
    <w:p w:rsidR="00D97217" w:rsidRPr="007B4D82" w:rsidRDefault="00D97217" w:rsidP="00D97217">
      <w:pPr>
        <w:spacing w:after="0"/>
        <w:jc w:val="both"/>
        <w:rPr>
          <w:rFonts w:ascii="Times New Roman" w:hAnsi="Times New Roman"/>
          <w:sz w:val="28"/>
          <w:szCs w:val="24"/>
        </w:rPr>
      </w:pPr>
    </w:p>
    <w:p w:rsidR="00D97217" w:rsidRPr="007B4D82" w:rsidRDefault="00D97217" w:rsidP="00D97217">
      <w:pPr>
        <w:spacing w:line="360" w:lineRule="auto"/>
        <w:jc w:val="center"/>
        <w:rPr>
          <w:rFonts w:ascii="Times New Roman" w:hAnsi="Times New Roman"/>
          <w:b/>
          <w:bCs/>
          <w:sz w:val="24"/>
        </w:rPr>
      </w:pPr>
      <w:r w:rsidRPr="007B4D82">
        <w:rPr>
          <w:rFonts w:ascii="Times New Roman" w:hAnsi="Times New Roman"/>
          <w:b/>
          <w:bCs/>
          <w:sz w:val="24"/>
        </w:rPr>
        <w:t>Valorização dos subprodutos derivados da indústria do azeite: Caracterização biológica dos seus extractos em células humanas de cancro da mama</w:t>
      </w:r>
    </w:p>
    <w:p w:rsidR="00D97217" w:rsidRDefault="00D97217" w:rsidP="00D97217">
      <w:pPr>
        <w:spacing w:after="0"/>
        <w:jc w:val="both"/>
        <w:rPr>
          <w:rFonts w:ascii="Times New Roman" w:hAnsi="Times New Roman"/>
          <w:sz w:val="24"/>
          <w:szCs w:val="24"/>
        </w:rPr>
      </w:pPr>
    </w:p>
    <w:p w:rsidR="00D97217" w:rsidRPr="008015CA" w:rsidRDefault="00D97217" w:rsidP="00D97217">
      <w:pPr>
        <w:ind w:firstLine="708"/>
        <w:jc w:val="both"/>
        <w:rPr>
          <w:rFonts w:ascii="Times New Roman" w:eastAsia="Times New Roman" w:hAnsi="Times New Roman"/>
          <w:color w:val="000000"/>
          <w:sz w:val="24"/>
          <w:szCs w:val="24"/>
          <w:lang w:eastAsia="pt-PT"/>
        </w:rPr>
      </w:pPr>
      <w:r w:rsidRPr="007B4D82">
        <w:rPr>
          <w:rFonts w:ascii="Times New Roman" w:hAnsi="Times New Roman"/>
          <w:sz w:val="24"/>
        </w:rPr>
        <w:t xml:space="preserve">O presente trabalho visa a </w:t>
      </w:r>
      <w:r>
        <w:rPr>
          <w:rFonts w:ascii="Times New Roman" w:hAnsi="Times New Roman"/>
          <w:sz w:val="24"/>
        </w:rPr>
        <w:t xml:space="preserve">valorização de um subproduto da indústria do azeite </w:t>
      </w:r>
      <w:r w:rsidRPr="007B4D82">
        <w:rPr>
          <w:rFonts w:ascii="Times New Roman" w:hAnsi="Times New Roman"/>
          <w:b/>
          <w:sz w:val="24"/>
          <w:u w:val="single"/>
        </w:rPr>
        <w:t>B</w:t>
      </w:r>
      <w:r>
        <w:rPr>
          <w:rFonts w:ascii="Times New Roman" w:hAnsi="Times New Roman"/>
          <w:sz w:val="24"/>
        </w:rPr>
        <w:t xml:space="preserve">agaço de </w:t>
      </w:r>
      <w:r w:rsidRPr="007B4D82">
        <w:rPr>
          <w:rFonts w:ascii="Times New Roman" w:hAnsi="Times New Roman"/>
          <w:b/>
          <w:sz w:val="24"/>
          <w:u w:val="single"/>
        </w:rPr>
        <w:t>A</w:t>
      </w:r>
      <w:r>
        <w:rPr>
          <w:rFonts w:ascii="Times New Roman" w:hAnsi="Times New Roman"/>
          <w:sz w:val="24"/>
        </w:rPr>
        <w:t xml:space="preserve">zeitona </w:t>
      </w:r>
      <w:r w:rsidRPr="007B4D82">
        <w:rPr>
          <w:rFonts w:ascii="Times New Roman" w:hAnsi="Times New Roman"/>
          <w:b/>
          <w:sz w:val="24"/>
          <w:u w:val="single"/>
        </w:rPr>
        <w:t>E</w:t>
      </w:r>
      <w:r w:rsidRPr="007B4D82">
        <w:rPr>
          <w:rFonts w:ascii="Times New Roman" w:hAnsi="Times New Roman"/>
          <w:sz w:val="24"/>
        </w:rPr>
        <w:t>xtractado (</w:t>
      </w:r>
      <w:r w:rsidRPr="007B4D82">
        <w:rPr>
          <w:rFonts w:ascii="Times New Roman" w:hAnsi="Times New Roman"/>
          <w:b/>
          <w:sz w:val="24"/>
        </w:rPr>
        <w:t>BAE</w:t>
      </w:r>
      <w:r>
        <w:rPr>
          <w:rFonts w:ascii="Times New Roman" w:hAnsi="Times New Roman"/>
          <w:sz w:val="24"/>
        </w:rPr>
        <w:t xml:space="preserve">), com </w:t>
      </w:r>
      <w:r w:rsidRPr="007B4D82">
        <w:rPr>
          <w:rFonts w:ascii="Times New Roman" w:hAnsi="Times New Roman"/>
          <w:sz w:val="24"/>
        </w:rPr>
        <w:t xml:space="preserve">obtenção de extractos aquosos purificados, </w:t>
      </w:r>
      <w:r>
        <w:rPr>
          <w:rFonts w:ascii="Times New Roman" w:hAnsi="Times New Roman"/>
          <w:sz w:val="24"/>
        </w:rPr>
        <w:t xml:space="preserve">com </w:t>
      </w:r>
      <w:r w:rsidRPr="007B4D82">
        <w:rPr>
          <w:rFonts w:ascii="Times New Roman" w:hAnsi="Times New Roman"/>
          <w:sz w:val="24"/>
        </w:rPr>
        <w:t>actividade biológica</w:t>
      </w:r>
      <w:r>
        <w:rPr>
          <w:rFonts w:ascii="Times New Roman" w:hAnsi="Times New Roman"/>
          <w:sz w:val="24"/>
        </w:rPr>
        <w:t xml:space="preserve"> melhorada</w:t>
      </w:r>
      <w:r w:rsidRPr="007B4D82">
        <w:rPr>
          <w:rFonts w:ascii="Times New Roman" w:hAnsi="Times New Roman"/>
          <w:sz w:val="24"/>
        </w:rPr>
        <w:t xml:space="preserve">, utilizando </w:t>
      </w:r>
      <w:r>
        <w:rPr>
          <w:rFonts w:ascii="Times New Roman" w:hAnsi="Times New Roman"/>
          <w:sz w:val="24"/>
        </w:rPr>
        <w:t xml:space="preserve">a </w:t>
      </w:r>
      <w:r w:rsidRPr="007B4D82">
        <w:rPr>
          <w:rFonts w:ascii="Times New Roman" w:hAnsi="Times New Roman"/>
          <w:sz w:val="24"/>
        </w:rPr>
        <w:t xml:space="preserve">tecnologia de membranas, nanofiltração e osmose inversa. </w:t>
      </w:r>
      <w:r>
        <w:rPr>
          <w:rFonts w:ascii="Times New Roman" w:hAnsi="Times New Roman"/>
          <w:sz w:val="24"/>
        </w:rPr>
        <w:t>Segundo</w:t>
      </w:r>
      <w:r w:rsidRPr="007B4D82">
        <w:rPr>
          <w:rFonts w:ascii="Times New Roman" w:hAnsi="Times New Roman"/>
          <w:sz w:val="24"/>
        </w:rPr>
        <w:t xml:space="preserve"> os resultados obtidos, o </w:t>
      </w:r>
      <w:r>
        <w:rPr>
          <w:rFonts w:ascii="Times New Roman" w:hAnsi="Times New Roman"/>
          <w:sz w:val="24"/>
        </w:rPr>
        <w:t>EPC</w:t>
      </w:r>
      <w:r w:rsidRPr="007B4D82">
        <w:rPr>
          <w:rFonts w:ascii="Times New Roman" w:hAnsi="Times New Roman"/>
          <w:sz w:val="24"/>
        </w:rPr>
        <w:t xml:space="preserve"> apresentou a maior grau de pureza (20%) </w:t>
      </w:r>
      <w:r>
        <w:rPr>
          <w:rFonts w:ascii="Times New Roman" w:hAnsi="Times New Roman"/>
          <w:sz w:val="24"/>
        </w:rPr>
        <w:t>relativo a</w:t>
      </w:r>
      <w:r w:rsidRPr="007B4D82">
        <w:rPr>
          <w:rFonts w:ascii="Times New Roman" w:hAnsi="Times New Roman"/>
          <w:sz w:val="24"/>
        </w:rPr>
        <w:t xml:space="preserve"> fenóis totais</w:t>
      </w:r>
      <w:r>
        <w:rPr>
          <w:rFonts w:ascii="Times New Roman" w:hAnsi="Times New Roman"/>
          <w:sz w:val="24"/>
        </w:rPr>
        <w:t>, bem como o maior</w:t>
      </w:r>
      <w:r w:rsidRPr="007B4D82">
        <w:rPr>
          <w:rFonts w:ascii="Times New Roman" w:hAnsi="Times New Roman"/>
          <w:sz w:val="24"/>
        </w:rPr>
        <w:t xml:space="preserve"> grau de pureza</w:t>
      </w:r>
      <w:r>
        <w:rPr>
          <w:rFonts w:ascii="Times New Roman" w:hAnsi="Times New Roman"/>
          <w:sz w:val="24"/>
        </w:rPr>
        <w:t xml:space="preserve"> em </w:t>
      </w:r>
      <w:r w:rsidRPr="007B4D82">
        <w:rPr>
          <w:rFonts w:ascii="Times New Roman" w:hAnsi="Times New Roman"/>
          <w:sz w:val="24"/>
        </w:rPr>
        <w:t>Hidroxitirosol</w:t>
      </w:r>
      <w:r>
        <w:rPr>
          <w:rFonts w:ascii="Times New Roman" w:hAnsi="Times New Roman"/>
          <w:sz w:val="24"/>
        </w:rPr>
        <w:t xml:space="preserve"> de entre os três extractos,</w:t>
      </w:r>
      <w:r w:rsidRPr="007B4D82">
        <w:rPr>
          <w:rFonts w:ascii="Times New Roman" w:hAnsi="Times New Roman"/>
          <w:sz w:val="24"/>
        </w:rPr>
        <w:t xml:space="preserve"> evidenciando a optimização do processo de nanofiltração no enriquecimento deste extracto no referido composto fenólico (rendimento final de 28%). </w:t>
      </w:r>
      <w:r w:rsidRPr="00E326C4">
        <w:rPr>
          <w:rFonts w:ascii="Times New Roman" w:hAnsi="Times New Roman"/>
          <w:sz w:val="24"/>
        </w:rPr>
        <w:t>Adicionalmente, o EPC tem um potencial anti-oxidante superior aos restantes extractos (IC</w:t>
      </w:r>
      <w:r w:rsidRPr="00E326C4">
        <w:rPr>
          <w:rFonts w:ascii="Times New Roman" w:hAnsi="Times New Roman"/>
          <w:sz w:val="24"/>
          <w:vertAlign w:val="subscript"/>
        </w:rPr>
        <w:t>50</w:t>
      </w:r>
      <w:r w:rsidRPr="00E326C4">
        <w:rPr>
          <w:rFonts w:ascii="Times New Roman" w:hAnsi="Times New Roman"/>
          <w:sz w:val="24"/>
        </w:rPr>
        <w:t>=8,99</w:t>
      </w:r>
      <w:r>
        <w:rPr>
          <w:rFonts w:ascii="Times New Roman" w:hAnsi="Times New Roman"/>
          <w:sz w:val="24"/>
        </w:rPr>
        <w:t>±0,20</w:t>
      </w:r>
      <w:r w:rsidRPr="007B4D82">
        <w:rPr>
          <w:rFonts w:ascii="Times New Roman" w:hAnsi="Times New Roman"/>
          <w:sz w:val="24"/>
        </w:rPr>
        <w:t>μ</w:t>
      </w:r>
      <w:r w:rsidRPr="00E326C4">
        <w:rPr>
          <w:rFonts w:ascii="Times New Roman" w:hAnsi="Times New Roman"/>
          <w:sz w:val="24"/>
        </w:rPr>
        <w:t>g/mL de extracto e EC</w:t>
      </w:r>
      <w:r w:rsidRPr="00E326C4">
        <w:rPr>
          <w:rFonts w:ascii="Times New Roman" w:hAnsi="Times New Roman"/>
          <w:sz w:val="24"/>
          <w:vertAlign w:val="subscript"/>
        </w:rPr>
        <w:t>50</w:t>
      </w:r>
      <w:r w:rsidRPr="00E326C4">
        <w:rPr>
          <w:rFonts w:ascii="Times New Roman" w:hAnsi="Times New Roman"/>
          <w:sz w:val="24"/>
        </w:rPr>
        <w:t>=12,08</w:t>
      </w:r>
      <w:r>
        <w:rPr>
          <w:rFonts w:ascii="Times New Roman" w:hAnsi="Times New Roman"/>
          <w:sz w:val="24"/>
        </w:rPr>
        <w:t>±0,97μ</w:t>
      </w:r>
      <w:r w:rsidRPr="00E326C4">
        <w:rPr>
          <w:rFonts w:ascii="Times New Roman" w:hAnsi="Times New Roman"/>
          <w:sz w:val="24"/>
        </w:rPr>
        <w:t>g/mL de extracto, ensaios de DPPH e</w:t>
      </w:r>
      <w:r>
        <w:rPr>
          <w:rFonts w:ascii="Times New Roman" w:hAnsi="Times New Roman"/>
          <w:sz w:val="24"/>
        </w:rPr>
        <w:t xml:space="preserve"> P</w:t>
      </w:r>
      <w:r w:rsidRPr="00E326C4">
        <w:rPr>
          <w:rFonts w:ascii="Times New Roman" w:hAnsi="Times New Roman"/>
          <w:sz w:val="24"/>
        </w:rPr>
        <w:t xml:space="preserve">oder redutor, respectivamente). </w:t>
      </w:r>
      <w:r w:rsidRPr="008015CA">
        <w:rPr>
          <w:rFonts w:ascii="Times New Roman" w:hAnsi="Times New Roman"/>
          <w:sz w:val="24"/>
        </w:rPr>
        <w:t xml:space="preserve">As células </w:t>
      </w:r>
      <w:r w:rsidRPr="008015CA">
        <w:rPr>
          <w:rFonts w:ascii="Times New Roman" w:eastAsia="Times New Roman" w:hAnsi="Times New Roman"/>
          <w:color w:val="000000"/>
          <w:sz w:val="24"/>
          <w:szCs w:val="24"/>
          <w:lang w:eastAsia="pt-PT"/>
        </w:rPr>
        <w:t>MDA-MB-231 tratadas com concentrações crescentes dos três extractos demonstraram um decréscimo no número de células vi</w:t>
      </w:r>
      <w:r>
        <w:rPr>
          <w:rFonts w:ascii="Times New Roman" w:eastAsia="Times New Roman" w:hAnsi="Times New Roman"/>
          <w:color w:val="000000"/>
          <w:sz w:val="24"/>
          <w:szCs w:val="24"/>
          <w:lang w:eastAsia="pt-PT"/>
        </w:rPr>
        <w:t>áveis. O</w:t>
      </w:r>
      <w:r w:rsidRPr="008015CA">
        <w:rPr>
          <w:rFonts w:ascii="Times New Roman" w:eastAsia="Times New Roman" w:hAnsi="Times New Roman"/>
          <w:color w:val="000000"/>
          <w:sz w:val="24"/>
          <w:szCs w:val="24"/>
          <w:lang w:eastAsia="pt-PT"/>
        </w:rPr>
        <w:t xml:space="preserve"> </w:t>
      </w:r>
      <w:r>
        <w:rPr>
          <w:rFonts w:ascii="Times New Roman" w:eastAsia="Times New Roman" w:hAnsi="Times New Roman"/>
          <w:color w:val="000000"/>
          <w:sz w:val="24"/>
          <w:szCs w:val="24"/>
          <w:lang w:eastAsia="pt-PT"/>
        </w:rPr>
        <w:t>EPC</w:t>
      </w:r>
      <w:r w:rsidRPr="008015CA">
        <w:rPr>
          <w:rFonts w:ascii="Times New Roman" w:eastAsia="Times New Roman" w:hAnsi="Times New Roman"/>
          <w:color w:val="000000"/>
          <w:sz w:val="24"/>
          <w:szCs w:val="24"/>
          <w:lang w:eastAsia="pt-PT"/>
        </w:rPr>
        <w:t xml:space="preserve"> </w:t>
      </w:r>
      <w:r>
        <w:rPr>
          <w:rFonts w:ascii="Times New Roman" w:eastAsia="Times New Roman" w:hAnsi="Times New Roman"/>
          <w:color w:val="000000"/>
          <w:sz w:val="24"/>
          <w:szCs w:val="24"/>
          <w:lang w:eastAsia="pt-PT"/>
        </w:rPr>
        <w:t>apresenta-se como o extracto com maior actividade antiproliferativa (IC</w:t>
      </w:r>
      <w:r w:rsidRPr="006737F5">
        <w:rPr>
          <w:rFonts w:ascii="Times New Roman" w:eastAsia="Times New Roman" w:hAnsi="Times New Roman"/>
          <w:color w:val="000000"/>
          <w:sz w:val="24"/>
          <w:szCs w:val="24"/>
          <w:vertAlign w:val="subscript"/>
          <w:lang w:eastAsia="pt-PT"/>
        </w:rPr>
        <w:t>50</w:t>
      </w:r>
      <w:r>
        <w:rPr>
          <w:rFonts w:ascii="Times New Roman" w:eastAsia="Times New Roman" w:hAnsi="Times New Roman"/>
          <w:color w:val="000000"/>
          <w:sz w:val="24"/>
          <w:szCs w:val="24"/>
          <w:lang w:eastAsia="pt-PT"/>
        </w:rPr>
        <w:t>=</w:t>
      </w:r>
      <w:r>
        <w:rPr>
          <w:rFonts w:ascii="Times New Roman" w:hAnsi="Times New Roman"/>
          <w:sz w:val="24"/>
        </w:rPr>
        <w:t>23,00±</w:t>
      </w:r>
      <w:r w:rsidRPr="00701F79">
        <w:rPr>
          <w:rFonts w:ascii="Times New Roman" w:hAnsi="Times New Roman"/>
          <w:sz w:val="24"/>
        </w:rPr>
        <w:t>6,63µM</w:t>
      </w:r>
      <w:r>
        <w:rPr>
          <w:rFonts w:ascii="Times New Roman" w:hAnsi="Times New Roman"/>
          <w:sz w:val="24"/>
        </w:rPr>
        <w:t>),</w:t>
      </w:r>
      <w:r>
        <w:rPr>
          <w:rFonts w:ascii="Times New Roman" w:eastAsia="Times New Roman" w:hAnsi="Times New Roman"/>
          <w:color w:val="000000"/>
          <w:sz w:val="24"/>
          <w:szCs w:val="24"/>
          <w:lang w:eastAsia="pt-PT"/>
        </w:rPr>
        <w:t xml:space="preserve"> determinada pelo ensaio de proliferação </w:t>
      </w:r>
      <w:r w:rsidRPr="008015CA">
        <w:rPr>
          <w:rFonts w:ascii="Times New Roman" w:eastAsia="Times New Roman" w:hAnsi="Times New Roman"/>
          <w:color w:val="000000"/>
          <w:sz w:val="24"/>
          <w:szCs w:val="24"/>
          <w:lang w:eastAsia="pt-PT"/>
        </w:rPr>
        <w:t>MTT.</w:t>
      </w:r>
    </w:p>
    <w:p w:rsidR="00D97217" w:rsidRPr="008015CA" w:rsidRDefault="00D97217" w:rsidP="00D97217">
      <w:pPr>
        <w:ind w:firstLine="708"/>
        <w:jc w:val="both"/>
        <w:rPr>
          <w:rFonts w:ascii="Times New Roman" w:hAnsi="Times New Roman"/>
          <w:sz w:val="24"/>
        </w:rPr>
      </w:pPr>
    </w:p>
    <w:p w:rsidR="00D97217" w:rsidRPr="008015CA" w:rsidRDefault="00D97217" w:rsidP="00D97217">
      <w:pPr>
        <w:spacing w:after="0"/>
        <w:jc w:val="both"/>
        <w:rPr>
          <w:rFonts w:ascii="Times New Roman" w:hAnsi="Times New Roman"/>
          <w:sz w:val="28"/>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Default="00D97217" w:rsidP="00D97217">
      <w:pPr>
        <w:spacing w:after="0"/>
        <w:jc w:val="both"/>
        <w:rPr>
          <w:rFonts w:ascii="Times New Roman" w:hAnsi="Times New Roman"/>
          <w:sz w:val="24"/>
          <w:szCs w:val="24"/>
        </w:rPr>
      </w:pPr>
    </w:p>
    <w:p w:rsidR="00D97217" w:rsidRPr="008015CA" w:rsidRDefault="00D97217" w:rsidP="00D97217">
      <w:pPr>
        <w:spacing w:after="0"/>
        <w:jc w:val="both"/>
        <w:rPr>
          <w:rFonts w:ascii="Times New Roman" w:hAnsi="Times New Roman"/>
          <w:sz w:val="24"/>
          <w:szCs w:val="24"/>
        </w:rPr>
      </w:pPr>
    </w:p>
    <w:p w:rsidR="00D97217" w:rsidRPr="0074159B" w:rsidRDefault="00D97217" w:rsidP="00D97217">
      <w:pPr>
        <w:spacing w:after="0"/>
        <w:jc w:val="both"/>
        <w:rPr>
          <w:rFonts w:ascii="Times New Roman" w:hAnsi="Times New Roman"/>
          <w:b/>
          <w:sz w:val="28"/>
          <w:szCs w:val="24"/>
          <w:lang w:val="en-US"/>
        </w:rPr>
      </w:pPr>
      <w:r w:rsidRPr="0074159B">
        <w:rPr>
          <w:rFonts w:ascii="Times New Roman" w:hAnsi="Times New Roman"/>
          <w:b/>
          <w:sz w:val="28"/>
          <w:szCs w:val="24"/>
          <w:lang w:val="en-US"/>
        </w:rPr>
        <w:t>Abstract</w:t>
      </w:r>
    </w:p>
    <w:p w:rsidR="00D97217" w:rsidRPr="0074159B" w:rsidRDefault="00D97217" w:rsidP="00D97217">
      <w:pPr>
        <w:spacing w:after="0"/>
        <w:jc w:val="both"/>
        <w:rPr>
          <w:rFonts w:ascii="Times New Roman" w:hAnsi="Times New Roman"/>
          <w:sz w:val="24"/>
          <w:szCs w:val="24"/>
          <w:lang w:val="en-US"/>
        </w:rPr>
      </w:pPr>
    </w:p>
    <w:p w:rsidR="00D97217" w:rsidRPr="0074159B" w:rsidRDefault="00D97217" w:rsidP="00D97217">
      <w:pPr>
        <w:spacing w:after="0"/>
        <w:jc w:val="both"/>
        <w:rPr>
          <w:rFonts w:ascii="Times New Roman" w:hAnsi="Times New Roman"/>
          <w:sz w:val="24"/>
          <w:szCs w:val="24"/>
          <w:lang w:val="en-US"/>
        </w:rPr>
      </w:pPr>
    </w:p>
    <w:p w:rsidR="00D97217" w:rsidRPr="00853698" w:rsidRDefault="00D97217" w:rsidP="00D97217">
      <w:pPr>
        <w:spacing w:line="360" w:lineRule="auto"/>
        <w:jc w:val="center"/>
        <w:rPr>
          <w:rFonts w:ascii="Times New Roman" w:hAnsi="Times New Roman"/>
          <w:b/>
          <w:sz w:val="24"/>
          <w:szCs w:val="24"/>
          <w:lang w:val="en-US"/>
        </w:rPr>
      </w:pPr>
      <w:r w:rsidRPr="00853698">
        <w:rPr>
          <w:rFonts w:ascii="Times New Roman" w:hAnsi="Times New Roman"/>
          <w:b/>
          <w:sz w:val="24"/>
          <w:szCs w:val="24"/>
          <w:lang w:val="en-US"/>
        </w:rPr>
        <w:t>Valorization of olive oil industry by-products: Biological characterization of their derived extracts on human breast cancer cells</w:t>
      </w:r>
    </w:p>
    <w:p w:rsidR="00D97217" w:rsidRPr="00CB4FAC" w:rsidRDefault="00D97217" w:rsidP="00D97217">
      <w:pPr>
        <w:spacing w:line="360" w:lineRule="auto"/>
        <w:jc w:val="center"/>
        <w:rPr>
          <w:rFonts w:ascii="Times New Roman" w:hAnsi="Times New Roman"/>
          <w:b/>
          <w:sz w:val="24"/>
          <w:szCs w:val="24"/>
          <w:lang w:val="en-US"/>
        </w:rPr>
      </w:pPr>
    </w:p>
    <w:p w:rsidR="00D97217" w:rsidRPr="00853698" w:rsidRDefault="00D97217" w:rsidP="00D97217">
      <w:pPr>
        <w:jc w:val="both"/>
        <w:rPr>
          <w:rFonts w:ascii="Times New Roman" w:eastAsia="Times New Roman" w:hAnsi="Times New Roman"/>
          <w:color w:val="000000"/>
          <w:sz w:val="24"/>
          <w:szCs w:val="24"/>
          <w:lang w:val="en-US" w:eastAsia="pt-PT"/>
        </w:rPr>
      </w:pPr>
      <w:r w:rsidRPr="00CB4FAC">
        <w:rPr>
          <w:rStyle w:val="hps"/>
          <w:rFonts w:ascii="Times New Roman" w:hAnsi="Times New Roman"/>
          <w:color w:val="000000"/>
          <w:sz w:val="24"/>
          <w:szCs w:val="24"/>
          <w:lang w:val="en-US"/>
        </w:rPr>
        <w:tab/>
      </w:r>
      <w:r w:rsidRPr="000B55CF">
        <w:rPr>
          <w:rFonts w:ascii="Times New Roman" w:eastAsia="Times New Roman" w:hAnsi="Times New Roman"/>
          <w:color w:val="000000"/>
          <w:sz w:val="24"/>
          <w:szCs w:val="24"/>
          <w:lang w:val="en-US" w:eastAsia="pt-PT"/>
        </w:rPr>
        <w:t>The present work aim</w:t>
      </w:r>
      <w:r w:rsidRPr="00853698">
        <w:rPr>
          <w:rFonts w:ascii="Times New Roman" w:eastAsia="Times New Roman" w:hAnsi="Times New Roman"/>
          <w:color w:val="000000"/>
          <w:sz w:val="24"/>
          <w:szCs w:val="24"/>
          <w:lang w:val="en-US" w:eastAsia="pt-PT"/>
        </w:rPr>
        <w:t xml:space="preserve">s </w:t>
      </w:r>
      <w:r>
        <w:rPr>
          <w:rFonts w:ascii="Times New Roman" w:eastAsia="Times New Roman" w:hAnsi="Times New Roman"/>
          <w:color w:val="000000"/>
          <w:sz w:val="24"/>
          <w:szCs w:val="24"/>
          <w:lang w:val="en-US" w:eastAsia="pt-PT"/>
        </w:rPr>
        <w:t>the valorization of an olive oil industry by-product the</w:t>
      </w:r>
      <w:r w:rsidRPr="00853698">
        <w:rPr>
          <w:rFonts w:ascii="Times New Roman" w:eastAsia="Times New Roman" w:hAnsi="Times New Roman"/>
          <w:color w:val="000000"/>
          <w:sz w:val="24"/>
          <w:szCs w:val="24"/>
          <w:lang w:val="en-US" w:eastAsia="pt-PT"/>
        </w:rPr>
        <w:t xml:space="preserve"> </w:t>
      </w:r>
      <w:r w:rsidRPr="00853698">
        <w:rPr>
          <w:rFonts w:ascii="Times New Roman" w:eastAsia="Times New Roman" w:hAnsi="Times New Roman"/>
          <w:b/>
          <w:color w:val="000000"/>
          <w:sz w:val="24"/>
          <w:szCs w:val="24"/>
          <w:u w:val="single"/>
          <w:lang w:val="en-US" w:eastAsia="pt-PT"/>
        </w:rPr>
        <w:t>D</w:t>
      </w:r>
      <w:r w:rsidRPr="00853698">
        <w:rPr>
          <w:rFonts w:ascii="Times New Roman" w:eastAsia="Times New Roman" w:hAnsi="Times New Roman"/>
          <w:color w:val="000000"/>
          <w:sz w:val="24"/>
          <w:szCs w:val="24"/>
          <w:lang w:val="en-US" w:eastAsia="pt-PT"/>
        </w:rPr>
        <w:t xml:space="preserve">ry </w:t>
      </w:r>
      <w:r w:rsidRPr="00853698">
        <w:rPr>
          <w:rFonts w:ascii="Times New Roman" w:eastAsia="Times New Roman" w:hAnsi="Times New Roman"/>
          <w:b/>
          <w:color w:val="000000"/>
          <w:sz w:val="24"/>
          <w:szCs w:val="24"/>
          <w:u w:val="single"/>
          <w:lang w:val="en-US" w:eastAsia="pt-PT"/>
        </w:rPr>
        <w:t>O</w:t>
      </w:r>
      <w:r w:rsidRPr="00853698">
        <w:rPr>
          <w:rFonts w:ascii="Times New Roman" w:eastAsia="Times New Roman" w:hAnsi="Times New Roman"/>
          <w:color w:val="000000"/>
          <w:sz w:val="24"/>
          <w:szCs w:val="24"/>
          <w:lang w:val="en-US" w:eastAsia="pt-PT"/>
        </w:rPr>
        <w:t xml:space="preserve">live mill </w:t>
      </w:r>
      <w:r w:rsidRPr="00853698">
        <w:rPr>
          <w:rFonts w:ascii="Times New Roman" w:eastAsia="Times New Roman" w:hAnsi="Times New Roman"/>
          <w:b/>
          <w:color w:val="000000"/>
          <w:sz w:val="24"/>
          <w:szCs w:val="24"/>
          <w:u w:val="single"/>
          <w:lang w:val="en-US" w:eastAsia="pt-PT"/>
        </w:rPr>
        <w:t>R</w:t>
      </w:r>
      <w:r w:rsidRPr="00853698">
        <w:rPr>
          <w:rFonts w:ascii="Times New Roman" w:eastAsia="Times New Roman" w:hAnsi="Times New Roman"/>
          <w:color w:val="000000"/>
          <w:sz w:val="24"/>
          <w:szCs w:val="24"/>
          <w:lang w:val="en-US" w:eastAsia="pt-PT"/>
        </w:rPr>
        <w:t>esidue (</w:t>
      </w:r>
      <w:r w:rsidRPr="00853698">
        <w:rPr>
          <w:rFonts w:ascii="Times New Roman" w:eastAsia="Times New Roman" w:hAnsi="Times New Roman"/>
          <w:b/>
          <w:color w:val="000000"/>
          <w:sz w:val="24"/>
          <w:szCs w:val="24"/>
          <w:lang w:val="en-US" w:eastAsia="pt-PT"/>
        </w:rPr>
        <w:t>DOR</w:t>
      </w:r>
      <w:r w:rsidRPr="00853698">
        <w:rPr>
          <w:rFonts w:ascii="Times New Roman" w:eastAsia="Times New Roman" w:hAnsi="Times New Roman"/>
          <w:color w:val="000000"/>
          <w:sz w:val="24"/>
          <w:szCs w:val="24"/>
          <w:lang w:val="en-US" w:eastAsia="pt-PT"/>
        </w:rPr>
        <w:t>)</w:t>
      </w:r>
      <w:r>
        <w:rPr>
          <w:rFonts w:ascii="Times New Roman" w:eastAsia="Times New Roman" w:hAnsi="Times New Roman"/>
          <w:color w:val="000000"/>
          <w:sz w:val="24"/>
          <w:szCs w:val="24"/>
          <w:lang w:val="en-US" w:eastAsia="pt-PT"/>
        </w:rPr>
        <w:t>,</w:t>
      </w:r>
      <w:r w:rsidRPr="00853698">
        <w:rPr>
          <w:rFonts w:ascii="Times New Roman" w:eastAsia="Times New Roman" w:hAnsi="Times New Roman"/>
          <w:color w:val="000000"/>
          <w:sz w:val="24"/>
          <w:szCs w:val="24"/>
          <w:lang w:val="en-US" w:eastAsia="pt-PT"/>
        </w:rPr>
        <w:t xml:space="preserve"> </w:t>
      </w:r>
      <w:r>
        <w:rPr>
          <w:rFonts w:ascii="Times New Roman" w:eastAsia="Times New Roman" w:hAnsi="Times New Roman"/>
          <w:color w:val="000000"/>
          <w:sz w:val="24"/>
          <w:szCs w:val="24"/>
          <w:lang w:val="en-US" w:eastAsia="pt-PT"/>
        </w:rPr>
        <w:t>by</w:t>
      </w:r>
      <w:r w:rsidRPr="00853698">
        <w:rPr>
          <w:rFonts w:ascii="Times New Roman" w:eastAsia="Times New Roman" w:hAnsi="Times New Roman"/>
          <w:color w:val="000000"/>
          <w:sz w:val="24"/>
          <w:szCs w:val="24"/>
          <w:lang w:val="en-US" w:eastAsia="pt-PT"/>
        </w:rPr>
        <w:t xml:space="preserve"> obtain</w:t>
      </w:r>
      <w:r>
        <w:rPr>
          <w:rFonts w:ascii="Times New Roman" w:eastAsia="Times New Roman" w:hAnsi="Times New Roman"/>
          <w:color w:val="000000"/>
          <w:sz w:val="24"/>
          <w:szCs w:val="24"/>
          <w:lang w:val="en-US" w:eastAsia="pt-PT"/>
        </w:rPr>
        <w:t>ing</w:t>
      </w:r>
      <w:r w:rsidRPr="00853698">
        <w:rPr>
          <w:rFonts w:ascii="Times New Roman" w:eastAsia="Times New Roman" w:hAnsi="Times New Roman"/>
          <w:color w:val="000000"/>
          <w:sz w:val="24"/>
          <w:szCs w:val="24"/>
          <w:lang w:val="en-US" w:eastAsia="pt-PT"/>
        </w:rPr>
        <w:t xml:space="preserve"> purified aqueous extracts, with better biologic activity, using clean membrane technologies, nanofiltration and reverse osmosis.</w:t>
      </w:r>
      <w:r>
        <w:rPr>
          <w:rFonts w:ascii="Times New Roman" w:eastAsia="Times New Roman" w:hAnsi="Times New Roman"/>
          <w:color w:val="000000"/>
          <w:sz w:val="24"/>
          <w:szCs w:val="24"/>
          <w:lang w:val="en-US" w:eastAsia="pt-PT"/>
        </w:rPr>
        <w:t xml:space="preserve"> </w:t>
      </w:r>
      <w:r w:rsidRPr="00853698">
        <w:rPr>
          <w:rFonts w:ascii="Times New Roman" w:eastAsia="Times New Roman" w:hAnsi="Times New Roman"/>
          <w:sz w:val="24"/>
          <w:szCs w:val="24"/>
          <w:lang w:val="en-US" w:eastAsia="pt-PT"/>
        </w:rPr>
        <w:t>Acc</w:t>
      </w:r>
      <w:r>
        <w:rPr>
          <w:rFonts w:ascii="Times New Roman" w:eastAsia="Times New Roman" w:hAnsi="Times New Roman"/>
          <w:sz w:val="24"/>
          <w:szCs w:val="24"/>
          <w:lang w:val="en-US" w:eastAsia="pt-PT"/>
        </w:rPr>
        <w:t xml:space="preserve">ording to the results obtained, </w:t>
      </w:r>
      <w:r w:rsidRPr="00853698">
        <w:rPr>
          <w:rFonts w:ascii="Times New Roman" w:eastAsia="Times New Roman" w:hAnsi="Times New Roman"/>
          <w:sz w:val="24"/>
          <w:szCs w:val="24"/>
          <w:lang w:val="en-US" w:eastAsia="pt-PT"/>
        </w:rPr>
        <w:t>the</w:t>
      </w:r>
      <w:r w:rsidRPr="00853698">
        <w:rPr>
          <w:rFonts w:ascii="Times New Roman" w:eastAsia="Times New Roman" w:hAnsi="Times New Roman"/>
          <w:color w:val="000000"/>
          <w:sz w:val="24"/>
          <w:szCs w:val="24"/>
          <w:lang w:val="en-US" w:eastAsia="pt-PT"/>
        </w:rPr>
        <w:t> </w:t>
      </w:r>
      <w:r w:rsidRPr="004407E4">
        <w:rPr>
          <w:rFonts w:ascii="Times New Roman" w:eastAsia="Times New Roman" w:hAnsi="Times New Roman"/>
          <w:b/>
          <w:color w:val="000000"/>
          <w:sz w:val="24"/>
          <w:szCs w:val="24"/>
          <w:u w:val="single"/>
          <w:lang w:val="en-US" w:eastAsia="pt-PT"/>
        </w:rPr>
        <w:t>C</w:t>
      </w:r>
      <w:r>
        <w:rPr>
          <w:rFonts w:ascii="Times New Roman" w:eastAsia="Times New Roman" w:hAnsi="Times New Roman"/>
          <w:color w:val="000000"/>
          <w:sz w:val="24"/>
          <w:szCs w:val="24"/>
          <w:lang w:val="en-US" w:eastAsia="pt-PT"/>
        </w:rPr>
        <w:t xml:space="preserve">oncentrated </w:t>
      </w:r>
      <w:r w:rsidRPr="004407E4">
        <w:rPr>
          <w:rFonts w:ascii="Times New Roman" w:eastAsia="Times New Roman" w:hAnsi="Times New Roman"/>
          <w:b/>
          <w:color w:val="000000"/>
          <w:sz w:val="24"/>
          <w:szCs w:val="24"/>
          <w:u w:val="single"/>
          <w:lang w:val="en-US" w:eastAsia="pt-PT"/>
        </w:rPr>
        <w:t>P</w:t>
      </w:r>
      <w:r>
        <w:rPr>
          <w:rFonts w:ascii="Times New Roman" w:eastAsia="Times New Roman" w:hAnsi="Times New Roman"/>
          <w:color w:val="000000"/>
          <w:sz w:val="24"/>
          <w:szCs w:val="24"/>
          <w:lang w:val="en-US" w:eastAsia="pt-PT"/>
        </w:rPr>
        <w:t xml:space="preserve">ermeate </w:t>
      </w:r>
      <w:r w:rsidRPr="004407E4">
        <w:rPr>
          <w:rFonts w:ascii="Times New Roman" w:eastAsia="Times New Roman" w:hAnsi="Times New Roman"/>
          <w:b/>
          <w:color w:val="000000"/>
          <w:sz w:val="24"/>
          <w:szCs w:val="24"/>
          <w:u w:val="single"/>
          <w:lang w:val="en-US" w:eastAsia="pt-PT"/>
        </w:rPr>
        <w:t>E</w:t>
      </w:r>
      <w:r>
        <w:rPr>
          <w:rFonts w:ascii="Times New Roman" w:eastAsia="Times New Roman" w:hAnsi="Times New Roman"/>
          <w:color w:val="000000"/>
          <w:sz w:val="24"/>
          <w:szCs w:val="24"/>
          <w:lang w:val="en-US" w:eastAsia="pt-PT"/>
        </w:rPr>
        <w:t>xtract (</w:t>
      </w:r>
      <w:r w:rsidRPr="00853698">
        <w:rPr>
          <w:rFonts w:ascii="Times New Roman" w:eastAsia="Times New Roman" w:hAnsi="Times New Roman"/>
          <w:b/>
          <w:color w:val="000000"/>
          <w:sz w:val="24"/>
          <w:szCs w:val="24"/>
          <w:lang w:val="en-US" w:eastAsia="pt-PT"/>
        </w:rPr>
        <w:t>CPE</w:t>
      </w:r>
      <w:r>
        <w:rPr>
          <w:rFonts w:ascii="Times New Roman" w:eastAsia="Times New Roman" w:hAnsi="Times New Roman"/>
          <w:b/>
          <w:color w:val="000000"/>
          <w:sz w:val="24"/>
          <w:szCs w:val="24"/>
          <w:lang w:val="en-US" w:eastAsia="pt-PT"/>
        </w:rPr>
        <w:t>)</w:t>
      </w:r>
      <w:r w:rsidRPr="00853698">
        <w:rPr>
          <w:rFonts w:ascii="Times New Roman" w:eastAsia="Times New Roman" w:hAnsi="Times New Roman"/>
          <w:color w:val="000000"/>
          <w:sz w:val="24"/>
          <w:szCs w:val="24"/>
          <w:lang w:val="en-US" w:eastAsia="pt-PT"/>
        </w:rPr>
        <w:t xml:space="preserve"> showed the highest </w:t>
      </w:r>
      <w:r>
        <w:rPr>
          <w:rFonts w:ascii="Times New Roman" w:eastAsia="Times New Roman" w:hAnsi="Times New Roman"/>
          <w:color w:val="000000"/>
          <w:sz w:val="24"/>
          <w:szCs w:val="24"/>
          <w:lang w:val="en-US" w:eastAsia="pt-PT"/>
        </w:rPr>
        <w:t xml:space="preserve">purity level (20%) of phenolic compounds, and </w:t>
      </w:r>
      <w:r w:rsidRPr="00853698">
        <w:rPr>
          <w:rFonts w:ascii="Times New Roman" w:eastAsia="Times New Roman" w:hAnsi="Times New Roman"/>
          <w:color w:val="000000"/>
          <w:sz w:val="24"/>
          <w:szCs w:val="24"/>
          <w:lang w:val="en-US" w:eastAsia="pt-PT"/>
        </w:rPr>
        <w:t xml:space="preserve">the highest purity level of </w:t>
      </w:r>
      <w:r>
        <w:rPr>
          <w:rFonts w:ascii="Times New Roman" w:eastAsia="Times New Roman" w:hAnsi="Times New Roman"/>
          <w:color w:val="000000"/>
          <w:sz w:val="24"/>
          <w:szCs w:val="24"/>
          <w:lang w:val="en-US" w:eastAsia="pt-PT"/>
        </w:rPr>
        <w:t xml:space="preserve">Hydroxytyrosol </w:t>
      </w:r>
      <w:r w:rsidRPr="009B152D">
        <w:rPr>
          <w:rFonts w:ascii="Times New Roman" w:eastAsia="Times New Roman" w:hAnsi="Times New Roman"/>
          <w:color w:val="000000"/>
          <w:sz w:val="24"/>
          <w:szCs w:val="24"/>
          <w:lang w:val="en-US" w:eastAsia="pt-PT"/>
        </w:rPr>
        <w:t>among the three extracts</w:t>
      </w:r>
      <w:r w:rsidRPr="00853698">
        <w:rPr>
          <w:rFonts w:ascii="Times New Roman" w:eastAsia="Times New Roman" w:hAnsi="Times New Roman"/>
          <w:color w:val="000000"/>
          <w:sz w:val="24"/>
          <w:szCs w:val="24"/>
          <w:lang w:val="en-US" w:eastAsia="pt-PT"/>
        </w:rPr>
        <w:t>, showing that the nanofiltration process optimized and allowed the enrichment of this extract in this phenolic compound (recovery yield of 28%). Adicionally</w:t>
      </w:r>
      <w:r>
        <w:rPr>
          <w:rFonts w:ascii="Times New Roman" w:eastAsia="Times New Roman" w:hAnsi="Times New Roman"/>
          <w:color w:val="000000"/>
          <w:sz w:val="24"/>
          <w:szCs w:val="24"/>
          <w:lang w:val="en-US" w:eastAsia="pt-PT"/>
        </w:rPr>
        <w:t>,</w:t>
      </w:r>
      <w:r w:rsidRPr="00853698">
        <w:rPr>
          <w:rFonts w:ascii="Times New Roman" w:eastAsia="Times New Roman" w:hAnsi="Times New Roman"/>
          <w:color w:val="000000"/>
          <w:sz w:val="24"/>
          <w:szCs w:val="24"/>
          <w:lang w:val="en-US" w:eastAsia="pt-PT"/>
        </w:rPr>
        <w:t xml:space="preserve"> the CPE has a higher antioxidant activity than the other extracts (IC</w:t>
      </w:r>
      <w:r w:rsidRPr="00853698">
        <w:rPr>
          <w:rFonts w:ascii="Times New Roman" w:eastAsia="Times New Roman" w:hAnsi="Times New Roman"/>
          <w:color w:val="000000"/>
          <w:sz w:val="24"/>
          <w:szCs w:val="24"/>
          <w:vertAlign w:val="subscript"/>
          <w:lang w:val="en-US" w:eastAsia="pt-PT"/>
        </w:rPr>
        <w:t>50</w:t>
      </w:r>
      <w:r w:rsidRPr="00853698">
        <w:rPr>
          <w:rFonts w:ascii="Times New Roman" w:eastAsia="Times New Roman" w:hAnsi="Times New Roman"/>
          <w:color w:val="000000"/>
          <w:sz w:val="24"/>
          <w:szCs w:val="24"/>
          <w:lang w:val="en-US" w:eastAsia="pt-PT"/>
        </w:rPr>
        <w:t>=8,9</w:t>
      </w:r>
      <w:r>
        <w:rPr>
          <w:rFonts w:ascii="Times New Roman" w:eastAsia="Times New Roman" w:hAnsi="Times New Roman"/>
          <w:color w:val="000000"/>
          <w:sz w:val="24"/>
          <w:szCs w:val="24"/>
          <w:lang w:val="en-US" w:eastAsia="pt-PT"/>
        </w:rPr>
        <w:t>9±</w:t>
      </w:r>
      <w:r w:rsidRPr="00853698">
        <w:rPr>
          <w:rFonts w:ascii="Times New Roman" w:eastAsia="Times New Roman" w:hAnsi="Times New Roman"/>
          <w:color w:val="000000"/>
          <w:sz w:val="24"/>
          <w:szCs w:val="24"/>
          <w:lang w:val="en-US" w:eastAsia="pt-PT"/>
        </w:rPr>
        <w:t>0,20</w:t>
      </w:r>
      <w:r w:rsidRPr="00853698">
        <w:rPr>
          <w:rFonts w:ascii="Times New Roman" w:eastAsia="Times New Roman" w:hAnsi="Times New Roman"/>
          <w:color w:val="000000"/>
          <w:sz w:val="24"/>
          <w:szCs w:val="24"/>
          <w:lang w:val="el-GR" w:eastAsia="pt-PT"/>
        </w:rPr>
        <w:t>μ</w:t>
      </w:r>
      <w:r w:rsidRPr="00853698">
        <w:rPr>
          <w:rFonts w:ascii="Times New Roman" w:eastAsia="Times New Roman" w:hAnsi="Times New Roman"/>
          <w:color w:val="000000"/>
          <w:sz w:val="24"/>
          <w:szCs w:val="24"/>
          <w:lang w:val="en-US" w:eastAsia="pt-PT"/>
        </w:rPr>
        <w:t>g/mL of extract and EC</w:t>
      </w:r>
      <w:r w:rsidRPr="00853698">
        <w:rPr>
          <w:rFonts w:ascii="Times New Roman" w:eastAsia="Times New Roman" w:hAnsi="Times New Roman"/>
          <w:color w:val="000000"/>
          <w:sz w:val="24"/>
          <w:szCs w:val="24"/>
          <w:vertAlign w:val="subscript"/>
          <w:lang w:val="en-US" w:eastAsia="pt-PT"/>
        </w:rPr>
        <w:t>50</w:t>
      </w:r>
      <w:r>
        <w:rPr>
          <w:rFonts w:ascii="Times New Roman" w:eastAsia="Times New Roman" w:hAnsi="Times New Roman"/>
          <w:color w:val="000000"/>
          <w:sz w:val="24"/>
          <w:szCs w:val="24"/>
          <w:lang w:val="en-US" w:eastAsia="pt-PT"/>
        </w:rPr>
        <w:t>=12,08±</w:t>
      </w:r>
      <w:r w:rsidRPr="00853698">
        <w:rPr>
          <w:rFonts w:ascii="Times New Roman" w:eastAsia="Times New Roman" w:hAnsi="Times New Roman"/>
          <w:color w:val="000000"/>
          <w:sz w:val="24"/>
          <w:szCs w:val="24"/>
          <w:lang w:val="en-US" w:eastAsia="pt-PT"/>
        </w:rPr>
        <w:t>0,97</w:t>
      </w:r>
      <w:r w:rsidRPr="00853698">
        <w:rPr>
          <w:rFonts w:ascii="Times New Roman" w:eastAsia="Times New Roman" w:hAnsi="Times New Roman"/>
          <w:color w:val="000000"/>
          <w:sz w:val="24"/>
          <w:szCs w:val="24"/>
          <w:lang w:val="el-GR" w:eastAsia="pt-PT"/>
        </w:rPr>
        <w:t>μ</w:t>
      </w:r>
      <w:r>
        <w:rPr>
          <w:rFonts w:ascii="Times New Roman" w:eastAsia="Times New Roman" w:hAnsi="Times New Roman"/>
          <w:color w:val="000000"/>
          <w:sz w:val="24"/>
          <w:szCs w:val="24"/>
          <w:lang w:val="en-US" w:eastAsia="pt-PT"/>
        </w:rPr>
        <w:t>g/mL of extract, DPPH and R</w:t>
      </w:r>
      <w:r w:rsidRPr="00853698">
        <w:rPr>
          <w:rFonts w:ascii="Times New Roman" w:eastAsia="Times New Roman" w:hAnsi="Times New Roman"/>
          <w:color w:val="000000"/>
          <w:sz w:val="24"/>
          <w:szCs w:val="24"/>
          <w:lang w:val="en-US" w:eastAsia="pt-PT"/>
        </w:rPr>
        <w:t>educing power assays, respectively).</w:t>
      </w:r>
      <w:r w:rsidRPr="00853698">
        <w:rPr>
          <w:rFonts w:ascii="Times New Roman" w:eastAsia="Times New Roman" w:hAnsi="Times New Roman"/>
          <w:color w:val="888888"/>
          <w:sz w:val="24"/>
          <w:szCs w:val="24"/>
          <w:lang w:val="en-US" w:eastAsia="pt-PT"/>
        </w:rPr>
        <w:t xml:space="preserve"> </w:t>
      </w:r>
      <w:r w:rsidRPr="00853698">
        <w:rPr>
          <w:rFonts w:ascii="Times New Roman" w:eastAsia="Times New Roman" w:hAnsi="Times New Roman"/>
          <w:color w:val="000000"/>
          <w:sz w:val="24"/>
          <w:szCs w:val="24"/>
          <w:lang w:val="en-US" w:eastAsia="pt-PT"/>
        </w:rPr>
        <w:t>MDA-MB-231 cells treated with increasing concentrations of </w:t>
      </w:r>
      <w:r w:rsidRPr="00CE43E6">
        <w:rPr>
          <w:rFonts w:ascii="Times New Roman" w:eastAsia="Times New Roman" w:hAnsi="Times New Roman"/>
          <w:color w:val="000000"/>
          <w:sz w:val="24"/>
          <w:szCs w:val="24"/>
          <w:lang w:val="en-US" w:eastAsia="pt-PT"/>
        </w:rPr>
        <w:t>the three extracts</w:t>
      </w:r>
      <w:r w:rsidRPr="00853698">
        <w:rPr>
          <w:rFonts w:ascii="Times New Roman" w:eastAsia="Times New Roman" w:hAnsi="Times New Roman"/>
          <w:color w:val="000000"/>
          <w:sz w:val="24"/>
          <w:szCs w:val="24"/>
          <w:lang w:val="en-US" w:eastAsia="pt-PT"/>
        </w:rPr>
        <w:t> show</w:t>
      </w:r>
      <w:r>
        <w:rPr>
          <w:rFonts w:ascii="Times New Roman" w:eastAsia="Times New Roman" w:hAnsi="Times New Roman"/>
          <w:color w:val="000000"/>
          <w:sz w:val="24"/>
          <w:szCs w:val="24"/>
          <w:lang w:val="en-US" w:eastAsia="pt-PT"/>
        </w:rPr>
        <w:t xml:space="preserve">ed a decrease in the number of viable cells. The CPE </w:t>
      </w:r>
      <w:r w:rsidRPr="00D65C4B">
        <w:rPr>
          <w:rFonts w:ascii="Times New Roman" w:eastAsia="Times New Roman" w:hAnsi="Times New Roman"/>
          <w:color w:val="000000"/>
          <w:sz w:val="24"/>
          <w:szCs w:val="24"/>
          <w:lang w:val="en-US" w:eastAsia="pt-PT"/>
        </w:rPr>
        <w:t>presents itself as the extract with the highest antiproliferative activity</w:t>
      </w:r>
      <w:r>
        <w:rPr>
          <w:rFonts w:ascii="Times New Roman" w:eastAsia="Times New Roman" w:hAnsi="Times New Roman"/>
          <w:color w:val="000000"/>
          <w:sz w:val="24"/>
          <w:szCs w:val="24"/>
          <w:lang w:val="en-US" w:eastAsia="pt-PT"/>
        </w:rPr>
        <w:t xml:space="preserve"> </w:t>
      </w:r>
      <w:r w:rsidRPr="00D65C4B">
        <w:rPr>
          <w:rFonts w:ascii="Times New Roman" w:eastAsia="Times New Roman" w:hAnsi="Times New Roman"/>
          <w:color w:val="000000"/>
          <w:sz w:val="24"/>
          <w:szCs w:val="24"/>
          <w:lang w:val="en-US" w:eastAsia="pt-PT"/>
        </w:rPr>
        <w:t>(IC</w:t>
      </w:r>
      <w:r w:rsidRPr="00D65C4B">
        <w:rPr>
          <w:rFonts w:ascii="Times New Roman" w:eastAsia="Times New Roman" w:hAnsi="Times New Roman"/>
          <w:color w:val="000000"/>
          <w:sz w:val="24"/>
          <w:szCs w:val="24"/>
          <w:vertAlign w:val="subscript"/>
          <w:lang w:val="en-US" w:eastAsia="pt-PT"/>
        </w:rPr>
        <w:t>50</w:t>
      </w:r>
      <w:r w:rsidRPr="00D65C4B">
        <w:rPr>
          <w:rFonts w:ascii="Times New Roman" w:eastAsia="Times New Roman" w:hAnsi="Times New Roman"/>
          <w:color w:val="000000"/>
          <w:sz w:val="24"/>
          <w:szCs w:val="24"/>
          <w:lang w:val="en-US" w:eastAsia="pt-PT"/>
        </w:rPr>
        <w:t>=</w:t>
      </w:r>
      <w:r w:rsidRPr="00D65C4B">
        <w:rPr>
          <w:rFonts w:ascii="Times New Roman" w:hAnsi="Times New Roman"/>
          <w:sz w:val="24"/>
          <w:lang w:val="en-US"/>
        </w:rPr>
        <w:t>23,00±6,63µM)</w:t>
      </w:r>
      <w:r>
        <w:rPr>
          <w:rFonts w:ascii="Times New Roman" w:hAnsi="Times New Roman"/>
          <w:sz w:val="24"/>
          <w:lang w:val="en-US"/>
        </w:rPr>
        <w:t>,</w:t>
      </w:r>
      <w:r w:rsidRPr="00853698">
        <w:rPr>
          <w:rFonts w:ascii="Times New Roman" w:eastAsia="Times New Roman" w:hAnsi="Times New Roman"/>
          <w:color w:val="000000"/>
          <w:sz w:val="24"/>
          <w:szCs w:val="24"/>
          <w:lang w:val="en-US" w:eastAsia="pt-PT"/>
        </w:rPr>
        <w:t xml:space="preserve"> determined by MTT proliferation assay.</w:t>
      </w:r>
    </w:p>
    <w:p w:rsidR="00853698" w:rsidRPr="00853698" w:rsidRDefault="00853698" w:rsidP="00853698">
      <w:pPr>
        <w:jc w:val="both"/>
        <w:rPr>
          <w:rFonts w:ascii="Times New Roman" w:eastAsia="Times New Roman" w:hAnsi="Times New Roman"/>
          <w:color w:val="000000"/>
          <w:sz w:val="24"/>
          <w:szCs w:val="24"/>
          <w:lang w:val="en-US" w:eastAsia="pt-PT"/>
        </w:rPr>
      </w:pPr>
    </w:p>
    <w:p w:rsidR="00D855C6" w:rsidRPr="00114B56" w:rsidRDefault="00D855C6" w:rsidP="00853698">
      <w:pPr>
        <w:jc w:val="both"/>
        <w:rPr>
          <w:rFonts w:ascii="Times New Roman" w:eastAsia="Times New Roman" w:hAnsi="Times New Roman"/>
          <w:i/>
          <w:iCs/>
          <w:color w:val="000000"/>
          <w:sz w:val="24"/>
          <w:szCs w:val="24"/>
          <w:lang w:val="en-US" w:eastAsia="pt-PT"/>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8766E0" w:rsidRPr="00853EC8" w:rsidRDefault="008766E0" w:rsidP="00D855C6">
      <w:pPr>
        <w:spacing w:after="0"/>
        <w:jc w:val="both"/>
        <w:rPr>
          <w:rFonts w:ascii="Times New Roman" w:hAnsi="Times New Roman"/>
          <w:sz w:val="24"/>
          <w:szCs w:val="24"/>
          <w:lang w:val="en-US"/>
        </w:rPr>
      </w:pPr>
    </w:p>
    <w:p w:rsidR="008766E0" w:rsidRPr="00853EC8" w:rsidRDefault="008766E0" w:rsidP="00D855C6">
      <w:pPr>
        <w:spacing w:after="0"/>
        <w:jc w:val="both"/>
        <w:rPr>
          <w:rFonts w:ascii="Times New Roman" w:hAnsi="Times New Roman"/>
          <w:sz w:val="24"/>
          <w:szCs w:val="24"/>
          <w:lang w:val="en-US"/>
        </w:rPr>
      </w:pPr>
    </w:p>
    <w:p w:rsidR="008766E0" w:rsidRPr="00853EC8" w:rsidRDefault="008766E0" w:rsidP="00D855C6">
      <w:pPr>
        <w:spacing w:after="0"/>
        <w:jc w:val="both"/>
        <w:rPr>
          <w:rFonts w:ascii="Times New Roman" w:hAnsi="Times New Roman"/>
          <w:sz w:val="24"/>
          <w:szCs w:val="24"/>
          <w:lang w:val="en-US"/>
        </w:rPr>
      </w:pPr>
    </w:p>
    <w:p w:rsidR="008766E0" w:rsidRPr="00853EC8" w:rsidRDefault="008766E0" w:rsidP="00D855C6">
      <w:pPr>
        <w:spacing w:after="0"/>
        <w:jc w:val="both"/>
        <w:rPr>
          <w:rFonts w:ascii="Times New Roman" w:hAnsi="Times New Roman"/>
          <w:sz w:val="24"/>
          <w:szCs w:val="24"/>
          <w:lang w:val="en-US"/>
        </w:rPr>
      </w:pPr>
    </w:p>
    <w:p w:rsidR="008766E0" w:rsidRPr="00853EC8" w:rsidRDefault="008766E0" w:rsidP="00D855C6">
      <w:pPr>
        <w:spacing w:after="0"/>
        <w:jc w:val="both"/>
        <w:rPr>
          <w:rFonts w:ascii="Times New Roman" w:hAnsi="Times New Roman"/>
          <w:sz w:val="24"/>
          <w:szCs w:val="24"/>
          <w:lang w:val="en-US"/>
        </w:rPr>
      </w:pPr>
    </w:p>
    <w:p w:rsidR="008766E0" w:rsidRPr="00853EC8" w:rsidRDefault="008766E0" w:rsidP="00D855C6">
      <w:pPr>
        <w:spacing w:after="0"/>
        <w:jc w:val="both"/>
        <w:rPr>
          <w:rFonts w:ascii="Times New Roman" w:hAnsi="Times New Roman"/>
          <w:sz w:val="24"/>
          <w:szCs w:val="24"/>
          <w:lang w:val="en-US"/>
        </w:rPr>
      </w:pPr>
    </w:p>
    <w:p w:rsidR="008766E0" w:rsidRPr="00853EC8" w:rsidRDefault="008766E0"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EE2658" w:rsidRPr="00853EC8" w:rsidRDefault="00EE2658" w:rsidP="00D855C6">
      <w:pPr>
        <w:spacing w:after="0"/>
        <w:jc w:val="both"/>
        <w:rPr>
          <w:rFonts w:ascii="Times New Roman" w:hAnsi="Times New Roman"/>
          <w:sz w:val="24"/>
          <w:szCs w:val="24"/>
          <w:lang w:val="en-US"/>
        </w:rPr>
      </w:pPr>
    </w:p>
    <w:p w:rsidR="00D855C6" w:rsidRPr="00853EC8" w:rsidRDefault="00D855C6" w:rsidP="00D855C6">
      <w:pPr>
        <w:spacing w:after="0"/>
        <w:jc w:val="both"/>
        <w:rPr>
          <w:rFonts w:ascii="Times New Roman" w:hAnsi="Times New Roman"/>
          <w:sz w:val="24"/>
          <w:szCs w:val="24"/>
          <w:lang w:val="en-US"/>
        </w:rPr>
      </w:pPr>
    </w:p>
    <w:p w:rsidR="00B133A4" w:rsidRPr="008D6D18" w:rsidRDefault="00B71159" w:rsidP="008D6D18">
      <w:pPr>
        <w:pStyle w:val="PargrafodaLista"/>
        <w:numPr>
          <w:ilvl w:val="0"/>
          <w:numId w:val="5"/>
        </w:numPr>
        <w:spacing w:after="0"/>
        <w:jc w:val="right"/>
        <w:rPr>
          <w:rFonts w:ascii="Times New Roman" w:hAnsi="Times New Roman"/>
          <w:b/>
          <w:sz w:val="32"/>
          <w:szCs w:val="28"/>
        </w:rPr>
      </w:pPr>
      <w:r w:rsidRPr="008D6D18">
        <w:rPr>
          <w:rFonts w:ascii="Times New Roman" w:hAnsi="Times New Roman"/>
          <w:b/>
          <w:sz w:val="32"/>
          <w:szCs w:val="28"/>
        </w:rPr>
        <w:t>Introdução</w:t>
      </w:r>
    </w:p>
    <w:p w:rsidR="00B133A4" w:rsidRDefault="00B133A4" w:rsidP="00721162">
      <w:pPr>
        <w:spacing w:after="0"/>
        <w:jc w:val="right"/>
        <w:rPr>
          <w:rFonts w:ascii="Times New Roman" w:hAnsi="Times New Roman"/>
          <w:sz w:val="28"/>
          <w:szCs w:val="28"/>
        </w:rPr>
      </w:pPr>
    </w:p>
    <w:p w:rsidR="00F225E7" w:rsidRDefault="00F225E7" w:rsidP="00721162">
      <w:pPr>
        <w:spacing w:after="0"/>
        <w:jc w:val="right"/>
        <w:rPr>
          <w:rFonts w:ascii="Times New Roman" w:hAnsi="Times New Roman"/>
          <w:sz w:val="28"/>
          <w:szCs w:val="28"/>
        </w:rPr>
      </w:pPr>
    </w:p>
    <w:p w:rsidR="008D6D18" w:rsidRDefault="008D6D18" w:rsidP="00721162">
      <w:pPr>
        <w:spacing w:after="0"/>
        <w:jc w:val="right"/>
        <w:rPr>
          <w:rFonts w:ascii="Times New Roman" w:hAnsi="Times New Roman"/>
          <w:sz w:val="28"/>
          <w:szCs w:val="28"/>
        </w:rPr>
      </w:pPr>
    </w:p>
    <w:p w:rsidR="00D855C6" w:rsidRDefault="00D855C6" w:rsidP="00721162">
      <w:pPr>
        <w:spacing w:after="0"/>
        <w:jc w:val="right"/>
        <w:rPr>
          <w:rFonts w:ascii="Times New Roman" w:hAnsi="Times New Roman"/>
          <w:sz w:val="28"/>
          <w:szCs w:val="28"/>
        </w:rPr>
      </w:pPr>
    </w:p>
    <w:p w:rsidR="00555135" w:rsidRDefault="00555135" w:rsidP="00F40FA6">
      <w:pPr>
        <w:jc w:val="both"/>
        <w:rPr>
          <w:rStyle w:val="hps"/>
          <w:rFonts w:ascii="Times New Roman" w:hAnsi="Times New Roman"/>
          <w:color w:val="000000"/>
          <w:sz w:val="24"/>
          <w:szCs w:val="24"/>
        </w:rPr>
      </w:pPr>
    </w:p>
    <w:p w:rsidR="00555135" w:rsidRDefault="00555135" w:rsidP="00F40FA6">
      <w:pPr>
        <w:jc w:val="both"/>
        <w:rPr>
          <w:rStyle w:val="hps"/>
          <w:rFonts w:ascii="Times New Roman" w:hAnsi="Times New Roman"/>
          <w:color w:val="000000"/>
          <w:sz w:val="24"/>
          <w:szCs w:val="24"/>
        </w:rPr>
      </w:pPr>
    </w:p>
    <w:p w:rsidR="00555135" w:rsidRDefault="00555135" w:rsidP="00F40FA6">
      <w:pPr>
        <w:jc w:val="both"/>
        <w:rPr>
          <w:rStyle w:val="hps"/>
          <w:rFonts w:ascii="Times New Roman" w:hAnsi="Times New Roman"/>
          <w:color w:val="000000"/>
          <w:sz w:val="24"/>
          <w:szCs w:val="24"/>
        </w:rPr>
      </w:pPr>
    </w:p>
    <w:p w:rsidR="00555135" w:rsidRDefault="00555135" w:rsidP="00F40FA6">
      <w:pPr>
        <w:jc w:val="both"/>
        <w:rPr>
          <w:rStyle w:val="hps"/>
          <w:rFonts w:ascii="Times New Roman" w:hAnsi="Times New Roman"/>
          <w:color w:val="000000"/>
          <w:sz w:val="24"/>
          <w:szCs w:val="24"/>
        </w:rPr>
      </w:pPr>
    </w:p>
    <w:p w:rsidR="00EE2658" w:rsidRDefault="00EE2658" w:rsidP="00F40FA6">
      <w:pPr>
        <w:jc w:val="both"/>
        <w:rPr>
          <w:rStyle w:val="hps"/>
          <w:rFonts w:ascii="Times New Roman" w:hAnsi="Times New Roman"/>
          <w:color w:val="000000"/>
          <w:sz w:val="24"/>
          <w:szCs w:val="24"/>
        </w:rPr>
      </w:pPr>
    </w:p>
    <w:p w:rsidR="00EE2658" w:rsidRDefault="00EE2658" w:rsidP="00F40FA6">
      <w:pPr>
        <w:jc w:val="both"/>
        <w:rPr>
          <w:rStyle w:val="hps"/>
          <w:rFonts w:ascii="Times New Roman" w:hAnsi="Times New Roman"/>
          <w:color w:val="000000"/>
          <w:sz w:val="24"/>
          <w:szCs w:val="24"/>
        </w:rPr>
      </w:pPr>
    </w:p>
    <w:p w:rsidR="00EE2658" w:rsidRDefault="00EE2658" w:rsidP="00F40FA6">
      <w:pPr>
        <w:jc w:val="both"/>
        <w:rPr>
          <w:rStyle w:val="hps"/>
          <w:rFonts w:ascii="Times New Roman" w:hAnsi="Times New Roman"/>
          <w:color w:val="000000"/>
          <w:sz w:val="24"/>
          <w:szCs w:val="24"/>
        </w:rPr>
      </w:pPr>
    </w:p>
    <w:p w:rsidR="00EE2658" w:rsidRDefault="00EE2658" w:rsidP="00F40FA6">
      <w:pPr>
        <w:jc w:val="both"/>
        <w:rPr>
          <w:rStyle w:val="hps"/>
          <w:rFonts w:ascii="Times New Roman" w:hAnsi="Times New Roman"/>
          <w:color w:val="000000"/>
          <w:sz w:val="24"/>
          <w:szCs w:val="24"/>
        </w:rPr>
      </w:pPr>
    </w:p>
    <w:p w:rsidR="00C5318E" w:rsidRPr="00FA118A" w:rsidRDefault="00C5318E" w:rsidP="00832A5E">
      <w:pPr>
        <w:autoSpaceDE w:val="0"/>
        <w:autoSpaceDN w:val="0"/>
        <w:adjustRightInd w:val="0"/>
        <w:spacing w:after="0"/>
        <w:jc w:val="both"/>
        <w:rPr>
          <w:rFonts w:ascii="Times New Roman" w:hAnsi="Times New Roman"/>
          <w:sz w:val="20"/>
          <w:szCs w:val="24"/>
        </w:rPr>
      </w:pPr>
    </w:p>
    <w:p w:rsidR="00A42814" w:rsidRPr="00FA118A" w:rsidRDefault="00A42814" w:rsidP="00832A5E">
      <w:pPr>
        <w:autoSpaceDE w:val="0"/>
        <w:autoSpaceDN w:val="0"/>
        <w:adjustRightInd w:val="0"/>
        <w:spacing w:after="0"/>
        <w:jc w:val="both"/>
        <w:rPr>
          <w:rFonts w:ascii="Times New Roman" w:hAnsi="Times New Roman"/>
          <w:sz w:val="20"/>
          <w:szCs w:val="24"/>
        </w:rPr>
      </w:pPr>
    </w:p>
    <w:p w:rsidR="00E54567" w:rsidRPr="00A31C81" w:rsidRDefault="00491C37" w:rsidP="00A31C81">
      <w:pPr>
        <w:pStyle w:val="PargrafodaLista"/>
        <w:numPr>
          <w:ilvl w:val="0"/>
          <w:numId w:val="1"/>
        </w:numPr>
        <w:spacing w:after="0"/>
        <w:rPr>
          <w:rFonts w:ascii="Times New Roman" w:hAnsi="Times New Roman"/>
          <w:b/>
          <w:sz w:val="28"/>
          <w:szCs w:val="28"/>
        </w:rPr>
      </w:pPr>
      <w:r w:rsidRPr="00A31C81">
        <w:rPr>
          <w:rFonts w:ascii="Times New Roman" w:hAnsi="Times New Roman"/>
          <w:b/>
          <w:sz w:val="28"/>
          <w:szCs w:val="28"/>
        </w:rPr>
        <w:t xml:space="preserve"> </w:t>
      </w:r>
      <w:r w:rsidR="00A31C81">
        <w:rPr>
          <w:rFonts w:ascii="Times New Roman" w:hAnsi="Times New Roman"/>
          <w:b/>
          <w:sz w:val="28"/>
          <w:szCs w:val="28"/>
        </w:rPr>
        <w:t>A D</w:t>
      </w:r>
      <w:r w:rsidR="00E54567" w:rsidRPr="00A31C81">
        <w:rPr>
          <w:rFonts w:ascii="Times New Roman" w:hAnsi="Times New Roman"/>
          <w:b/>
          <w:sz w:val="28"/>
          <w:szCs w:val="28"/>
        </w:rPr>
        <w:t>ieta Mediterrânica</w:t>
      </w:r>
    </w:p>
    <w:p w:rsidR="00E54567" w:rsidRDefault="00E54567" w:rsidP="00E54567">
      <w:pPr>
        <w:spacing w:after="0"/>
        <w:rPr>
          <w:rFonts w:ascii="Times New Roman" w:hAnsi="Times New Roman"/>
          <w:b/>
          <w:sz w:val="28"/>
          <w:szCs w:val="28"/>
        </w:rPr>
      </w:pPr>
    </w:p>
    <w:p w:rsidR="00E54567" w:rsidRDefault="00E54567" w:rsidP="00490C6A">
      <w:pPr>
        <w:autoSpaceDE w:val="0"/>
        <w:autoSpaceDN w:val="0"/>
        <w:adjustRightInd w:val="0"/>
        <w:ind w:firstLine="708"/>
        <w:jc w:val="both"/>
        <w:rPr>
          <w:rFonts w:ascii="Times New Roman" w:hAnsi="Times New Roman"/>
          <w:sz w:val="24"/>
          <w:szCs w:val="24"/>
        </w:rPr>
      </w:pPr>
      <w:r w:rsidRPr="00C45009">
        <w:rPr>
          <w:rFonts w:ascii="Times New Roman" w:hAnsi="Times New Roman"/>
          <w:sz w:val="24"/>
          <w:szCs w:val="24"/>
        </w:rPr>
        <w:t>O tipo de dieta consumida tem sido associada ao desenvolvimento de algumas doenças crónicas, incluindo as doenças cardiovasculares, cancro, diabetes, aterosclerose, entre outras, exercendo um papel chave no seu controlo e progresso. As populações que consomem dietas ricas em frutos, vegetais, peixe, carnes brancas e azeite</w:t>
      </w:r>
      <w:r w:rsidR="00114C78">
        <w:rPr>
          <w:rFonts w:ascii="Times New Roman" w:hAnsi="Times New Roman"/>
          <w:sz w:val="24"/>
          <w:szCs w:val="24"/>
        </w:rPr>
        <w:t>, e pobres em carnes vermelhas</w:t>
      </w:r>
      <w:r w:rsidRPr="00C45009">
        <w:rPr>
          <w:rFonts w:ascii="Times New Roman" w:hAnsi="Times New Roman"/>
          <w:sz w:val="24"/>
          <w:szCs w:val="24"/>
        </w:rPr>
        <w:t>, como a dieta Mediterrânica, possuem uma maior esperança de vida e uma baixa incidência de doenças crónicas relativamente às populações ocidentais</w:t>
      </w:r>
      <w:r w:rsidR="00C45009" w:rsidRPr="00C45009">
        <w:rPr>
          <w:rFonts w:ascii="Times New Roman" w:hAnsi="Times New Roman"/>
          <w:sz w:val="24"/>
          <w:szCs w:val="24"/>
        </w:rPr>
        <w:t xml:space="preserve"> (Urquiaga </w:t>
      </w:r>
      <w:r w:rsidR="00C45009" w:rsidRPr="002407E3">
        <w:rPr>
          <w:rFonts w:ascii="Times New Roman" w:hAnsi="Times New Roman"/>
          <w:i/>
          <w:sz w:val="24"/>
          <w:szCs w:val="24"/>
        </w:rPr>
        <w:t>et al</w:t>
      </w:r>
      <w:r w:rsidR="00C45009" w:rsidRPr="00C45009">
        <w:rPr>
          <w:rFonts w:ascii="Times New Roman" w:hAnsi="Times New Roman"/>
          <w:sz w:val="24"/>
          <w:szCs w:val="24"/>
        </w:rPr>
        <w:t>., 2004</w:t>
      </w:r>
      <w:r w:rsidR="00144186">
        <w:rPr>
          <w:rFonts w:ascii="Times New Roman" w:hAnsi="Times New Roman"/>
          <w:sz w:val="24"/>
          <w:szCs w:val="24"/>
        </w:rPr>
        <w:t xml:space="preserve">; </w:t>
      </w:r>
      <w:r w:rsidR="00144186" w:rsidRPr="00144186">
        <w:rPr>
          <w:rFonts w:ascii="Times New Roman" w:hAnsi="Times New Roman"/>
          <w:sz w:val="24"/>
          <w:szCs w:val="24"/>
          <w:lang w:eastAsia="pt-PT"/>
        </w:rPr>
        <w:t>Fargnoli</w:t>
      </w:r>
      <w:r w:rsidR="00144186">
        <w:rPr>
          <w:rFonts w:ascii="Times New Roman" w:hAnsi="Times New Roman"/>
          <w:sz w:val="24"/>
          <w:szCs w:val="24"/>
          <w:lang w:eastAsia="pt-PT"/>
        </w:rPr>
        <w:t xml:space="preserve"> </w:t>
      </w:r>
      <w:r w:rsidR="00144186" w:rsidRPr="002407E3">
        <w:rPr>
          <w:rFonts w:ascii="Times New Roman" w:hAnsi="Times New Roman"/>
          <w:i/>
          <w:sz w:val="24"/>
          <w:szCs w:val="24"/>
        </w:rPr>
        <w:t>et al</w:t>
      </w:r>
      <w:r w:rsidR="00144186">
        <w:rPr>
          <w:rFonts w:ascii="Times New Roman" w:hAnsi="Times New Roman"/>
          <w:sz w:val="24"/>
          <w:szCs w:val="24"/>
        </w:rPr>
        <w:t>., 2009</w:t>
      </w:r>
      <w:r w:rsidR="006533BD">
        <w:rPr>
          <w:rFonts w:ascii="Times New Roman" w:hAnsi="Times New Roman"/>
          <w:sz w:val="24"/>
          <w:szCs w:val="24"/>
        </w:rPr>
        <w:t xml:space="preserve">; Jones </w:t>
      </w:r>
      <w:r w:rsidR="006533BD" w:rsidRPr="006533BD">
        <w:rPr>
          <w:rFonts w:ascii="Times New Roman" w:hAnsi="Times New Roman"/>
          <w:i/>
          <w:sz w:val="24"/>
          <w:szCs w:val="24"/>
        </w:rPr>
        <w:t>et al</w:t>
      </w:r>
      <w:r w:rsidR="006533BD">
        <w:rPr>
          <w:rFonts w:ascii="Times New Roman" w:hAnsi="Times New Roman"/>
          <w:sz w:val="24"/>
          <w:szCs w:val="24"/>
        </w:rPr>
        <w:t>., 2011</w:t>
      </w:r>
      <w:r w:rsidR="00144186">
        <w:rPr>
          <w:rFonts w:ascii="Times New Roman" w:hAnsi="Times New Roman"/>
          <w:sz w:val="24"/>
          <w:szCs w:val="24"/>
        </w:rPr>
        <w:t>)</w:t>
      </w:r>
      <w:r w:rsidRPr="00C45009">
        <w:rPr>
          <w:rFonts w:ascii="Times New Roman" w:hAnsi="Times New Roman"/>
          <w:sz w:val="24"/>
          <w:szCs w:val="24"/>
        </w:rPr>
        <w:t xml:space="preserve">. </w:t>
      </w:r>
      <w:r w:rsidR="00AA1B53" w:rsidRPr="00C45009">
        <w:rPr>
          <w:rFonts w:ascii="Times New Roman" w:hAnsi="Times New Roman"/>
          <w:sz w:val="24"/>
          <w:szCs w:val="24"/>
        </w:rPr>
        <w:t>A aterosclerose e o cancro constituem as principais causas de morte nos países industrializados, e desde que as populações da bacia Mediterrânica demonstraram possuir uma mortalidade inferior devida a estas causas, derivada dos seus hábitos alimentares, a dieta Mediterrânica foi proposta como um protótipo a partir da qual as recomendações dietéticas e dietas de prevenção se regem</w:t>
      </w:r>
      <w:r w:rsidR="00AA1B53">
        <w:rPr>
          <w:rFonts w:ascii="Times New Roman" w:hAnsi="Times New Roman"/>
          <w:sz w:val="24"/>
          <w:szCs w:val="24"/>
        </w:rPr>
        <w:t xml:space="preserve"> </w:t>
      </w:r>
      <w:r w:rsidR="00AA1B53" w:rsidRPr="00C45009">
        <w:rPr>
          <w:rFonts w:ascii="Times New Roman" w:hAnsi="Times New Roman"/>
          <w:sz w:val="24"/>
          <w:szCs w:val="24"/>
        </w:rPr>
        <w:t xml:space="preserve">(Urquiaga </w:t>
      </w:r>
      <w:r w:rsidR="00AA1B53" w:rsidRPr="00401FAA">
        <w:rPr>
          <w:rFonts w:ascii="Times New Roman" w:hAnsi="Times New Roman"/>
          <w:i/>
          <w:sz w:val="24"/>
          <w:szCs w:val="24"/>
        </w:rPr>
        <w:t>et al</w:t>
      </w:r>
      <w:r w:rsidR="00AA1B53" w:rsidRPr="00C45009">
        <w:rPr>
          <w:rFonts w:ascii="Times New Roman" w:hAnsi="Times New Roman"/>
          <w:sz w:val="24"/>
          <w:szCs w:val="24"/>
        </w:rPr>
        <w:t>., 2004).</w:t>
      </w:r>
    </w:p>
    <w:p w:rsidR="00AA1B53" w:rsidRPr="00C45009" w:rsidRDefault="00AA1B53" w:rsidP="00AA1B53">
      <w:pPr>
        <w:autoSpaceDE w:val="0"/>
        <w:autoSpaceDN w:val="0"/>
        <w:adjustRightInd w:val="0"/>
        <w:ind w:firstLine="708"/>
        <w:jc w:val="both"/>
        <w:rPr>
          <w:rFonts w:ascii="Times New Roman" w:hAnsi="Times New Roman"/>
          <w:sz w:val="24"/>
          <w:szCs w:val="24"/>
        </w:rPr>
      </w:pPr>
      <w:r w:rsidRPr="00D20052">
        <w:rPr>
          <w:rFonts w:ascii="Times New Roman" w:hAnsi="Times New Roman"/>
          <w:sz w:val="24"/>
          <w:szCs w:val="24"/>
        </w:rPr>
        <w:t>O aumento do conhecimento sobre o impacto que a dieta exerce na regulação genética e molecular, está a alterar o modo como encaramos o papel da nutrição na saúde humana</w:t>
      </w:r>
      <w:r>
        <w:rPr>
          <w:rFonts w:ascii="Times New Roman" w:hAnsi="Times New Roman"/>
          <w:sz w:val="24"/>
          <w:szCs w:val="24"/>
        </w:rPr>
        <w:t xml:space="preserve"> </w:t>
      </w:r>
      <w:r w:rsidRPr="00D20052">
        <w:rPr>
          <w:rFonts w:ascii="Times New Roman" w:hAnsi="Times New Roman"/>
          <w:sz w:val="24"/>
          <w:szCs w:val="24"/>
        </w:rPr>
        <w:t xml:space="preserve">(Biesalski </w:t>
      </w:r>
      <w:r w:rsidRPr="00D20052">
        <w:rPr>
          <w:rFonts w:ascii="Times New Roman" w:hAnsi="Times New Roman"/>
          <w:i/>
          <w:sz w:val="24"/>
          <w:szCs w:val="24"/>
        </w:rPr>
        <w:t>et al</w:t>
      </w:r>
      <w:r>
        <w:rPr>
          <w:rFonts w:ascii="Times New Roman" w:hAnsi="Times New Roman"/>
          <w:sz w:val="24"/>
          <w:szCs w:val="24"/>
        </w:rPr>
        <w:t>., 2009)</w:t>
      </w:r>
      <w:r w:rsidRPr="00D20052">
        <w:rPr>
          <w:rFonts w:ascii="Times New Roman" w:hAnsi="Times New Roman"/>
          <w:sz w:val="24"/>
          <w:szCs w:val="24"/>
        </w:rPr>
        <w:t xml:space="preserve">. </w:t>
      </w:r>
      <w:r>
        <w:rPr>
          <w:rFonts w:ascii="Times New Roman" w:hAnsi="Times New Roman"/>
          <w:sz w:val="24"/>
          <w:szCs w:val="24"/>
        </w:rPr>
        <w:t xml:space="preserve">Neste </w:t>
      </w:r>
      <w:r w:rsidR="00A77DBB">
        <w:rPr>
          <w:rFonts w:ascii="Times New Roman" w:hAnsi="Times New Roman"/>
          <w:sz w:val="24"/>
          <w:szCs w:val="24"/>
        </w:rPr>
        <w:t>âmbito</w:t>
      </w:r>
      <w:r>
        <w:rPr>
          <w:rFonts w:ascii="Times New Roman" w:hAnsi="Times New Roman"/>
          <w:sz w:val="24"/>
          <w:szCs w:val="24"/>
        </w:rPr>
        <w:t xml:space="preserve">, surge o papel da fitoterapia, que actualmente é encarada como uma abordagem complementar no tratamento e prevenção de patologias, surgindo como um novo conceito para o melhoramento da saúde humana em diversas condições clínicas (Cravotto </w:t>
      </w:r>
      <w:r w:rsidRPr="00226842">
        <w:rPr>
          <w:rFonts w:ascii="Times New Roman" w:hAnsi="Times New Roman"/>
          <w:i/>
          <w:sz w:val="24"/>
          <w:szCs w:val="24"/>
        </w:rPr>
        <w:t>et al</w:t>
      </w:r>
      <w:r w:rsidRPr="00184A58">
        <w:rPr>
          <w:rFonts w:ascii="Times New Roman" w:hAnsi="Times New Roman"/>
          <w:sz w:val="24"/>
          <w:szCs w:val="24"/>
        </w:rPr>
        <w:t>.,</w:t>
      </w:r>
      <w:r>
        <w:rPr>
          <w:rFonts w:ascii="Times New Roman" w:hAnsi="Times New Roman"/>
          <w:sz w:val="24"/>
          <w:szCs w:val="24"/>
        </w:rPr>
        <w:t xml:space="preserve"> 2010). A fitoterapia ou terapia nutricional, oferece vantagens pelo facto de ser relativamente segura, pela ausência de efeitos secundários significativos e pelo seu relativo baixo custo quando comparada com medicamentos convencionais (Capasso </w:t>
      </w:r>
      <w:r w:rsidRPr="00B4536E">
        <w:rPr>
          <w:rFonts w:ascii="Times New Roman" w:hAnsi="Times New Roman"/>
          <w:i/>
          <w:sz w:val="24"/>
          <w:szCs w:val="24"/>
        </w:rPr>
        <w:t>et al</w:t>
      </w:r>
      <w:r>
        <w:rPr>
          <w:rFonts w:ascii="Times New Roman" w:hAnsi="Times New Roman"/>
          <w:sz w:val="24"/>
          <w:szCs w:val="24"/>
        </w:rPr>
        <w:t>., 2003). Actualmente a</w:t>
      </w:r>
      <w:r w:rsidRPr="00D20052">
        <w:rPr>
          <w:rFonts w:ascii="Times New Roman" w:hAnsi="Times New Roman"/>
          <w:sz w:val="24"/>
          <w:szCs w:val="24"/>
        </w:rPr>
        <w:t xml:space="preserve"> avaliação da eficácia e segurança da utilização de extractos de plantas e compostos bioactivos derivados, como os fitoquímicos,</w:t>
      </w:r>
      <w:r>
        <w:rPr>
          <w:rFonts w:ascii="Times New Roman" w:hAnsi="Times New Roman"/>
          <w:sz w:val="24"/>
          <w:szCs w:val="24"/>
        </w:rPr>
        <w:t xml:space="preserve"> na alimentação,</w:t>
      </w:r>
      <w:r w:rsidRPr="00D20052">
        <w:rPr>
          <w:rFonts w:ascii="Times New Roman" w:hAnsi="Times New Roman"/>
          <w:sz w:val="24"/>
          <w:szCs w:val="24"/>
        </w:rPr>
        <w:t xml:space="preserve"> ainda representa um enorme desafio para os cientistas (Biesalski </w:t>
      </w:r>
      <w:r w:rsidRPr="00D20052">
        <w:rPr>
          <w:rFonts w:ascii="Times New Roman" w:hAnsi="Times New Roman"/>
          <w:i/>
          <w:sz w:val="24"/>
          <w:szCs w:val="24"/>
        </w:rPr>
        <w:t>et al</w:t>
      </w:r>
      <w:r w:rsidRPr="00D20052">
        <w:rPr>
          <w:rFonts w:ascii="Times New Roman" w:hAnsi="Times New Roman"/>
          <w:sz w:val="24"/>
          <w:szCs w:val="24"/>
        </w:rPr>
        <w:t>., 2009).</w:t>
      </w:r>
      <w:r>
        <w:rPr>
          <w:rFonts w:ascii="Times New Roman" w:hAnsi="Times New Roman"/>
          <w:sz w:val="24"/>
          <w:szCs w:val="24"/>
        </w:rPr>
        <w:t xml:space="preserve"> </w:t>
      </w:r>
    </w:p>
    <w:p w:rsidR="00A860C3" w:rsidRDefault="00C5318E" w:rsidP="00A860C3">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A associação</w:t>
      </w:r>
      <w:r w:rsidR="00AE5D7E">
        <w:rPr>
          <w:rFonts w:ascii="Times New Roman" w:hAnsi="Times New Roman"/>
          <w:sz w:val="24"/>
          <w:szCs w:val="24"/>
        </w:rPr>
        <w:t xml:space="preserve"> entre o </w:t>
      </w:r>
      <w:r>
        <w:rPr>
          <w:rFonts w:ascii="Times New Roman" w:hAnsi="Times New Roman"/>
          <w:sz w:val="24"/>
          <w:szCs w:val="24"/>
        </w:rPr>
        <w:t xml:space="preserve">consumo de uma dieta rica em compostos bioactivos como os fitoquímicos, e </w:t>
      </w:r>
      <w:r w:rsidR="00AE5D7E">
        <w:rPr>
          <w:rFonts w:ascii="Times New Roman" w:hAnsi="Times New Roman"/>
          <w:sz w:val="24"/>
          <w:szCs w:val="24"/>
        </w:rPr>
        <w:t xml:space="preserve">uma </w:t>
      </w:r>
      <w:r>
        <w:rPr>
          <w:rFonts w:ascii="Times New Roman" w:hAnsi="Times New Roman"/>
          <w:sz w:val="24"/>
          <w:szCs w:val="24"/>
        </w:rPr>
        <w:t>baixa incidência de doenças crónicas</w:t>
      </w:r>
      <w:r w:rsidR="001B337B">
        <w:rPr>
          <w:rFonts w:ascii="Times New Roman" w:hAnsi="Times New Roman"/>
          <w:sz w:val="24"/>
          <w:szCs w:val="24"/>
        </w:rPr>
        <w:t xml:space="preserve"> nos países mediterrrânicos</w:t>
      </w:r>
      <w:r w:rsidR="00175F49">
        <w:rPr>
          <w:rFonts w:ascii="Times New Roman" w:hAnsi="Times New Roman"/>
          <w:sz w:val="24"/>
          <w:szCs w:val="24"/>
        </w:rPr>
        <w:t xml:space="preserve">, tem vindo a ser estudada </w:t>
      </w:r>
      <w:r w:rsidR="00AE5D7E">
        <w:rPr>
          <w:rFonts w:ascii="Times New Roman" w:hAnsi="Times New Roman"/>
          <w:sz w:val="24"/>
          <w:szCs w:val="24"/>
        </w:rPr>
        <w:t>de forma a</w:t>
      </w:r>
      <w:r w:rsidR="001B337B">
        <w:rPr>
          <w:rFonts w:ascii="Times New Roman" w:hAnsi="Times New Roman"/>
          <w:sz w:val="24"/>
          <w:szCs w:val="24"/>
        </w:rPr>
        <w:t xml:space="preserve"> compreender a </w:t>
      </w:r>
      <w:r w:rsidR="00AE5D7E">
        <w:rPr>
          <w:rFonts w:ascii="Times New Roman" w:hAnsi="Times New Roman"/>
          <w:sz w:val="24"/>
          <w:szCs w:val="24"/>
        </w:rPr>
        <w:t>interac</w:t>
      </w:r>
      <w:r w:rsidR="001B337B">
        <w:rPr>
          <w:rFonts w:ascii="Times New Roman" w:hAnsi="Times New Roman"/>
          <w:sz w:val="24"/>
          <w:szCs w:val="24"/>
        </w:rPr>
        <w:t xml:space="preserve">ção </w:t>
      </w:r>
      <w:r w:rsidR="00AA1B53">
        <w:rPr>
          <w:rFonts w:ascii="Times New Roman" w:hAnsi="Times New Roman"/>
          <w:sz w:val="24"/>
          <w:szCs w:val="24"/>
        </w:rPr>
        <w:t>entre estes</w:t>
      </w:r>
      <w:r w:rsidR="00AE5D7E">
        <w:rPr>
          <w:rFonts w:ascii="Times New Roman" w:hAnsi="Times New Roman"/>
          <w:sz w:val="24"/>
          <w:szCs w:val="24"/>
        </w:rPr>
        <w:t xml:space="preserve"> factores </w:t>
      </w:r>
      <w:r w:rsidR="001B337B">
        <w:rPr>
          <w:rFonts w:ascii="Times New Roman" w:hAnsi="Times New Roman"/>
          <w:sz w:val="24"/>
          <w:szCs w:val="24"/>
        </w:rPr>
        <w:t>e</w:t>
      </w:r>
      <w:r w:rsidR="00AE5D7E">
        <w:rPr>
          <w:rFonts w:ascii="Times New Roman" w:hAnsi="Times New Roman"/>
          <w:sz w:val="24"/>
          <w:szCs w:val="24"/>
        </w:rPr>
        <w:t xml:space="preserve"> </w:t>
      </w:r>
      <w:r w:rsidR="00AA1B53">
        <w:rPr>
          <w:rFonts w:ascii="Times New Roman" w:hAnsi="Times New Roman"/>
          <w:sz w:val="24"/>
          <w:szCs w:val="24"/>
        </w:rPr>
        <w:t xml:space="preserve">a </w:t>
      </w:r>
      <w:r w:rsidR="00AE5D7E">
        <w:rPr>
          <w:rFonts w:ascii="Times New Roman" w:hAnsi="Times New Roman"/>
          <w:sz w:val="24"/>
          <w:szCs w:val="24"/>
        </w:rPr>
        <w:t>sua</w:t>
      </w:r>
      <w:r w:rsidR="001B337B">
        <w:rPr>
          <w:rFonts w:ascii="Times New Roman" w:hAnsi="Times New Roman"/>
          <w:sz w:val="24"/>
          <w:szCs w:val="24"/>
        </w:rPr>
        <w:t xml:space="preserve"> contribuição para este baixo </w:t>
      </w:r>
      <w:r w:rsidR="00AE5D7E">
        <w:rPr>
          <w:rFonts w:ascii="Times New Roman" w:hAnsi="Times New Roman"/>
          <w:sz w:val="24"/>
          <w:szCs w:val="24"/>
        </w:rPr>
        <w:t>índice patológico (</w:t>
      </w:r>
      <w:r w:rsidR="00AE5D7E" w:rsidRPr="00144186">
        <w:rPr>
          <w:rFonts w:ascii="Times New Roman" w:hAnsi="Times New Roman"/>
          <w:sz w:val="24"/>
          <w:szCs w:val="24"/>
          <w:lang w:eastAsia="pt-PT"/>
        </w:rPr>
        <w:t>Fargnoli</w:t>
      </w:r>
      <w:r w:rsidR="00AE5D7E">
        <w:rPr>
          <w:rFonts w:ascii="Times New Roman" w:hAnsi="Times New Roman"/>
          <w:sz w:val="24"/>
          <w:szCs w:val="24"/>
          <w:lang w:eastAsia="pt-PT"/>
        </w:rPr>
        <w:t xml:space="preserve"> </w:t>
      </w:r>
      <w:r w:rsidR="00AE5D7E" w:rsidRPr="002407E3">
        <w:rPr>
          <w:rFonts w:ascii="Times New Roman" w:hAnsi="Times New Roman"/>
          <w:i/>
          <w:sz w:val="24"/>
          <w:szCs w:val="24"/>
        </w:rPr>
        <w:t>et al</w:t>
      </w:r>
      <w:r w:rsidR="00AE5D7E">
        <w:rPr>
          <w:rFonts w:ascii="Times New Roman" w:hAnsi="Times New Roman"/>
          <w:sz w:val="24"/>
          <w:szCs w:val="24"/>
        </w:rPr>
        <w:t>., 2009). Os</w:t>
      </w:r>
      <w:r w:rsidR="00AE5D7E" w:rsidRPr="0016588B">
        <w:rPr>
          <w:rFonts w:ascii="Times New Roman" w:hAnsi="Times New Roman"/>
          <w:sz w:val="24"/>
          <w:szCs w:val="24"/>
        </w:rPr>
        <w:t xml:space="preserve"> fitoquímicos </w:t>
      </w:r>
      <w:r w:rsidR="00AE5D7E">
        <w:rPr>
          <w:rFonts w:ascii="Times New Roman" w:hAnsi="Times New Roman"/>
          <w:sz w:val="24"/>
          <w:szCs w:val="24"/>
        </w:rPr>
        <w:t xml:space="preserve">definem-se como nutrientes bioactivos não essenciais de origem vegetal, derivando o prefixo </w:t>
      </w:r>
      <w:r w:rsidR="00AE5D7E">
        <w:rPr>
          <w:rFonts w:ascii="Times New Roman" w:hAnsi="Times New Roman"/>
          <w:i/>
          <w:sz w:val="24"/>
          <w:szCs w:val="24"/>
        </w:rPr>
        <w:t>fito</w:t>
      </w:r>
      <w:r w:rsidR="00AE5D7E">
        <w:rPr>
          <w:rFonts w:ascii="Times New Roman" w:hAnsi="Times New Roman"/>
          <w:sz w:val="24"/>
          <w:szCs w:val="24"/>
        </w:rPr>
        <w:t xml:space="preserve"> da palavra Grega </w:t>
      </w:r>
      <w:r w:rsidR="00AE5D7E">
        <w:rPr>
          <w:rFonts w:ascii="Times New Roman" w:hAnsi="Times New Roman"/>
          <w:i/>
          <w:sz w:val="24"/>
          <w:szCs w:val="24"/>
        </w:rPr>
        <w:t>phyto</w:t>
      </w:r>
      <w:r w:rsidR="00AE5D7E">
        <w:rPr>
          <w:rFonts w:ascii="Times New Roman" w:hAnsi="Times New Roman"/>
          <w:sz w:val="24"/>
          <w:szCs w:val="24"/>
        </w:rPr>
        <w:t xml:space="preserve"> que significa planta (</w:t>
      </w:r>
      <w:r w:rsidR="00AE5D7E">
        <w:rPr>
          <w:rFonts w:ascii="AdvP641C" w:hAnsi="AdvP641C" w:cs="AdvP641C"/>
          <w:sz w:val="24"/>
          <w:szCs w:val="20"/>
          <w:lang w:eastAsia="pt-PT"/>
        </w:rPr>
        <w:t xml:space="preserve">Huang </w:t>
      </w:r>
      <w:r w:rsidR="00AE5D7E" w:rsidRPr="009505B7">
        <w:rPr>
          <w:rFonts w:ascii="AdvP641C" w:hAnsi="AdvP641C" w:cs="AdvP641C"/>
          <w:i/>
          <w:sz w:val="24"/>
          <w:szCs w:val="20"/>
          <w:lang w:eastAsia="pt-PT"/>
        </w:rPr>
        <w:t>et al</w:t>
      </w:r>
      <w:r w:rsidR="00AE5D7E">
        <w:rPr>
          <w:rFonts w:ascii="AdvP641C" w:hAnsi="AdvP641C" w:cs="AdvP641C"/>
          <w:sz w:val="24"/>
          <w:szCs w:val="20"/>
          <w:lang w:eastAsia="pt-PT"/>
        </w:rPr>
        <w:t>., 2010)</w:t>
      </w:r>
      <w:r w:rsidR="00AE5D7E">
        <w:rPr>
          <w:rFonts w:ascii="Times New Roman" w:hAnsi="Times New Roman"/>
          <w:sz w:val="24"/>
          <w:szCs w:val="24"/>
        </w:rPr>
        <w:t>. S</w:t>
      </w:r>
      <w:r w:rsidR="00AE5D7E" w:rsidRPr="0016588B">
        <w:rPr>
          <w:rFonts w:ascii="Times New Roman" w:hAnsi="Times New Roman"/>
          <w:sz w:val="24"/>
          <w:szCs w:val="24"/>
        </w:rPr>
        <w:t xml:space="preserve">ão químicos </w:t>
      </w:r>
      <w:r w:rsidR="00AE5D7E">
        <w:rPr>
          <w:rFonts w:ascii="Times New Roman" w:hAnsi="Times New Roman"/>
          <w:sz w:val="24"/>
          <w:szCs w:val="24"/>
        </w:rPr>
        <w:t xml:space="preserve">derivados, extractáveis de plantas e seus derivados, </w:t>
      </w:r>
      <w:r w:rsidR="00AE5D7E" w:rsidRPr="0016588B">
        <w:rPr>
          <w:rFonts w:ascii="Times New Roman" w:hAnsi="Times New Roman"/>
          <w:sz w:val="24"/>
          <w:szCs w:val="24"/>
        </w:rPr>
        <w:t>e</w:t>
      </w:r>
      <w:r w:rsidR="00AE5D7E">
        <w:rPr>
          <w:rFonts w:ascii="Times New Roman" w:hAnsi="Times New Roman"/>
          <w:sz w:val="24"/>
          <w:szCs w:val="24"/>
        </w:rPr>
        <w:t>ncontrados em frutos, folhas, sementes, raízes e caules, etc, que têm sido associados à redução do risco de diversas doenças crónicas (L</w:t>
      </w:r>
      <w:r w:rsidR="00AE5D7E" w:rsidRPr="0016588B">
        <w:rPr>
          <w:rFonts w:ascii="Times New Roman" w:hAnsi="Times New Roman"/>
          <w:sz w:val="24"/>
          <w:szCs w:val="24"/>
        </w:rPr>
        <w:t>iu</w:t>
      </w:r>
      <w:r w:rsidR="00AE5D7E">
        <w:rPr>
          <w:rFonts w:ascii="Times New Roman" w:hAnsi="Times New Roman"/>
          <w:sz w:val="24"/>
          <w:szCs w:val="24"/>
        </w:rPr>
        <w:t>,</w:t>
      </w:r>
      <w:r w:rsidR="00AE5D7E" w:rsidRPr="0016588B">
        <w:rPr>
          <w:rFonts w:ascii="Times New Roman" w:hAnsi="Times New Roman"/>
          <w:sz w:val="24"/>
          <w:szCs w:val="24"/>
        </w:rPr>
        <w:t xml:space="preserve"> 2004</w:t>
      </w:r>
      <w:r w:rsidR="00AE5D7E">
        <w:rPr>
          <w:rFonts w:ascii="Times New Roman" w:hAnsi="Times New Roman"/>
          <w:sz w:val="24"/>
          <w:szCs w:val="24"/>
        </w:rPr>
        <w:t xml:space="preserve">; Biesalski </w:t>
      </w:r>
      <w:r w:rsidR="00AE5D7E" w:rsidRPr="00DD6E83">
        <w:rPr>
          <w:rFonts w:ascii="Times New Roman" w:hAnsi="Times New Roman"/>
          <w:i/>
          <w:sz w:val="24"/>
          <w:szCs w:val="24"/>
        </w:rPr>
        <w:t>et al</w:t>
      </w:r>
      <w:r w:rsidR="00AE5D7E">
        <w:rPr>
          <w:rFonts w:ascii="Times New Roman" w:hAnsi="Times New Roman"/>
          <w:sz w:val="24"/>
          <w:szCs w:val="24"/>
        </w:rPr>
        <w:t>., 2009</w:t>
      </w:r>
      <w:r w:rsidR="00AE5D7E" w:rsidRPr="0016588B">
        <w:rPr>
          <w:rFonts w:ascii="Times New Roman" w:hAnsi="Times New Roman"/>
          <w:sz w:val="24"/>
          <w:szCs w:val="24"/>
        </w:rPr>
        <w:t>)</w:t>
      </w:r>
      <w:r w:rsidR="00AE5D7E">
        <w:rPr>
          <w:rFonts w:ascii="Times New Roman" w:hAnsi="Times New Roman"/>
          <w:sz w:val="24"/>
          <w:szCs w:val="24"/>
        </w:rPr>
        <w:t xml:space="preserve">. Foram identificadas 40 plantas contendo propriedades quimiopreventivas, e mais de 400 espécies utilizadas na medicina tradicional Chinesa encontram-se associadas a efeitos anticancerígenos. É estimado que mais de 5000 fitoquímicos diferentes tenham sido identificados em frutos, vegetais, grainhas, e outras plantas, maioritariamente classificados como compostos fenólicos, carotenóides, vitaminas, alcalóides compostos </w:t>
      </w:r>
      <w:r w:rsidR="00AE5D7E">
        <w:rPr>
          <w:rFonts w:ascii="Times New Roman" w:hAnsi="Times New Roman"/>
          <w:sz w:val="24"/>
          <w:szCs w:val="24"/>
        </w:rPr>
        <w:lastRenderedPageBreak/>
        <w:t>contendo azoto e compostos organosulforados (Figura 1) (</w:t>
      </w:r>
      <w:r w:rsidR="00AE5D7E">
        <w:rPr>
          <w:rFonts w:ascii="AdvP641C" w:hAnsi="AdvP641C" w:cs="AdvP641C"/>
          <w:sz w:val="24"/>
          <w:szCs w:val="20"/>
          <w:lang w:eastAsia="pt-PT"/>
        </w:rPr>
        <w:t xml:space="preserve">Huang </w:t>
      </w:r>
      <w:r w:rsidR="00AE5D7E" w:rsidRPr="009505B7">
        <w:rPr>
          <w:rFonts w:ascii="AdvP641C" w:hAnsi="AdvP641C" w:cs="AdvP641C"/>
          <w:i/>
          <w:sz w:val="24"/>
          <w:szCs w:val="20"/>
          <w:lang w:eastAsia="pt-PT"/>
        </w:rPr>
        <w:t>et al</w:t>
      </w:r>
      <w:r w:rsidR="00AE5D7E">
        <w:rPr>
          <w:rFonts w:ascii="AdvP641C" w:hAnsi="AdvP641C" w:cs="AdvP641C"/>
          <w:sz w:val="24"/>
          <w:szCs w:val="20"/>
          <w:lang w:eastAsia="pt-PT"/>
        </w:rPr>
        <w:t>., 2010)</w:t>
      </w:r>
      <w:r w:rsidR="00AE5D7E">
        <w:rPr>
          <w:rFonts w:ascii="Times New Roman" w:hAnsi="Times New Roman"/>
          <w:sz w:val="24"/>
          <w:szCs w:val="24"/>
        </w:rPr>
        <w:t>. De entre estas 5 classes principais, os fitoquímicos mais estudados são os compostos fenólicos e os carotenóides (L</w:t>
      </w:r>
      <w:r w:rsidR="00AE5D7E" w:rsidRPr="0016588B">
        <w:rPr>
          <w:rFonts w:ascii="Times New Roman" w:hAnsi="Times New Roman"/>
          <w:sz w:val="24"/>
          <w:szCs w:val="24"/>
        </w:rPr>
        <w:t>iu</w:t>
      </w:r>
      <w:r w:rsidR="00AE5D7E">
        <w:rPr>
          <w:rFonts w:ascii="Times New Roman" w:hAnsi="Times New Roman"/>
          <w:sz w:val="24"/>
          <w:szCs w:val="24"/>
        </w:rPr>
        <w:t>,</w:t>
      </w:r>
      <w:r w:rsidR="00AE5D7E" w:rsidRPr="0016588B">
        <w:rPr>
          <w:rFonts w:ascii="Times New Roman" w:hAnsi="Times New Roman"/>
          <w:sz w:val="24"/>
          <w:szCs w:val="24"/>
        </w:rPr>
        <w:t xml:space="preserve"> 2004</w:t>
      </w:r>
      <w:r w:rsidR="00AE5D7E">
        <w:rPr>
          <w:rFonts w:ascii="Times New Roman" w:hAnsi="Times New Roman"/>
          <w:sz w:val="24"/>
          <w:szCs w:val="24"/>
        </w:rPr>
        <w:t xml:space="preserve">). </w:t>
      </w:r>
    </w:p>
    <w:p w:rsidR="00325932" w:rsidRDefault="00325932" w:rsidP="00C45009">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O particular interesse pela dieta Mediterrânica, na qual o azeite é um componente essencial provém dos principais constituintes deste “ouro líquido”, nomeadamente a sua abundância em fenóis antioxidantes, onde se incluem os fenóis simples (hidroxitirosol e tirosol), aldeídos secoiridóides, flavonóis e lignanos. Todos estes compostos de natureza fenólica são potentes inibidores das espécies reactivas de oxigénio envolvidas na etiologia de neoplasias relacionadas com a gordura, como o cancro da mama e o cancro colorretal. É neste contexto que muitos estudos se têm focado no efeito de quimioprevenção exercido pelo consumo da dieta Mediterrânica, verificado pela baixa incidência de algumas neoplasias nesta região</w:t>
      </w:r>
      <w:r w:rsidR="00CB2F6D">
        <w:rPr>
          <w:rFonts w:ascii="Times New Roman" w:hAnsi="Times New Roman"/>
          <w:sz w:val="24"/>
          <w:szCs w:val="24"/>
        </w:rPr>
        <w:t xml:space="preserve"> e baixa mortalidade por doenças cardiovasculares</w:t>
      </w:r>
      <w:r>
        <w:rPr>
          <w:rFonts w:ascii="Times New Roman" w:hAnsi="Times New Roman"/>
          <w:sz w:val="24"/>
          <w:szCs w:val="24"/>
        </w:rPr>
        <w:t xml:space="preserve"> (Owen </w:t>
      </w:r>
      <w:r w:rsidRPr="00325932">
        <w:rPr>
          <w:rFonts w:ascii="Times New Roman" w:hAnsi="Times New Roman"/>
          <w:i/>
          <w:sz w:val="24"/>
          <w:szCs w:val="24"/>
        </w:rPr>
        <w:t>et al</w:t>
      </w:r>
      <w:r>
        <w:rPr>
          <w:rFonts w:ascii="Times New Roman" w:hAnsi="Times New Roman"/>
          <w:sz w:val="24"/>
          <w:szCs w:val="24"/>
        </w:rPr>
        <w:t>., 200</w:t>
      </w:r>
      <w:r w:rsidR="00655A4A">
        <w:rPr>
          <w:rFonts w:ascii="Times New Roman" w:hAnsi="Times New Roman"/>
          <w:sz w:val="24"/>
          <w:szCs w:val="24"/>
        </w:rPr>
        <w:t>0</w:t>
      </w:r>
      <w:r>
        <w:rPr>
          <w:rFonts w:ascii="Times New Roman" w:hAnsi="Times New Roman"/>
          <w:sz w:val="24"/>
          <w:szCs w:val="24"/>
        </w:rPr>
        <w:t>).</w:t>
      </w:r>
    </w:p>
    <w:p w:rsidR="00C45009" w:rsidRPr="00C45009" w:rsidRDefault="00E54567" w:rsidP="00C45009">
      <w:pPr>
        <w:autoSpaceDE w:val="0"/>
        <w:autoSpaceDN w:val="0"/>
        <w:adjustRightInd w:val="0"/>
        <w:ind w:firstLine="708"/>
        <w:jc w:val="both"/>
        <w:rPr>
          <w:rFonts w:ascii="Times New Roman" w:hAnsi="Times New Roman"/>
          <w:sz w:val="24"/>
          <w:szCs w:val="24"/>
        </w:rPr>
      </w:pPr>
      <w:r w:rsidRPr="00C45009">
        <w:rPr>
          <w:rFonts w:ascii="Times New Roman" w:hAnsi="Times New Roman"/>
          <w:sz w:val="24"/>
          <w:szCs w:val="24"/>
        </w:rPr>
        <w:t xml:space="preserve">As populações mediterrânicas particularmente do Sul da Europa, são privilegiadas por uma dieta nutricionalmente muito rica, com abundância de ácidos gordos </w:t>
      </w:r>
      <w:r w:rsidR="00C41341" w:rsidRPr="00C45009">
        <w:rPr>
          <w:rFonts w:ascii="Times New Roman" w:hAnsi="Times New Roman"/>
          <w:sz w:val="24"/>
          <w:szCs w:val="24"/>
        </w:rPr>
        <w:t>mono</w:t>
      </w:r>
      <w:r w:rsidRPr="00C45009">
        <w:rPr>
          <w:rFonts w:ascii="Times New Roman" w:hAnsi="Times New Roman"/>
          <w:sz w:val="24"/>
          <w:szCs w:val="24"/>
        </w:rPr>
        <w:t>insaturados (MUFA)</w:t>
      </w:r>
      <w:r w:rsidR="003539D7" w:rsidRPr="00C45009">
        <w:rPr>
          <w:rFonts w:ascii="Times New Roman" w:hAnsi="Times New Roman"/>
          <w:sz w:val="24"/>
          <w:szCs w:val="24"/>
        </w:rPr>
        <w:t>,</w:t>
      </w:r>
      <w:r w:rsidRPr="00C45009">
        <w:rPr>
          <w:rFonts w:ascii="Times New Roman" w:hAnsi="Times New Roman"/>
          <w:sz w:val="24"/>
          <w:szCs w:val="24"/>
        </w:rPr>
        <w:t xml:space="preserve"> fibras e antioxidantes</w:t>
      </w:r>
      <w:r w:rsidR="003539D7" w:rsidRPr="00C45009">
        <w:rPr>
          <w:rFonts w:ascii="Times New Roman" w:hAnsi="Times New Roman"/>
          <w:sz w:val="24"/>
          <w:szCs w:val="24"/>
        </w:rPr>
        <w:t>, e um equilíbrio no consumo de ácidos gordos polinsaturados (PUFA) ω-3 e ω-6, e reduzida ingestão de ácidos gordos saturados (SFA)</w:t>
      </w:r>
      <w:r w:rsidRPr="00C45009">
        <w:rPr>
          <w:rFonts w:ascii="Times New Roman" w:hAnsi="Times New Roman"/>
          <w:sz w:val="24"/>
          <w:szCs w:val="24"/>
        </w:rPr>
        <w:t xml:space="preserve">. </w:t>
      </w:r>
      <w:r w:rsidR="00E065E1" w:rsidRPr="00C45009">
        <w:rPr>
          <w:rFonts w:ascii="Times New Roman" w:hAnsi="Times New Roman"/>
          <w:sz w:val="24"/>
          <w:szCs w:val="24"/>
        </w:rPr>
        <w:t xml:space="preserve">Os PUFA são susceptíveis às espécies reactivas de oxigénio (ROS) e são oxidados a péroxidos lipídicos, gerando reacções em cadeia que causam danos extensos ao nível do ADN, proteínas, </w:t>
      </w:r>
      <w:r w:rsidR="005672B5">
        <w:rPr>
          <w:rFonts w:ascii="Times New Roman" w:hAnsi="Times New Roman"/>
          <w:sz w:val="24"/>
          <w:szCs w:val="24"/>
        </w:rPr>
        <w:t>hidratos de carbono</w:t>
      </w:r>
      <w:r w:rsidR="00E065E1" w:rsidRPr="00C45009">
        <w:rPr>
          <w:rFonts w:ascii="Times New Roman" w:hAnsi="Times New Roman"/>
          <w:sz w:val="24"/>
          <w:szCs w:val="24"/>
        </w:rPr>
        <w:t xml:space="preserve"> e lípidos</w:t>
      </w:r>
      <w:r w:rsidR="00E065E1">
        <w:rPr>
          <w:rFonts w:ascii="Times New Roman" w:hAnsi="Times New Roman"/>
          <w:sz w:val="24"/>
          <w:szCs w:val="24"/>
        </w:rPr>
        <w:t xml:space="preserve">. </w:t>
      </w:r>
      <w:r w:rsidR="005F39BD" w:rsidRPr="00C45009">
        <w:rPr>
          <w:rFonts w:ascii="Times New Roman" w:hAnsi="Times New Roman"/>
          <w:sz w:val="24"/>
          <w:szCs w:val="24"/>
        </w:rPr>
        <w:t xml:space="preserve">Os benefícios da dieta Mediterrânica têm sido associados em grande parte ao elevado consumo de compostos </w:t>
      </w:r>
      <w:r w:rsidR="00E065E1">
        <w:rPr>
          <w:rFonts w:ascii="Times New Roman" w:hAnsi="Times New Roman"/>
          <w:sz w:val="24"/>
          <w:szCs w:val="24"/>
        </w:rPr>
        <w:t xml:space="preserve">capazes de reduzir ou capturar as ROS reduzindo os seus danos oxidativos, os </w:t>
      </w:r>
      <w:r w:rsidR="005F39BD" w:rsidRPr="00C45009">
        <w:rPr>
          <w:rFonts w:ascii="Times New Roman" w:hAnsi="Times New Roman"/>
          <w:sz w:val="24"/>
          <w:szCs w:val="24"/>
        </w:rPr>
        <w:t>antioxidantes</w:t>
      </w:r>
      <w:r w:rsidR="00E065E1">
        <w:rPr>
          <w:rFonts w:ascii="Times New Roman" w:hAnsi="Times New Roman"/>
          <w:sz w:val="24"/>
          <w:szCs w:val="24"/>
        </w:rPr>
        <w:t>,</w:t>
      </w:r>
      <w:r w:rsidR="005F39BD" w:rsidRPr="00C45009">
        <w:rPr>
          <w:rFonts w:ascii="Times New Roman" w:hAnsi="Times New Roman"/>
          <w:sz w:val="24"/>
          <w:szCs w:val="24"/>
        </w:rPr>
        <w:t xml:space="preserve"> </w:t>
      </w:r>
      <w:r w:rsidR="00C41341" w:rsidRPr="00C45009">
        <w:rPr>
          <w:rFonts w:ascii="Times New Roman" w:hAnsi="Times New Roman"/>
          <w:sz w:val="24"/>
          <w:szCs w:val="24"/>
        </w:rPr>
        <w:t>presentes nas frutas, vegetais e vinho</w:t>
      </w:r>
      <w:r w:rsidR="005C0AAD">
        <w:rPr>
          <w:rFonts w:ascii="Times New Roman" w:hAnsi="Times New Roman"/>
          <w:sz w:val="24"/>
          <w:szCs w:val="24"/>
        </w:rPr>
        <w:t xml:space="preserve"> ricos em fitoquímicos variados</w:t>
      </w:r>
      <w:r w:rsidR="00C41341" w:rsidRPr="00C45009">
        <w:rPr>
          <w:rFonts w:ascii="Times New Roman" w:hAnsi="Times New Roman"/>
          <w:sz w:val="24"/>
          <w:szCs w:val="24"/>
        </w:rPr>
        <w:t>, e ao tipo de gordura monoinsaturada e ácidos gordos ω-3, provenientes do consumo de azeite e peixe variado</w:t>
      </w:r>
      <w:r w:rsidR="00E065E1">
        <w:rPr>
          <w:rFonts w:ascii="Times New Roman" w:hAnsi="Times New Roman"/>
          <w:sz w:val="24"/>
          <w:szCs w:val="24"/>
        </w:rPr>
        <w:t xml:space="preserve"> </w:t>
      </w:r>
      <w:r w:rsidR="00E065E1" w:rsidRPr="00C45009">
        <w:rPr>
          <w:rFonts w:ascii="Times New Roman" w:hAnsi="Times New Roman"/>
          <w:sz w:val="24"/>
          <w:szCs w:val="24"/>
        </w:rPr>
        <w:t xml:space="preserve">(Urquiaga </w:t>
      </w:r>
      <w:r w:rsidR="00E065E1" w:rsidRPr="00401FAA">
        <w:rPr>
          <w:rFonts w:ascii="Times New Roman" w:hAnsi="Times New Roman"/>
          <w:i/>
          <w:sz w:val="24"/>
          <w:szCs w:val="24"/>
        </w:rPr>
        <w:t>et al</w:t>
      </w:r>
      <w:r w:rsidR="00E065E1" w:rsidRPr="00C45009">
        <w:rPr>
          <w:rFonts w:ascii="Times New Roman" w:hAnsi="Times New Roman"/>
          <w:sz w:val="24"/>
          <w:szCs w:val="24"/>
        </w:rPr>
        <w:t>., 2004).</w:t>
      </w:r>
    </w:p>
    <w:p w:rsidR="00B954FD" w:rsidRDefault="00B954FD" w:rsidP="00F87661">
      <w:pPr>
        <w:autoSpaceDE w:val="0"/>
        <w:autoSpaceDN w:val="0"/>
        <w:adjustRightInd w:val="0"/>
        <w:jc w:val="both"/>
        <w:rPr>
          <w:rFonts w:ascii="Times New Roman" w:hAnsi="Times New Roman"/>
          <w:sz w:val="24"/>
          <w:szCs w:val="24"/>
        </w:rPr>
      </w:pPr>
      <w:r w:rsidRPr="00B954FD">
        <w:rPr>
          <w:rFonts w:ascii="Times New Roman" w:hAnsi="Times New Roman"/>
          <w:sz w:val="24"/>
          <w:szCs w:val="24"/>
        </w:rPr>
        <w:tab/>
        <w:t>Historicamente</w:t>
      </w:r>
      <w:r>
        <w:rPr>
          <w:rFonts w:ascii="Times New Roman" w:hAnsi="Times New Roman"/>
          <w:sz w:val="24"/>
          <w:szCs w:val="24"/>
        </w:rPr>
        <w:t xml:space="preserve"> a incidência global de cancro apresenta-se baixa nos países Mediterrânicos </w:t>
      </w:r>
      <w:r w:rsidR="00093C4E">
        <w:rPr>
          <w:rFonts w:ascii="Times New Roman" w:hAnsi="Times New Roman"/>
          <w:sz w:val="24"/>
          <w:szCs w:val="24"/>
        </w:rPr>
        <w:t>comparada com países no Norte da Europa, como o Reino Unido, ou mais a Ocidente, como os Estados Unidos da América</w:t>
      </w:r>
      <w:r w:rsidR="00F87661">
        <w:rPr>
          <w:rFonts w:ascii="Times New Roman" w:hAnsi="Times New Roman"/>
          <w:sz w:val="24"/>
          <w:szCs w:val="24"/>
        </w:rPr>
        <w:t>, encontrando-se e</w:t>
      </w:r>
      <w:r w:rsidR="00093C4E">
        <w:rPr>
          <w:rFonts w:ascii="Times New Roman" w:hAnsi="Times New Roman"/>
          <w:sz w:val="24"/>
          <w:szCs w:val="24"/>
        </w:rPr>
        <w:t>sta diferença associada ao padrão de alimentação da região do Mediterrâneo</w:t>
      </w:r>
      <w:r w:rsidR="00F87661">
        <w:rPr>
          <w:rFonts w:ascii="Times New Roman" w:hAnsi="Times New Roman"/>
          <w:sz w:val="24"/>
          <w:szCs w:val="24"/>
        </w:rPr>
        <w:t>.</w:t>
      </w:r>
      <w:r w:rsidR="00093C4E">
        <w:rPr>
          <w:rFonts w:ascii="Times New Roman" w:hAnsi="Times New Roman"/>
          <w:sz w:val="24"/>
          <w:szCs w:val="24"/>
        </w:rPr>
        <w:t xml:space="preserve"> </w:t>
      </w:r>
      <w:r w:rsidR="00F87661">
        <w:rPr>
          <w:rFonts w:ascii="Times New Roman" w:hAnsi="Times New Roman"/>
          <w:sz w:val="24"/>
          <w:szCs w:val="24"/>
        </w:rPr>
        <w:t>A</w:t>
      </w:r>
      <w:r w:rsidR="00093C4E">
        <w:rPr>
          <w:rFonts w:ascii="Times New Roman" w:hAnsi="Times New Roman"/>
          <w:sz w:val="24"/>
          <w:szCs w:val="24"/>
        </w:rPr>
        <w:t>pesar das variações dos componentes presentes na tradicional dieta Mediterrânica encontradas entre os vários países, esta dieta é geralmente caracterizada pela</w:t>
      </w:r>
      <w:r w:rsidR="00F87661">
        <w:rPr>
          <w:rFonts w:ascii="Times New Roman" w:hAnsi="Times New Roman"/>
          <w:sz w:val="24"/>
          <w:szCs w:val="24"/>
        </w:rPr>
        <w:t>:</w:t>
      </w:r>
      <w:r w:rsidR="00093C4E">
        <w:rPr>
          <w:rFonts w:ascii="Times New Roman" w:hAnsi="Times New Roman"/>
          <w:sz w:val="24"/>
          <w:szCs w:val="24"/>
        </w:rPr>
        <w:t xml:space="preserve"> abundância </w:t>
      </w:r>
      <w:r w:rsidR="00F87661">
        <w:rPr>
          <w:rFonts w:ascii="Times New Roman" w:hAnsi="Times New Roman"/>
          <w:sz w:val="24"/>
          <w:szCs w:val="24"/>
        </w:rPr>
        <w:t xml:space="preserve">no consumo de </w:t>
      </w:r>
      <w:r w:rsidR="00093C4E">
        <w:rPr>
          <w:rFonts w:ascii="Times New Roman" w:hAnsi="Times New Roman"/>
          <w:sz w:val="24"/>
          <w:szCs w:val="24"/>
        </w:rPr>
        <w:t xml:space="preserve">produtos vegetais, </w:t>
      </w:r>
      <w:r w:rsidR="00F87661">
        <w:rPr>
          <w:rFonts w:ascii="Times New Roman" w:hAnsi="Times New Roman"/>
          <w:sz w:val="24"/>
          <w:szCs w:val="24"/>
        </w:rPr>
        <w:t xml:space="preserve">como fruta, vegetais, cereais, tubérculos, leguminosas, frutos secos e sementes; pelo consumo de </w:t>
      </w:r>
      <w:r w:rsidR="00093C4E">
        <w:rPr>
          <w:rFonts w:ascii="Times New Roman" w:hAnsi="Times New Roman"/>
          <w:sz w:val="24"/>
          <w:szCs w:val="24"/>
        </w:rPr>
        <w:t>azeite como gordura principal</w:t>
      </w:r>
      <w:r w:rsidR="00F87661">
        <w:rPr>
          <w:rFonts w:ascii="Times New Roman" w:hAnsi="Times New Roman"/>
          <w:sz w:val="24"/>
          <w:szCs w:val="24"/>
        </w:rPr>
        <w:t>; pelo consumo diário de produtos lácteos, como o queijo e os iogurtes; por moderadas quantidades de peixe, aves e ovos; pelo baixo consumo de carnes vermelhas e gordura animal; e pelo consumo moderado de vinho às refeições</w:t>
      </w:r>
      <w:r w:rsidR="009A0D79">
        <w:rPr>
          <w:rFonts w:ascii="Times New Roman" w:hAnsi="Times New Roman"/>
          <w:sz w:val="24"/>
          <w:szCs w:val="24"/>
        </w:rPr>
        <w:t xml:space="preserve"> (Figura 1)</w:t>
      </w:r>
      <w:r w:rsidR="00F87661">
        <w:rPr>
          <w:rFonts w:ascii="Times New Roman" w:hAnsi="Times New Roman"/>
          <w:sz w:val="24"/>
          <w:szCs w:val="24"/>
        </w:rPr>
        <w:t xml:space="preserve">. </w:t>
      </w:r>
      <w:r w:rsidR="00114C78">
        <w:rPr>
          <w:rFonts w:ascii="Times New Roman" w:hAnsi="Times New Roman"/>
          <w:sz w:val="24"/>
          <w:szCs w:val="24"/>
        </w:rPr>
        <w:t xml:space="preserve">Como consequência este padrão de dieta é baixo em gorduras saturadas, com um consumo total de gorduras </w:t>
      </w:r>
      <w:r w:rsidR="00EC152F">
        <w:rPr>
          <w:rFonts w:ascii="Times New Roman" w:hAnsi="Times New Roman"/>
          <w:sz w:val="24"/>
          <w:szCs w:val="24"/>
        </w:rPr>
        <w:t xml:space="preserve">variando entre </w:t>
      </w:r>
      <w:r w:rsidR="00737F38">
        <w:rPr>
          <w:rFonts w:ascii="Times New Roman" w:hAnsi="Times New Roman"/>
          <w:sz w:val="24"/>
          <w:szCs w:val="24"/>
        </w:rPr>
        <w:t xml:space="preserve"> </w:t>
      </w:r>
      <w:r w:rsidR="00EC152F">
        <w:rPr>
          <w:rFonts w:ascii="Times New Roman" w:hAnsi="Times New Roman"/>
          <w:sz w:val="24"/>
          <w:szCs w:val="24"/>
        </w:rPr>
        <w:t xml:space="preserve">&lt;25% e &gt;35% </w:t>
      </w:r>
      <w:r w:rsidR="00737F38">
        <w:rPr>
          <w:rFonts w:ascii="Times New Roman" w:hAnsi="Times New Roman"/>
          <w:sz w:val="24"/>
          <w:szCs w:val="24"/>
        </w:rPr>
        <w:t xml:space="preserve">de energia total em toda a região Mediterrânica </w:t>
      </w:r>
      <w:r w:rsidR="00114C78">
        <w:rPr>
          <w:rFonts w:ascii="Times New Roman" w:hAnsi="Times New Roman"/>
          <w:sz w:val="24"/>
          <w:szCs w:val="24"/>
        </w:rPr>
        <w:t xml:space="preserve">(Verberne </w:t>
      </w:r>
      <w:r w:rsidR="00114C78" w:rsidRPr="00114C78">
        <w:rPr>
          <w:rFonts w:ascii="Times New Roman" w:hAnsi="Times New Roman"/>
          <w:i/>
          <w:sz w:val="24"/>
          <w:szCs w:val="24"/>
        </w:rPr>
        <w:t>et al</w:t>
      </w:r>
      <w:r w:rsidR="00114C78">
        <w:rPr>
          <w:rFonts w:ascii="Times New Roman" w:hAnsi="Times New Roman"/>
          <w:sz w:val="24"/>
          <w:szCs w:val="24"/>
        </w:rPr>
        <w:t>., 2010).</w:t>
      </w:r>
    </w:p>
    <w:p w:rsidR="005672B5" w:rsidRDefault="005672B5" w:rsidP="00F87661">
      <w:pPr>
        <w:autoSpaceDE w:val="0"/>
        <w:autoSpaceDN w:val="0"/>
        <w:adjustRightInd w:val="0"/>
        <w:jc w:val="both"/>
        <w:rPr>
          <w:rFonts w:ascii="Times New Roman" w:hAnsi="Times New Roman"/>
          <w:sz w:val="24"/>
          <w:szCs w:val="24"/>
        </w:rPr>
      </w:pPr>
    </w:p>
    <w:p w:rsidR="005672B5" w:rsidRDefault="005672B5" w:rsidP="00F87661">
      <w:pPr>
        <w:autoSpaceDE w:val="0"/>
        <w:autoSpaceDN w:val="0"/>
        <w:adjustRightInd w:val="0"/>
        <w:jc w:val="both"/>
        <w:rPr>
          <w:rFonts w:ascii="Times New Roman" w:hAnsi="Times New Roman"/>
          <w:sz w:val="24"/>
          <w:szCs w:val="24"/>
        </w:rPr>
      </w:pPr>
    </w:p>
    <w:p w:rsidR="005672B5" w:rsidRDefault="005672B5" w:rsidP="005672B5">
      <w:pPr>
        <w:autoSpaceDE w:val="0"/>
        <w:autoSpaceDN w:val="0"/>
        <w:adjustRightInd w:val="0"/>
        <w:spacing w:after="0" w:line="240" w:lineRule="auto"/>
        <w:jc w:val="both"/>
        <w:rPr>
          <w:rFonts w:ascii="Times New Roman" w:hAnsi="Times New Roman"/>
          <w:sz w:val="24"/>
          <w:szCs w:val="24"/>
        </w:rPr>
      </w:pPr>
    </w:p>
    <w:p w:rsidR="00114C78" w:rsidRDefault="00114C78" w:rsidP="005672B5">
      <w:pPr>
        <w:autoSpaceDE w:val="0"/>
        <w:autoSpaceDN w:val="0"/>
        <w:adjustRightInd w:val="0"/>
        <w:spacing w:after="0"/>
        <w:jc w:val="center"/>
        <w:rPr>
          <w:rFonts w:ascii="Times New Roman" w:hAnsi="Times New Roman"/>
          <w:sz w:val="24"/>
          <w:szCs w:val="24"/>
        </w:rPr>
      </w:pPr>
      <w:r w:rsidRPr="00114C78">
        <w:rPr>
          <w:rFonts w:ascii="Times New Roman" w:hAnsi="Times New Roman"/>
          <w:noProof/>
          <w:sz w:val="24"/>
          <w:szCs w:val="24"/>
          <w:lang w:eastAsia="pt-PT"/>
        </w:rPr>
        <w:drawing>
          <wp:inline distT="0" distB="0" distL="0" distR="0">
            <wp:extent cx="3789111" cy="2393343"/>
            <wp:effectExtent l="19050" t="0" r="1839"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0000"/>
                    </a:blip>
                    <a:srcRect l="39218" t="31604" r="16598" b="23585"/>
                    <a:stretch>
                      <a:fillRect/>
                    </a:stretch>
                  </pic:blipFill>
                  <pic:spPr bwMode="auto">
                    <a:xfrm>
                      <a:off x="0" y="0"/>
                      <a:ext cx="3792131" cy="2395250"/>
                    </a:xfrm>
                    <a:prstGeom prst="rect">
                      <a:avLst/>
                    </a:prstGeom>
                    <a:noFill/>
                    <a:ln w="9525">
                      <a:noFill/>
                      <a:miter lim="800000"/>
                      <a:headEnd/>
                      <a:tailEnd/>
                    </a:ln>
                  </pic:spPr>
                </pic:pic>
              </a:graphicData>
            </a:graphic>
          </wp:inline>
        </w:drawing>
      </w:r>
    </w:p>
    <w:p w:rsidR="00B954FD" w:rsidRPr="00114C78" w:rsidRDefault="00114C78" w:rsidP="00114C78">
      <w:pPr>
        <w:pStyle w:val="Legenda"/>
        <w:jc w:val="both"/>
        <w:rPr>
          <w:rFonts w:ascii="Times New Roman" w:hAnsi="Times New Roman"/>
          <w:sz w:val="24"/>
          <w:szCs w:val="24"/>
        </w:rPr>
      </w:pPr>
      <w:r w:rsidRPr="00842D8D">
        <w:rPr>
          <w:rFonts w:ascii="Times New Roman" w:hAnsi="Times New Roman"/>
          <w:sz w:val="20"/>
          <w:szCs w:val="20"/>
        </w:rPr>
        <w:t xml:space="preserve">Figura </w:t>
      </w:r>
      <w:r w:rsidR="00EC7637">
        <w:rPr>
          <w:rFonts w:ascii="Times New Roman" w:hAnsi="Times New Roman"/>
          <w:sz w:val="20"/>
          <w:szCs w:val="20"/>
        </w:rPr>
        <w:t>1</w:t>
      </w:r>
      <w:r w:rsidRPr="00842D8D">
        <w:rPr>
          <w:rFonts w:ascii="Times New Roman" w:hAnsi="Times New Roman"/>
          <w:sz w:val="20"/>
          <w:szCs w:val="20"/>
        </w:rPr>
        <w:t xml:space="preserve"> –</w:t>
      </w:r>
      <w:r w:rsidRPr="00842D8D">
        <w:rPr>
          <w:rFonts w:ascii="Times New Roman" w:hAnsi="Times New Roman"/>
          <w:b w:val="0"/>
          <w:color w:val="auto"/>
          <w:sz w:val="20"/>
          <w:szCs w:val="20"/>
        </w:rPr>
        <w:t xml:space="preserve"> Representação esquemática da dieta tradicional Mediterrânica</w:t>
      </w:r>
      <w:r>
        <w:rPr>
          <w:rFonts w:ascii="Times New Roman" w:hAnsi="Times New Roman"/>
          <w:b w:val="0"/>
          <w:color w:val="auto"/>
          <w:sz w:val="20"/>
          <w:szCs w:val="20"/>
        </w:rPr>
        <w:t>, d</w:t>
      </w:r>
      <w:r w:rsidRPr="00842D8D">
        <w:rPr>
          <w:rFonts w:ascii="Times New Roman" w:hAnsi="Times New Roman"/>
          <w:b w:val="0"/>
          <w:color w:val="auto"/>
          <w:sz w:val="20"/>
          <w:szCs w:val="20"/>
        </w:rPr>
        <w:t>estaque para o azeite enquanto principal fonte de gordura nesta dieta</w:t>
      </w:r>
      <w:r>
        <w:t xml:space="preserve"> </w:t>
      </w:r>
      <w:r>
        <w:rPr>
          <w:rFonts w:ascii="Times New Roman" w:hAnsi="Times New Roman"/>
          <w:b w:val="0"/>
          <w:color w:val="auto"/>
          <w:sz w:val="20"/>
          <w:szCs w:val="20"/>
        </w:rPr>
        <w:t xml:space="preserve">(adaptado de </w:t>
      </w:r>
      <w:r w:rsidRPr="006829DA">
        <w:rPr>
          <w:rFonts w:ascii="Times New Roman" w:hAnsi="Times New Roman"/>
          <w:b w:val="0"/>
          <w:color w:val="auto"/>
          <w:sz w:val="20"/>
          <w:szCs w:val="20"/>
        </w:rPr>
        <w:t xml:space="preserve">Owen </w:t>
      </w:r>
      <w:r w:rsidRPr="006829DA">
        <w:rPr>
          <w:rFonts w:ascii="Times New Roman" w:hAnsi="Times New Roman"/>
          <w:b w:val="0"/>
          <w:i/>
          <w:color w:val="auto"/>
          <w:sz w:val="20"/>
          <w:szCs w:val="20"/>
        </w:rPr>
        <w:t>et al</w:t>
      </w:r>
      <w:r>
        <w:rPr>
          <w:rFonts w:ascii="Times New Roman" w:hAnsi="Times New Roman"/>
          <w:b w:val="0"/>
          <w:color w:val="auto"/>
          <w:sz w:val="20"/>
          <w:szCs w:val="20"/>
        </w:rPr>
        <w:t xml:space="preserve">., </w:t>
      </w:r>
      <w:r w:rsidRPr="006829DA">
        <w:rPr>
          <w:rFonts w:ascii="Times New Roman" w:hAnsi="Times New Roman"/>
          <w:b w:val="0"/>
          <w:color w:val="auto"/>
          <w:sz w:val="20"/>
          <w:szCs w:val="20"/>
        </w:rPr>
        <w:t>2000</w:t>
      </w:r>
      <w:r>
        <w:rPr>
          <w:rFonts w:ascii="Times New Roman" w:hAnsi="Times New Roman"/>
          <w:b w:val="0"/>
          <w:color w:val="auto"/>
          <w:sz w:val="20"/>
          <w:szCs w:val="20"/>
        </w:rPr>
        <w:t xml:space="preserve">; </w:t>
      </w:r>
      <w:r w:rsidRPr="00A61790">
        <w:rPr>
          <w:rFonts w:ascii="Times New Roman" w:hAnsi="Times New Roman"/>
          <w:b w:val="0"/>
          <w:color w:val="auto"/>
          <w:sz w:val="20"/>
          <w:szCs w:val="20"/>
        </w:rPr>
        <w:t>Rietjens, 2008</w:t>
      </w:r>
      <w:r>
        <w:rPr>
          <w:rFonts w:ascii="Times New Roman" w:hAnsi="Times New Roman"/>
          <w:b w:val="0"/>
          <w:color w:val="auto"/>
          <w:sz w:val="20"/>
          <w:szCs w:val="20"/>
        </w:rPr>
        <w:t xml:space="preserve">; Bouallagui </w:t>
      </w:r>
      <w:r w:rsidRPr="006829DA">
        <w:rPr>
          <w:rFonts w:ascii="Times New Roman" w:hAnsi="Times New Roman"/>
          <w:b w:val="0"/>
          <w:i/>
          <w:color w:val="auto"/>
          <w:sz w:val="20"/>
          <w:szCs w:val="20"/>
        </w:rPr>
        <w:t>et al</w:t>
      </w:r>
      <w:r>
        <w:rPr>
          <w:rFonts w:ascii="Times New Roman" w:hAnsi="Times New Roman"/>
          <w:b w:val="0"/>
          <w:color w:val="auto"/>
          <w:sz w:val="20"/>
          <w:szCs w:val="20"/>
        </w:rPr>
        <w:t>., 2011).</w:t>
      </w:r>
    </w:p>
    <w:p w:rsidR="00B954FD" w:rsidRPr="00114C78" w:rsidRDefault="00B954FD" w:rsidP="0067264E">
      <w:pPr>
        <w:ind w:firstLine="708"/>
        <w:jc w:val="both"/>
        <w:rPr>
          <w:rFonts w:ascii="Times New Roman" w:hAnsi="Times New Roman"/>
          <w:sz w:val="24"/>
          <w:szCs w:val="24"/>
        </w:rPr>
      </w:pPr>
    </w:p>
    <w:p w:rsidR="00E66047" w:rsidRDefault="00E065E1" w:rsidP="00A31C81">
      <w:pPr>
        <w:autoSpaceDE w:val="0"/>
        <w:autoSpaceDN w:val="0"/>
        <w:adjustRightInd w:val="0"/>
        <w:ind w:firstLine="708"/>
        <w:jc w:val="both"/>
        <w:rPr>
          <w:rFonts w:ascii="Times New Roman" w:hAnsi="Times New Roman"/>
          <w:sz w:val="24"/>
          <w:szCs w:val="24"/>
        </w:rPr>
      </w:pPr>
      <w:r w:rsidRPr="00E065E1">
        <w:rPr>
          <w:rFonts w:ascii="Times New Roman" w:hAnsi="Times New Roman"/>
          <w:sz w:val="24"/>
          <w:szCs w:val="24"/>
        </w:rPr>
        <w:t>Estudos epidemiológicos decorridos no a</w:t>
      </w:r>
      <w:r>
        <w:rPr>
          <w:rFonts w:ascii="Times New Roman" w:hAnsi="Times New Roman"/>
          <w:sz w:val="24"/>
          <w:szCs w:val="24"/>
        </w:rPr>
        <w:t>no 1992 concluíram que para a maioria dos tumores mais frequentes, indivíduos com um baixa ingestão de vegetais e frutas, apresentavam o dobro do risco de desenvolvimento de cancro (Key, 2011).</w:t>
      </w:r>
      <w:r w:rsidR="0067264E">
        <w:rPr>
          <w:rFonts w:ascii="Times New Roman" w:hAnsi="Times New Roman"/>
          <w:sz w:val="24"/>
          <w:szCs w:val="24"/>
        </w:rPr>
        <w:t xml:space="preserve"> </w:t>
      </w:r>
      <w:r w:rsidR="0067264E">
        <w:rPr>
          <w:rFonts w:ascii="Times New Roman" w:hAnsi="Times New Roman"/>
          <w:sz w:val="24"/>
          <w:lang w:eastAsia="pt-PT"/>
        </w:rPr>
        <w:t xml:space="preserve">Durante a década de 90, assistiu-se a um crescente entusiasmo ao consumo de frutas e vegetais com a expectativa de uma redução do risco de várias neoplasias, tendo sido sugeridas reduções potenciais de 50%. O Instituto Nacional do Cancro nos Estados Unidos da América, introduziu um programa em 1991 designado por </w:t>
      </w:r>
      <w:r w:rsidR="0067264E" w:rsidRPr="0067264E">
        <w:rPr>
          <w:rFonts w:ascii="Times New Roman" w:hAnsi="Times New Roman"/>
          <w:i/>
          <w:sz w:val="24"/>
          <w:lang w:eastAsia="pt-PT"/>
        </w:rPr>
        <w:t>5-A-Day</w:t>
      </w:r>
      <w:r w:rsidR="0067264E">
        <w:rPr>
          <w:rFonts w:ascii="Times New Roman" w:hAnsi="Times New Roman"/>
          <w:sz w:val="24"/>
          <w:lang w:eastAsia="pt-PT"/>
        </w:rPr>
        <w:t>, para promover o consumo destes alimentos cinco ou mais vezes ao dia, e foi lançada uma linha de investigação para a identificação e isolamento dos fitoquímicos responsáveis pelos aparentes benefícios do seu consumo (Willett, 2010).</w:t>
      </w:r>
      <w:r w:rsidR="0083051D">
        <w:rPr>
          <w:rFonts w:ascii="Times New Roman" w:hAnsi="Times New Roman"/>
          <w:sz w:val="24"/>
          <w:lang w:eastAsia="pt-PT"/>
        </w:rPr>
        <w:t xml:space="preserve"> </w:t>
      </w:r>
      <w:r w:rsidR="00ED0AD4" w:rsidRPr="00ED0AD4">
        <w:rPr>
          <w:rFonts w:ascii="Times New Roman" w:hAnsi="Times New Roman"/>
          <w:sz w:val="24"/>
          <w:lang w:eastAsia="pt-PT"/>
        </w:rPr>
        <w:t>O estudo d</w:t>
      </w:r>
      <w:r w:rsidR="00ED0AD4">
        <w:rPr>
          <w:rFonts w:ascii="Times New Roman" w:hAnsi="Times New Roman"/>
          <w:sz w:val="24"/>
          <w:lang w:eastAsia="pt-PT"/>
        </w:rPr>
        <w:t>e</w:t>
      </w:r>
      <w:r w:rsidR="00ED0AD4" w:rsidRPr="00ED0AD4">
        <w:rPr>
          <w:rFonts w:ascii="Times New Roman" w:hAnsi="Times New Roman"/>
          <w:sz w:val="24"/>
          <w:lang w:eastAsia="pt-PT"/>
        </w:rPr>
        <w:t xml:space="preserve"> alimentos e</w:t>
      </w:r>
      <w:r w:rsidR="00ED0AD4">
        <w:rPr>
          <w:rFonts w:ascii="Times New Roman" w:hAnsi="Times New Roman"/>
          <w:sz w:val="24"/>
          <w:lang w:eastAsia="pt-PT"/>
        </w:rPr>
        <w:t xml:space="preserve"> nutrientes isolados é lim</w:t>
      </w:r>
      <w:r w:rsidR="0083051D">
        <w:rPr>
          <w:rFonts w:ascii="Times New Roman" w:hAnsi="Times New Roman"/>
          <w:sz w:val="24"/>
          <w:lang w:eastAsia="pt-PT"/>
        </w:rPr>
        <w:t>i</w:t>
      </w:r>
      <w:r w:rsidR="00ED0AD4">
        <w:rPr>
          <w:rFonts w:ascii="Times New Roman" w:hAnsi="Times New Roman"/>
          <w:sz w:val="24"/>
          <w:lang w:eastAsia="pt-PT"/>
        </w:rPr>
        <w:t>tado, pelo facto que os componentes dos alimentos não são consumidos isoladamente, e os seus efeitos benéficos são frequentemente sinergéticos</w:t>
      </w:r>
      <w:r w:rsidR="0083051D">
        <w:rPr>
          <w:rFonts w:ascii="Times New Roman" w:hAnsi="Times New Roman"/>
          <w:sz w:val="24"/>
          <w:lang w:eastAsia="pt-PT"/>
        </w:rPr>
        <w:t>, dificultando assim o estudo dos seus benefícios individuais separadamente. Adicionalmente o estudo dos benefícios da dieta mediterrânica é dificultado, pelo facto de que de esta não se caracteriza apenas por ser um padrão de dieta</w:t>
      </w:r>
      <w:r w:rsidR="00132F12">
        <w:rPr>
          <w:rFonts w:ascii="Times New Roman" w:hAnsi="Times New Roman"/>
          <w:sz w:val="24"/>
          <w:lang w:eastAsia="pt-PT"/>
        </w:rPr>
        <w:t>, mas também</w:t>
      </w:r>
      <w:r w:rsidR="0083051D">
        <w:rPr>
          <w:rFonts w:ascii="Times New Roman" w:hAnsi="Times New Roman"/>
          <w:sz w:val="24"/>
          <w:lang w:eastAsia="pt-PT"/>
        </w:rPr>
        <w:t xml:space="preserve"> representa um estilo de vida e um modelo cultural</w:t>
      </w:r>
      <w:r w:rsidR="007228E3">
        <w:rPr>
          <w:rFonts w:ascii="Times New Roman" w:hAnsi="Times New Roman"/>
          <w:sz w:val="24"/>
          <w:lang w:eastAsia="pt-PT"/>
        </w:rPr>
        <w:t xml:space="preserve"> bastante rico</w:t>
      </w:r>
      <w:r w:rsidR="0083051D">
        <w:rPr>
          <w:rFonts w:ascii="Times New Roman" w:hAnsi="Times New Roman"/>
          <w:sz w:val="24"/>
          <w:lang w:eastAsia="pt-PT"/>
        </w:rPr>
        <w:t xml:space="preserve"> </w:t>
      </w:r>
      <w:r w:rsidR="0083051D">
        <w:rPr>
          <w:rFonts w:ascii="Times New Roman" w:hAnsi="Times New Roman"/>
          <w:sz w:val="24"/>
          <w:szCs w:val="24"/>
        </w:rPr>
        <w:t xml:space="preserve">(Verberne </w:t>
      </w:r>
      <w:r w:rsidR="0083051D" w:rsidRPr="00114C78">
        <w:rPr>
          <w:rFonts w:ascii="Times New Roman" w:hAnsi="Times New Roman"/>
          <w:i/>
          <w:sz w:val="24"/>
          <w:szCs w:val="24"/>
        </w:rPr>
        <w:t>et al</w:t>
      </w:r>
      <w:r w:rsidR="0083051D">
        <w:rPr>
          <w:rFonts w:ascii="Times New Roman" w:hAnsi="Times New Roman"/>
          <w:sz w:val="24"/>
          <w:szCs w:val="24"/>
        </w:rPr>
        <w:t>., 2010).</w:t>
      </w:r>
    </w:p>
    <w:p w:rsidR="00A31C81" w:rsidRDefault="00115E0E" w:rsidP="00115E0E">
      <w:pPr>
        <w:autoSpaceDE w:val="0"/>
        <w:autoSpaceDN w:val="0"/>
        <w:adjustRightInd w:val="0"/>
        <w:ind w:firstLine="708"/>
        <w:jc w:val="both"/>
        <w:rPr>
          <w:rFonts w:ascii="Times New Roman" w:hAnsi="Times New Roman"/>
          <w:sz w:val="24"/>
          <w:szCs w:val="24"/>
        </w:rPr>
      </w:pPr>
      <w:r>
        <w:rPr>
          <w:rFonts w:ascii="AdvTimes" w:hAnsi="AdvTimes" w:cs="AdvTimes"/>
          <w:sz w:val="18"/>
          <w:szCs w:val="18"/>
          <w:lang w:eastAsia="pt-PT"/>
        </w:rPr>
        <w:t>.</w:t>
      </w:r>
    </w:p>
    <w:p w:rsidR="00A42814" w:rsidRPr="004A51EC" w:rsidRDefault="00A42814" w:rsidP="00D24520">
      <w:pPr>
        <w:autoSpaceDE w:val="0"/>
        <w:autoSpaceDN w:val="0"/>
        <w:adjustRightInd w:val="0"/>
        <w:spacing w:after="0" w:line="240" w:lineRule="auto"/>
        <w:jc w:val="both"/>
        <w:rPr>
          <w:rFonts w:ascii="Times New Roman" w:hAnsi="Times New Roman"/>
          <w:sz w:val="24"/>
          <w:szCs w:val="24"/>
        </w:rPr>
      </w:pPr>
    </w:p>
    <w:p w:rsidR="00AA1A14" w:rsidRPr="006533BD" w:rsidRDefault="008708DB" w:rsidP="006533BD">
      <w:pPr>
        <w:pStyle w:val="PargrafodaLista"/>
        <w:numPr>
          <w:ilvl w:val="0"/>
          <w:numId w:val="1"/>
        </w:numPr>
        <w:spacing w:after="0"/>
        <w:rPr>
          <w:rFonts w:ascii="Times New Roman" w:hAnsi="Times New Roman"/>
          <w:b/>
          <w:sz w:val="28"/>
          <w:szCs w:val="28"/>
        </w:rPr>
      </w:pPr>
      <w:r w:rsidRPr="006533BD">
        <w:rPr>
          <w:rFonts w:ascii="Times New Roman" w:hAnsi="Times New Roman"/>
          <w:b/>
          <w:sz w:val="28"/>
          <w:szCs w:val="28"/>
        </w:rPr>
        <w:t xml:space="preserve"> </w:t>
      </w:r>
      <w:r w:rsidR="00657398" w:rsidRPr="006533BD">
        <w:rPr>
          <w:rFonts w:ascii="Times New Roman" w:hAnsi="Times New Roman"/>
          <w:b/>
          <w:sz w:val="28"/>
          <w:szCs w:val="28"/>
        </w:rPr>
        <w:t>Azeite</w:t>
      </w:r>
    </w:p>
    <w:p w:rsidR="00AA1A14" w:rsidRPr="00A33698" w:rsidRDefault="00AA1A14" w:rsidP="00A33698">
      <w:pPr>
        <w:pStyle w:val="PargrafodaLista"/>
        <w:numPr>
          <w:ilvl w:val="1"/>
          <w:numId w:val="38"/>
        </w:numPr>
        <w:tabs>
          <w:tab w:val="left" w:pos="1276"/>
        </w:tabs>
        <w:spacing w:after="0"/>
        <w:rPr>
          <w:rFonts w:ascii="Times New Roman" w:hAnsi="Times New Roman"/>
          <w:b/>
          <w:sz w:val="28"/>
          <w:szCs w:val="28"/>
        </w:rPr>
      </w:pPr>
      <w:r w:rsidRPr="00A33698">
        <w:rPr>
          <w:rFonts w:ascii="Times New Roman" w:hAnsi="Times New Roman"/>
          <w:b/>
          <w:sz w:val="28"/>
          <w:szCs w:val="28"/>
        </w:rPr>
        <w:t>A origem</w:t>
      </w:r>
      <w:r w:rsidR="00657398" w:rsidRPr="00A33698">
        <w:rPr>
          <w:rFonts w:ascii="Times New Roman" w:hAnsi="Times New Roman"/>
          <w:b/>
          <w:sz w:val="28"/>
          <w:szCs w:val="28"/>
        </w:rPr>
        <w:t xml:space="preserve"> </w:t>
      </w:r>
      <w:r w:rsidRPr="00A33698">
        <w:rPr>
          <w:rFonts w:ascii="Times New Roman" w:hAnsi="Times New Roman"/>
          <w:b/>
          <w:sz w:val="28"/>
          <w:szCs w:val="28"/>
        </w:rPr>
        <w:t>do azeite</w:t>
      </w:r>
    </w:p>
    <w:p w:rsidR="00657398" w:rsidRDefault="00657398" w:rsidP="00A31C81">
      <w:pPr>
        <w:tabs>
          <w:tab w:val="left" w:pos="709"/>
        </w:tabs>
        <w:spacing w:after="0"/>
        <w:rPr>
          <w:rFonts w:ascii="Times New Roman" w:hAnsi="Times New Roman"/>
          <w:b/>
          <w:sz w:val="28"/>
          <w:szCs w:val="28"/>
        </w:rPr>
      </w:pPr>
    </w:p>
    <w:p w:rsidR="00807341" w:rsidRPr="00A803A2" w:rsidRDefault="00657398" w:rsidP="00A803A2">
      <w:pPr>
        <w:autoSpaceDE w:val="0"/>
        <w:autoSpaceDN w:val="0"/>
        <w:adjustRightInd w:val="0"/>
        <w:jc w:val="both"/>
        <w:rPr>
          <w:rFonts w:ascii="Times New Roman" w:hAnsi="Times New Roman"/>
          <w:sz w:val="24"/>
          <w:szCs w:val="24"/>
        </w:rPr>
      </w:pPr>
      <w:r w:rsidRPr="00AD77AF">
        <w:rPr>
          <w:rFonts w:ascii="Times New Roman" w:hAnsi="Times New Roman"/>
          <w:sz w:val="24"/>
          <w:szCs w:val="24"/>
        </w:rPr>
        <w:tab/>
      </w:r>
      <w:r w:rsidR="00AD77AF" w:rsidRPr="00AD77AF">
        <w:rPr>
          <w:rFonts w:ascii="Times New Roman" w:hAnsi="Times New Roman"/>
          <w:sz w:val="24"/>
          <w:szCs w:val="24"/>
        </w:rPr>
        <w:t>A oliveira,</w:t>
      </w:r>
      <w:r w:rsidR="00AD77AF">
        <w:rPr>
          <w:rFonts w:ascii="Times New Roman" w:hAnsi="Times New Roman"/>
          <w:sz w:val="24"/>
          <w:szCs w:val="24"/>
        </w:rPr>
        <w:t xml:space="preserve"> </w:t>
      </w:r>
      <w:r w:rsidRPr="00657398">
        <w:rPr>
          <w:rFonts w:ascii="Times New Roman" w:hAnsi="Times New Roman"/>
          <w:i/>
          <w:sz w:val="24"/>
          <w:szCs w:val="24"/>
        </w:rPr>
        <w:t>Olea Europea</w:t>
      </w:r>
      <w:r>
        <w:rPr>
          <w:rFonts w:ascii="Times New Roman" w:hAnsi="Times New Roman"/>
          <w:sz w:val="24"/>
          <w:szCs w:val="24"/>
        </w:rPr>
        <w:t>,</w:t>
      </w:r>
      <w:r>
        <w:rPr>
          <w:rFonts w:ascii="Times New Roman" w:hAnsi="Times New Roman"/>
          <w:i/>
          <w:sz w:val="24"/>
          <w:szCs w:val="24"/>
        </w:rPr>
        <w:t xml:space="preserve"> </w:t>
      </w:r>
      <w:r w:rsidR="00AD77AF">
        <w:rPr>
          <w:rFonts w:ascii="Times New Roman" w:hAnsi="Times New Roman"/>
          <w:sz w:val="24"/>
          <w:szCs w:val="24"/>
        </w:rPr>
        <w:t>é uma árvore nativa da bacia do Mediterrân</w:t>
      </w:r>
      <w:r w:rsidR="00DF0D15">
        <w:rPr>
          <w:rFonts w:ascii="Times New Roman" w:hAnsi="Times New Roman"/>
          <w:sz w:val="24"/>
          <w:szCs w:val="24"/>
        </w:rPr>
        <w:t>eo e de parte da Ásia menor. Re</w:t>
      </w:r>
      <w:r w:rsidR="00AD77AF">
        <w:rPr>
          <w:rFonts w:ascii="Times New Roman" w:hAnsi="Times New Roman"/>
          <w:sz w:val="24"/>
          <w:szCs w:val="24"/>
        </w:rPr>
        <w:t xml:space="preserve">ferências da árvore oliveira datam dos tempos Bíblicos e Romanos, e à mitologia Grega. Historicamente os produtos da </w:t>
      </w:r>
      <w:r w:rsidR="00AD77AF" w:rsidRPr="00657398">
        <w:rPr>
          <w:rFonts w:ascii="Times New Roman" w:hAnsi="Times New Roman"/>
          <w:i/>
          <w:sz w:val="24"/>
          <w:szCs w:val="24"/>
        </w:rPr>
        <w:t>Olea Europea</w:t>
      </w:r>
      <w:r w:rsidR="00AD77AF">
        <w:rPr>
          <w:rFonts w:ascii="Times New Roman" w:hAnsi="Times New Roman"/>
          <w:sz w:val="24"/>
          <w:szCs w:val="24"/>
        </w:rPr>
        <w:t xml:space="preserve"> têm sido utilizados enquanto afrodisíacos, laxativos, emolientes, nutritivos, sedativos, e tónicos. </w:t>
      </w:r>
      <w:r w:rsidR="00071950">
        <w:rPr>
          <w:rFonts w:ascii="Times New Roman" w:hAnsi="Times New Roman"/>
          <w:sz w:val="24"/>
          <w:szCs w:val="24"/>
        </w:rPr>
        <w:lastRenderedPageBreak/>
        <w:t>O seu fruto, a azeitona, é consumido</w:t>
      </w:r>
      <w:r w:rsidR="00AD77AF">
        <w:rPr>
          <w:rFonts w:ascii="Times New Roman" w:hAnsi="Times New Roman"/>
          <w:sz w:val="24"/>
          <w:szCs w:val="24"/>
        </w:rPr>
        <w:t xml:space="preserve"> na sua forma madura</w:t>
      </w:r>
      <w:r w:rsidR="00DF0D15">
        <w:rPr>
          <w:rFonts w:ascii="Times New Roman" w:hAnsi="Times New Roman"/>
          <w:sz w:val="24"/>
          <w:szCs w:val="24"/>
        </w:rPr>
        <w:t xml:space="preserve"> de cor preta, ou na sua forma </w:t>
      </w:r>
      <w:r w:rsidR="00997807">
        <w:rPr>
          <w:rFonts w:ascii="Times New Roman" w:hAnsi="Times New Roman"/>
          <w:sz w:val="24"/>
          <w:szCs w:val="24"/>
        </w:rPr>
        <w:t>imatura de cor verde</w:t>
      </w:r>
      <w:r w:rsidR="00071950">
        <w:rPr>
          <w:rFonts w:ascii="Times New Roman" w:hAnsi="Times New Roman"/>
          <w:sz w:val="24"/>
          <w:szCs w:val="24"/>
        </w:rPr>
        <w:t xml:space="preserve"> (Waterman </w:t>
      </w:r>
      <w:r w:rsidR="00071950" w:rsidRPr="008D5E08">
        <w:rPr>
          <w:rFonts w:ascii="Times New Roman" w:hAnsi="Times New Roman"/>
          <w:i/>
          <w:sz w:val="24"/>
          <w:szCs w:val="24"/>
        </w:rPr>
        <w:t>et al</w:t>
      </w:r>
      <w:r w:rsidR="00071950">
        <w:rPr>
          <w:rFonts w:ascii="Times New Roman" w:hAnsi="Times New Roman"/>
          <w:sz w:val="24"/>
          <w:szCs w:val="24"/>
        </w:rPr>
        <w:t>., 2007)</w:t>
      </w:r>
      <w:r w:rsidR="00997807">
        <w:rPr>
          <w:rFonts w:ascii="Times New Roman" w:hAnsi="Times New Roman"/>
          <w:sz w:val="24"/>
          <w:szCs w:val="24"/>
        </w:rPr>
        <w:t xml:space="preserve">. </w:t>
      </w:r>
      <w:r w:rsidR="00807341">
        <w:rPr>
          <w:rFonts w:ascii="Times New Roman" w:hAnsi="Times New Roman"/>
          <w:sz w:val="24"/>
          <w:szCs w:val="24"/>
        </w:rPr>
        <w:t xml:space="preserve">O clima peculiar da bacia Mediterrânica, quente e com uma exposição prolongada de irradiação solar, favorece o desenvolvimento de plantas e seus frutos, cuja exposição climática beneficia a sua </w:t>
      </w:r>
      <w:r w:rsidR="00807341" w:rsidRPr="00A803A2">
        <w:rPr>
          <w:rFonts w:ascii="Times New Roman" w:hAnsi="Times New Roman"/>
          <w:sz w:val="24"/>
          <w:szCs w:val="24"/>
        </w:rPr>
        <w:t xml:space="preserve">proporção elevada de moléculas antioxidantes (D’Angelo </w:t>
      </w:r>
      <w:r w:rsidR="00807341" w:rsidRPr="00A803A2">
        <w:rPr>
          <w:rFonts w:ascii="Times New Roman" w:hAnsi="Times New Roman"/>
          <w:i/>
          <w:sz w:val="24"/>
          <w:szCs w:val="24"/>
        </w:rPr>
        <w:t>et al</w:t>
      </w:r>
      <w:r w:rsidR="00807341" w:rsidRPr="00A803A2">
        <w:rPr>
          <w:rFonts w:ascii="Times New Roman" w:hAnsi="Times New Roman"/>
          <w:sz w:val="24"/>
          <w:szCs w:val="24"/>
        </w:rPr>
        <w:t xml:space="preserve">., 2005). </w:t>
      </w:r>
    </w:p>
    <w:p w:rsidR="00B2197F" w:rsidRDefault="00A67C42" w:rsidP="00B2197F">
      <w:pPr>
        <w:ind w:firstLine="708"/>
        <w:jc w:val="both"/>
        <w:rPr>
          <w:rFonts w:ascii="Times New Roman" w:hAnsi="Times New Roman"/>
          <w:sz w:val="24"/>
          <w:szCs w:val="24"/>
        </w:rPr>
      </w:pPr>
      <w:r w:rsidRPr="00A803A2">
        <w:rPr>
          <w:rFonts w:ascii="Times New Roman" w:hAnsi="Times New Roman"/>
          <w:sz w:val="24"/>
          <w:szCs w:val="24"/>
        </w:rPr>
        <w:t xml:space="preserve">O cultivo da oliveira estende-se a toda a região Mediterrânica, desempenhando um papel importante na economia rural, na tradição local, e no ambiente em que se insere. </w:t>
      </w:r>
      <w:r w:rsidR="00B2197F">
        <w:rPr>
          <w:rFonts w:ascii="Times New Roman" w:hAnsi="Times New Roman"/>
          <w:sz w:val="24"/>
          <w:szCs w:val="24"/>
        </w:rPr>
        <w:t xml:space="preserve">O azeite é obtido através do esmagamento das azeitonas até a obtenção de uma polpa, que depois é homogeneizada antes de ser prensada para a produção de azeite. O azeite pode ser consumido no estado natural não refinado, o azeite extra virgem, ou como um produto refinado. Assim a primeira fracção a ser extraída é o azeite extra virgem de alta qualidade, produzido usando apenas centrifugação e água. A polpa resultante, designada de bagaço de azeitona que pode ser húmido ou não dependendo do método de extracção empregue, pode então ser sujeito a um novo processamento para a obtenção do azeite virgem refinado de qualidade inferior, e uma extracção posterior pelo uso de solventes orgânicos permite obter o óleo de bagaço de azeitona refinado de baixa qualidade (Owen </w:t>
      </w:r>
      <w:r w:rsidR="00B2197F" w:rsidRPr="008D5E08">
        <w:rPr>
          <w:rFonts w:ascii="Times New Roman" w:hAnsi="Times New Roman"/>
          <w:i/>
          <w:sz w:val="24"/>
          <w:szCs w:val="24"/>
        </w:rPr>
        <w:t>et al</w:t>
      </w:r>
      <w:r w:rsidR="00B2197F">
        <w:rPr>
          <w:rFonts w:ascii="Times New Roman" w:hAnsi="Times New Roman"/>
          <w:sz w:val="24"/>
          <w:szCs w:val="24"/>
        </w:rPr>
        <w:t xml:space="preserve">., 2000; Waterman </w:t>
      </w:r>
      <w:r w:rsidR="00B2197F" w:rsidRPr="008D5E08">
        <w:rPr>
          <w:rFonts w:ascii="Times New Roman" w:hAnsi="Times New Roman"/>
          <w:i/>
          <w:sz w:val="24"/>
          <w:szCs w:val="24"/>
        </w:rPr>
        <w:t>et al</w:t>
      </w:r>
      <w:r w:rsidR="00B2197F">
        <w:rPr>
          <w:rFonts w:ascii="Times New Roman" w:hAnsi="Times New Roman"/>
          <w:sz w:val="24"/>
          <w:szCs w:val="24"/>
        </w:rPr>
        <w:t>., 2007).</w:t>
      </w:r>
    </w:p>
    <w:p w:rsidR="00A67C42" w:rsidRPr="00A803A2" w:rsidRDefault="00A67C42" w:rsidP="00B2197F">
      <w:pPr>
        <w:autoSpaceDE w:val="0"/>
        <w:autoSpaceDN w:val="0"/>
        <w:adjustRightInd w:val="0"/>
        <w:ind w:firstLine="708"/>
        <w:jc w:val="both"/>
        <w:rPr>
          <w:rFonts w:ascii="Times New Roman" w:hAnsi="Times New Roman"/>
          <w:sz w:val="24"/>
          <w:szCs w:val="24"/>
          <w:highlight w:val="yellow"/>
        </w:rPr>
      </w:pPr>
      <w:r w:rsidRPr="00A803A2">
        <w:rPr>
          <w:rFonts w:ascii="Times New Roman" w:hAnsi="Times New Roman"/>
          <w:sz w:val="24"/>
          <w:szCs w:val="24"/>
        </w:rPr>
        <w:t xml:space="preserve">Em 2000, a área de olivais cultivada abrangida na União Europeia era cerca de 5 163 000 hectares, onde aproximadamente 4% da área </w:t>
      </w:r>
      <w:r w:rsidR="004A6555" w:rsidRPr="00A803A2">
        <w:rPr>
          <w:rFonts w:ascii="Times New Roman" w:hAnsi="Times New Roman"/>
          <w:sz w:val="24"/>
          <w:szCs w:val="24"/>
        </w:rPr>
        <w:t>agríc</w:t>
      </w:r>
      <w:r w:rsidR="00243570" w:rsidRPr="00A803A2">
        <w:rPr>
          <w:rFonts w:ascii="Times New Roman" w:hAnsi="Times New Roman"/>
          <w:sz w:val="24"/>
          <w:szCs w:val="24"/>
        </w:rPr>
        <w:t>o</w:t>
      </w:r>
      <w:r w:rsidR="004A6555" w:rsidRPr="00A803A2">
        <w:rPr>
          <w:rFonts w:ascii="Times New Roman" w:hAnsi="Times New Roman"/>
          <w:sz w:val="24"/>
          <w:szCs w:val="24"/>
        </w:rPr>
        <w:t xml:space="preserve">la útil, </w:t>
      </w:r>
      <w:r w:rsidR="00243570" w:rsidRPr="00A803A2">
        <w:rPr>
          <w:rFonts w:ascii="Times New Roman" w:hAnsi="Times New Roman"/>
          <w:sz w:val="24"/>
          <w:szCs w:val="24"/>
        </w:rPr>
        <w:t xml:space="preserve">dos quais 48% situavam-se na Espanha, e 22,5% na Itália. </w:t>
      </w:r>
      <w:r w:rsidR="00243570">
        <w:rPr>
          <w:rFonts w:ascii="Times New Roman" w:hAnsi="Times New Roman"/>
          <w:sz w:val="24"/>
          <w:szCs w:val="24"/>
        </w:rPr>
        <w:t xml:space="preserve">Dos 2,5 milhões de produtores envolvidos, </w:t>
      </w:r>
      <w:r w:rsidR="00E70F34">
        <w:rPr>
          <w:rFonts w:ascii="Times New Roman" w:hAnsi="Times New Roman"/>
          <w:sz w:val="24"/>
          <w:szCs w:val="24"/>
        </w:rPr>
        <w:t>1 160 000 localizavam-se na Itália, 840 000 na Grécia, 380 000 na Espanha, e 130 000 em Portugal</w:t>
      </w:r>
      <w:r w:rsidR="00A803A2">
        <w:rPr>
          <w:rFonts w:ascii="Times New Roman" w:hAnsi="Times New Roman"/>
          <w:color w:val="231F20"/>
          <w:sz w:val="24"/>
          <w:szCs w:val="24"/>
          <w:lang w:eastAsia="pt-PT"/>
        </w:rPr>
        <w:t xml:space="preserve">. </w:t>
      </w:r>
      <w:r w:rsidR="00A803A2">
        <w:rPr>
          <w:rFonts w:ascii="Times New Roman" w:hAnsi="Times New Roman"/>
          <w:sz w:val="24"/>
          <w:szCs w:val="24"/>
        </w:rPr>
        <w:t xml:space="preserve">Em Portugal, de acordo com o recenseamento agrícola de 2003, o olival ocupava 335 029 hectares, incluindo o olival destinado à produção de azeitona de mesa de 10 546 hectares, correspondendo a 150 029 explorações. </w:t>
      </w:r>
      <w:r w:rsidR="005A33D0">
        <w:rPr>
          <w:rFonts w:ascii="Times New Roman" w:hAnsi="Times New Roman"/>
          <w:sz w:val="24"/>
          <w:szCs w:val="24"/>
        </w:rPr>
        <w:t xml:space="preserve">A produção de azeite constitui a principal fonte de emprego e de actividade económica em algumas das regiões produtoras, </w:t>
      </w:r>
      <w:r w:rsidR="00C64014">
        <w:rPr>
          <w:rFonts w:ascii="Times New Roman" w:hAnsi="Times New Roman"/>
          <w:sz w:val="24"/>
          <w:szCs w:val="24"/>
        </w:rPr>
        <w:t xml:space="preserve">tendo o seu cultivo </w:t>
      </w:r>
      <w:r w:rsidR="005A33D0">
        <w:rPr>
          <w:rFonts w:ascii="Times New Roman" w:hAnsi="Times New Roman"/>
          <w:sz w:val="24"/>
          <w:szCs w:val="24"/>
        </w:rPr>
        <w:t>moldado a paisagem destes países durante muitos séculos</w:t>
      </w:r>
      <w:r w:rsidR="00A803A2">
        <w:rPr>
          <w:rFonts w:ascii="Times New Roman" w:hAnsi="Times New Roman"/>
          <w:sz w:val="24"/>
          <w:szCs w:val="24"/>
        </w:rPr>
        <w:t xml:space="preserve"> </w:t>
      </w:r>
      <w:r w:rsidR="00C62250">
        <w:rPr>
          <w:rFonts w:ascii="Times New Roman" w:hAnsi="Times New Roman"/>
          <w:sz w:val="24"/>
          <w:szCs w:val="24"/>
        </w:rPr>
        <w:t>(</w:t>
      </w:r>
      <w:r w:rsidR="00C62250" w:rsidRPr="00C62250">
        <w:rPr>
          <w:rFonts w:ascii="Times New Roman" w:hAnsi="Times New Roman"/>
          <w:color w:val="231F20"/>
          <w:sz w:val="24"/>
          <w:szCs w:val="24"/>
          <w:lang w:eastAsia="pt-PT"/>
        </w:rPr>
        <w:t>European Commission Directorate-General for Agriculture fact sheet</w:t>
      </w:r>
      <w:r w:rsidR="00C62250">
        <w:rPr>
          <w:rFonts w:ascii="Times New Roman" w:hAnsi="Times New Roman"/>
          <w:color w:val="231F20"/>
          <w:sz w:val="24"/>
          <w:szCs w:val="24"/>
          <w:lang w:eastAsia="pt-PT"/>
        </w:rPr>
        <w:t>,</w:t>
      </w:r>
      <w:r w:rsidR="00C62250" w:rsidRPr="00C62250">
        <w:rPr>
          <w:rFonts w:ascii="Times New Roman" w:hAnsi="Times New Roman"/>
          <w:color w:val="231F20"/>
          <w:sz w:val="24"/>
          <w:szCs w:val="24"/>
          <w:lang w:eastAsia="pt-PT"/>
        </w:rPr>
        <w:t xml:space="preserve"> June 2002)</w:t>
      </w:r>
      <w:r w:rsidR="00C62250" w:rsidRPr="00C62250">
        <w:rPr>
          <w:rFonts w:ascii="Times New Roman" w:hAnsi="Times New Roman"/>
          <w:sz w:val="24"/>
          <w:szCs w:val="24"/>
        </w:rPr>
        <w:t>.</w:t>
      </w:r>
    </w:p>
    <w:p w:rsidR="00021D17" w:rsidRDefault="00E52F03" w:rsidP="00B2197F">
      <w:pPr>
        <w:ind w:firstLine="708"/>
        <w:jc w:val="both"/>
        <w:rPr>
          <w:rFonts w:ascii="Times New Roman" w:hAnsi="Times New Roman"/>
          <w:sz w:val="24"/>
          <w:szCs w:val="24"/>
        </w:rPr>
      </w:pPr>
      <w:r>
        <w:rPr>
          <w:rFonts w:ascii="Times New Roman" w:hAnsi="Times New Roman"/>
          <w:sz w:val="24"/>
          <w:szCs w:val="24"/>
        </w:rPr>
        <w:t>A produção anual mundial de azeite é estimada em 2,000,000,000Kg, sendo os países mediterrânicos produtores responsáveis por 95% do fornecimento de azeite em todo o mundo, dos quais 75% correspondem a países como a Espanha, Itália e Grécia (Rietjens, 2008</w:t>
      </w:r>
      <w:r>
        <w:rPr>
          <w:rFonts w:ascii="Times New Roman" w:hAnsi="Times New Roman"/>
          <w:sz w:val="26"/>
          <w:szCs w:val="24"/>
        </w:rPr>
        <w:t>)</w:t>
      </w:r>
      <w:r>
        <w:rPr>
          <w:rFonts w:ascii="Times New Roman" w:hAnsi="Times New Roman"/>
          <w:sz w:val="24"/>
          <w:szCs w:val="24"/>
        </w:rPr>
        <w:t xml:space="preserve">. Um terço de todo o azeite produzido no mundo, encontra-se na Andaluzia, uma região no Sul de Espanha, correspondendo a cerca de 80% de toda a produção de azeite espanhola e a mais de 40% da produção Europeia (Roig </w:t>
      </w:r>
      <w:r w:rsidRPr="005B03A2">
        <w:rPr>
          <w:rFonts w:ascii="Times New Roman" w:hAnsi="Times New Roman"/>
          <w:i/>
          <w:sz w:val="24"/>
          <w:szCs w:val="24"/>
        </w:rPr>
        <w:t>et al</w:t>
      </w:r>
      <w:r>
        <w:rPr>
          <w:rFonts w:ascii="Times New Roman" w:hAnsi="Times New Roman"/>
          <w:sz w:val="24"/>
          <w:szCs w:val="24"/>
        </w:rPr>
        <w:t>., 2006). Actualmente a produção de azeite encontra-se em expansão para outros continentes, incluindo países como os Estados Unidos da América, a Austrália e países da América do Sul (</w:t>
      </w:r>
      <w:r w:rsidR="001F4EC0">
        <w:rPr>
          <w:rFonts w:ascii="Times New Roman" w:hAnsi="Times New Roman"/>
          <w:sz w:val="24"/>
          <w:szCs w:val="24"/>
        </w:rPr>
        <w:t xml:space="preserve">Rietjens </w:t>
      </w:r>
      <w:r w:rsidR="001F4EC0" w:rsidRPr="001F4EC0">
        <w:rPr>
          <w:rFonts w:ascii="Times New Roman" w:hAnsi="Times New Roman"/>
          <w:i/>
          <w:sz w:val="24"/>
          <w:szCs w:val="24"/>
        </w:rPr>
        <w:t>et al</w:t>
      </w:r>
      <w:r w:rsidR="001F4EC0">
        <w:rPr>
          <w:rFonts w:ascii="Times New Roman" w:hAnsi="Times New Roman"/>
          <w:sz w:val="24"/>
          <w:szCs w:val="24"/>
        </w:rPr>
        <w:t xml:space="preserve">., 2007; </w:t>
      </w:r>
      <w:r>
        <w:rPr>
          <w:rFonts w:ascii="Times New Roman" w:hAnsi="Times New Roman"/>
          <w:sz w:val="24"/>
          <w:szCs w:val="24"/>
        </w:rPr>
        <w:t>Rietjens, 2008</w:t>
      </w:r>
      <w:r>
        <w:rPr>
          <w:rFonts w:ascii="Times New Roman" w:hAnsi="Times New Roman"/>
          <w:sz w:val="26"/>
          <w:szCs w:val="24"/>
        </w:rPr>
        <w:t>)</w:t>
      </w:r>
      <w:r>
        <w:rPr>
          <w:rFonts w:ascii="Times New Roman" w:hAnsi="Times New Roman"/>
          <w:sz w:val="24"/>
          <w:szCs w:val="24"/>
        </w:rPr>
        <w:t>.</w:t>
      </w:r>
    </w:p>
    <w:p w:rsidR="00B2197F" w:rsidRPr="00115E0E" w:rsidRDefault="00B2197F" w:rsidP="00116E01">
      <w:pPr>
        <w:spacing w:before="100" w:beforeAutospacing="1" w:after="100" w:afterAutospacing="1"/>
        <w:ind w:firstLine="708"/>
        <w:jc w:val="both"/>
        <w:outlineLvl w:val="2"/>
        <w:rPr>
          <w:rFonts w:ascii="Times New Roman" w:hAnsi="Times New Roman"/>
          <w:sz w:val="24"/>
          <w:szCs w:val="24"/>
        </w:rPr>
      </w:pPr>
      <w:r w:rsidRPr="00115E0E">
        <w:rPr>
          <w:rFonts w:ascii="Times New Roman" w:eastAsia="Times New Roman" w:hAnsi="Times New Roman"/>
          <w:sz w:val="24"/>
          <w:shd w:val="clear" w:color="auto" w:fill="FFFFFF"/>
          <w:lang w:eastAsia="pt-PT"/>
        </w:rPr>
        <w:t>Segundo dados do relatório da casa do azeite, em 2010 Portugal exportou mais azeite do que aquele que importou. As vendas para mercados estrangeiros subiram 37%, em volume. Foram mais de 47 mil toneladas export</w:t>
      </w:r>
      <w:r w:rsidR="00824510" w:rsidRPr="00115E0E">
        <w:rPr>
          <w:rFonts w:ascii="Times New Roman" w:eastAsia="Times New Roman" w:hAnsi="Times New Roman"/>
          <w:sz w:val="24"/>
          <w:shd w:val="clear" w:color="auto" w:fill="FFFFFF"/>
          <w:lang w:eastAsia="pt-PT"/>
        </w:rPr>
        <w:t>adas do “ouro líquido”</w:t>
      </w:r>
      <w:r w:rsidRPr="00115E0E">
        <w:rPr>
          <w:rFonts w:ascii="Times New Roman" w:eastAsia="Times New Roman" w:hAnsi="Times New Roman"/>
          <w:sz w:val="24"/>
          <w:shd w:val="clear" w:color="auto" w:fill="FFFFFF"/>
          <w:lang w:eastAsia="pt-PT"/>
        </w:rPr>
        <w:t xml:space="preserve"> nacional, </w:t>
      </w:r>
      <w:r w:rsidRPr="00115E0E">
        <w:rPr>
          <w:rFonts w:ascii="Times New Roman" w:eastAsia="Times New Roman" w:hAnsi="Times New Roman"/>
          <w:sz w:val="24"/>
          <w:shd w:val="clear" w:color="auto" w:fill="FFFFFF"/>
          <w:lang w:eastAsia="pt-PT"/>
        </w:rPr>
        <w:lastRenderedPageBreak/>
        <w:t xml:space="preserve">tendo como principal destino o Brasil. </w:t>
      </w:r>
      <w:r w:rsidRPr="00115E0E">
        <w:rPr>
          <w:rFonts w:ascii="Times New Roman" w:eastAsia="Times New Roman" w:hAnsi="Times New Roman"/>
          <w:sz w:val="24"/>
          <w:szCs w:val="19"/>
          <w:shd w:val="clear" w:color="auto" w:fill="FFFFFF"/>
          <w:lang w:eastAsia="pt-PT"/>
        </w:rPr>
        <w:t>As exportações totais de azeite cresceram em média 20% ao ano desde 2006, e o volume exportado duplicou de 28 mil toneladas para perto de 47 mil toneladas. As exportações em 2010 sub</w:t>
      </w:r>
      <w:r w:rsidR="00824510" w:rsidRPr="00115E0E">
        <w:rPr>
          <w:rFonts w:ascii="Times New Roman" w:eastAsia="Times New Roman" w:hAnsi="Times New Roman"/>
          <w:sz w:val="24"/>
          <w:szCs w:val="19"/>
          <w:shd w:val="clear" w:color="auto" w:fill="FFFFFF"/>
          <w:lang w:eastAsia="pt-PT"/>
        </w:rPr>
        <w:t>iram 4,9% face ao ano anterior, não sendo</w:t>
      </w:r>
      <w:r w:rsidRPr="00115E0E">
        <w:rPr>
          <w:rFonts w:ascii="Times New Roman" w:eastAsia="Times New Roman" w:hAnsi="Times New Roman"/>
          <w:sz w:val="24"/>
          <w:szCs w:val="19"/>
          <w:shd w:val="clear" w:color="auto" w:fill="FFFFFF"/>
          <w:lang w:eastAsia="pt-PT"/>
        </w:rPr>
        <w:t xml:space="preserve"> Portugal auto-suficiente em azeite desde as décadas de 1950 e 1960, mas estima-se que actualmente produz</w:t>
      </w:r>
      <w:r w:rsidR="00824510" w:rsidRPr="00115E0E">
        <w:rPr>
          <w:rFonts w:ascii="Times New Roman" w:eastAsia="Times New Roman" w:hAnsi="Times New Roman"/>
          <w:sz w:val="24"/>
          <w:szCs w:val="19"/>
          <w:shd w:val="clear" w:color="auto" w:fill="FFFFFF"/>
          <w:lang w:eastAsia="pt-PT"/>
        </w:rPr>
        <w:t>a</w:t>
      </w:r>
      <w:r w:rsidRPr="00115E0E">
        <w:rPr>
          <w:rFonts w:ascii="Times New Roman" w:eastAsia="Times New Roman" w:hAnsi="Times New Roman"/>
          <w:sz w:val="24"/>
          <w:szCs w:val="19"/>
          <w:shd w:val="clear" w:color="auto" w:fill="FFFFFF"/>
          <w:lang w:eastAsia="pt-PT"/>
        </w:rPr>
        <w:t>-se cerca de</w:t>
      </w:r>
      <w:r w:rsidR="00824510" w:rsidRPr="00115E0E">
        <w:rPr>
          <w:rFonts w:ascii="Times New Roman" w:eastAsia="Times New Roman" w:hAnsi="Times New Roman"/>
          <w:sz w:val="24"/>
          <w:szCs w:val="19"/>
          <w:shd w:val="clear" w:color="auto" w:fill="FFFFFF"/>
          <w:lang w:eastAsia="pt-PT"/>
        </w:rPr>
        <w:t xml:space="preserve"> 70% do </w:t>
      </w:r>
      <w:r w:rsidR="008D07F5" w:rsidRPr="00115E0E">
        <w:rPr>
          <w:rFonts w:ascii="Times New Roman" w:eastAsia="Times New Roman" w:hAnsi="Times New Roman"/>
          <w:sz w:val="24"/>
          <w:szCs w:val="19"/>
          <w:shd w:val="clear" w:color="auto" w:fill="FFFFFF"/>
          <w:lang w:eastAsia="pt-PT"/>
        </w:rPr>
        <w:t>azeite</w:t>
      </w:r>
      <w:r w:rsidRPr="00115E0E">
        <w:rPr>
          <w:rFonts w:ascii="Times New Roman" w:eastAsia="Times New Roman" w:hAnsi="Times New Roman"/>
          <w:sz w:val="24"/>
          <w:szCs w:val="19"/>
          <w:shd w:val="clear" w:color="auto" w:fill="FFFFFF"/>
          <w:lang w:eastAsia="pt-PT"/>
        </w:rPr>
        <w:t xml:space="preserve"> necess</w:t>
      </w:r>
      <w:r w:rsidR="00824510" w:rsidRPr="00115E0E">
        <w:rPr>
          <w:rFonts w:ascii="Times New Roman" w:eastAsia="Times New Roman" w:hAnsi="Times New Roman"/>
          <w:sz w:val="24"/>
          <w:szCs w:val="19"/>
          <w:shd w:val="clear" w:color="auto" w:fill="FFFFFF"/>
          <w:lang w:eastAsia="pt-PT"/>
        </w:rPr>
        <w:t>ário</w:t>
      </w:r>
      <w:r w:rsidR="00584697">
        <w:rPr>
          <w:rFonts w:ascii="Times New Roman" w:eastAsia="Times New Roman" w:hAnsi="Times New Roman"/>
          <w:sz w:val="24"/>
          <w:szCs w:val="19"/>
          <w:shd w:val="clear" w:color="auto" w:fill="FFFFFF"/>
          <w:lang w:eastAsia="pt-PT"/>
        </w:rPr>
        <w:t xml:space="preserve"> </w:t>
      </w:r>
      <w:r w:rsidR="00CA1D9A">
        <w:rPr>
          <w:rFonts w:ascii="Times New Roman" w:eastAsia="Times New Roman" w:hAnsi="Times New Roman"/>
          <w:sz w:val="24"/>
          <w:szCs w:val="19"/>
          <w:shd w:val="clear" w:color="auto" w:fill="FFFFFF"/>
          <w:lang w:eastAsia="pt-PT"/>
        </w:rPr>
        <w:t>(</w:t>
      </w:r>
      <w:r w:rsidR="00584697" w:rsidRPr="00584697">
        <w:rPr>
          <w:rFonts w:ascii="Times New Roman" w:hAnsi="Times New Roman"/>
          <w:sz w:val="24"/>
        </w:rPr>
        <w:t>http://www.cafeportugal.net</w:t>
      </w:r>
      <w:r w:rsidR="00584697">
        <w:rPr>
          <w:rFonts w:ascii="Times New Roman" w:hAnsi="Times New Roman"/>
          <w:sz w:val="24"/>
        </w:rPr>
        <w:t>, Maio 2011</w:t>
      </w:r>
      <w:r w:rsidR="00CA1D9A">
        <w:rPr>
          <w:rFonts w:ascii="Times New Roman" w:eastAsia="Times New Roman" w:hAnsi="Times New Roman"/>
          <w:sz w:val="24"/>
          <w:szCs w:val="19"/>
          <w:shd w:val="clear" w:color="auto" w:fill="FFFFFF"/>
          <w:lang w:eastAsia="pt-PT"/>
        </w:rPr>
        <w:t>)</w:t>
      </w:r>
      <w:r w:rsidRPr="00115E0E">
        <w:rPr>
          <w:rFonts w:ascii="Times New Roman" w:eastAsia="Times New Roman" w:hAnsi="Times New Roman"/>
          <w:sz w:val="24"/>
          <w:szCs w:val="19"/>
          <w:shd w:val="clear" w:color="auto" w:fill="FFFFFF"/>
          <w:lang w:eastAsia="pt-PT"/>
        </w:rPr>
        <w:t>.</w:t>
      </w:r>
    </w:p>
    <w:p w:rsidR="00824510" w:rsidRDefault="00824510" w:rsidP="00A31C81">
      <w:pPr>
        <w:spacing w:before="100" w:beforeAutospacing="1" w:after="100" w:afterAutospacing="1"/>
        <w:ind w:firstLine="709"/>
        <w:jc w:val="both"/>
        <w:outlineLvl w:val="2"/>
        <w:rPr>
          <w:rFonts w:ascii="Times New Roman" w:hAnsi="Times New Roman"/>
          <w:sz w:val="24"/>
          <w:szCs w:val="24"/>
        </w:rPr>
      </w:pPr>
    </w:p>
    <w:p w:rsidR="00021D17" w:rsidRPr="00BF57D0" w:rsidRDefault="00BF57D0" w:rsidP="00A33698">
      <w:pPr>
        <w:pStyle w:val="PargrafodaLista"/>
        <w:numPr>
          <w:ilvl w:val="1"/>
          <w:numId w:val="38"/>
        </w:numPr>
        <w:tabs>
          <w:tab w:val="left" w:pos="567"/>
          <w:tab w:val="left" w:pos="1276"/>
        </w:tabs>
        <w:spacing w:after="0"/>
        <w:rPr>
          <w:rFonts w:ascii="Times New Roman" w:hAnsi="Times New Roman"/>
          <w:b/>
          <w:sz w:val="28"/>
          <w:szCs w:val="28"/>
        </w:rPr>
      </w:pPr>
      <w:r w:rsidRPr="00BF57D0">
        <w:rPr>
          <w:rFonts w:ascii="Times New Roman" w:hAnsi="Times New Roman"/>
          <w:b/>
          <w:sz w:val="28"/>
          <w:szCs w:val="28"/>
        </w:rPr>
        <w:t xml:space="preserve"> </w:t>
      </w:r>
      <w:r>
        <w:rPr>
          <w:rFonts w:ascii="Times New Roman" w:hAnsi="Times New Roman"/>
          <w:b/>
          <w:sz w:val="28"/>
          <w:szCs w:val="28"/>
        </w:rPr>
        <w:t>O consumo de a</w:t>
      </w:r>
      <w:r w:rsidR="00021D17" w:rsidRPr="00BF57D0">
        <w:rPr>
          <w:rFonts w:ascii="Times New Roman" w:hAnsi="Times New Roman"/>
          <w:b/>
          <w:sz w:val="28"/>
          <w:szCs w:val="28"/>
        </w:rPr>
        <w:t xml:space="preserve">zeite e seus benefícios </w:t>
      </w:r>
    </w:p>
    <w:p w:rsidR="0030115B" w:rsidRDefault="0030115B" w:rsidP="00E936BE">
      <w:pPr>
        <w:autoSpaceDE w:val="0"/>
        <w:autoSpaceDN w:val="0"/>
        <w:adjustRightInd w:val="0"/>
        <w:jc w:val="both"/>
        <w:rPr>
          <w:rFonts w:ascii="Times New Roman" w:hAnsi="Times New Roman"/>
          <w:sz w:val="24"/>
          <w:szCs w:val="24"/>
        </w:rPr>
      </w:pPr>
    </w:p>
    <w:p w:rsidR="00565564" w:rsidRDefault="0030115B" w:rsidP="00F40789">
      <w:pPr>
        <w:autoSpaceDE w:val="0"/>
        <w:autoSpaceDN w:val="0"/>
        <w:adjustRightInd w:val="0"/>
        <w:spacing w:after="0"/>
        <w:jc w:val="both"/>
        <w:rPr>
          <w:rFonts w:ascii="Times New Roman" w:hAnsi="Times New Roman"/>
          <w:sz w:val="24"/>
          <w:szCs w:val="24"/>
        </w:rPr>
      </w:pPr>
      <w:r>
        <w:rPr>
          <w:rFonts w:ascii="Times New Roman" w:hAnsi="Times New Roman"/>
          <w:sz w:val="24"/>
          <w:szCs w:val="24"/>
        </w:rPr>
        <w:tab/>
      </w:r>
      <w:r w:rsidRPr="009B54EF">
        <w:rPr>
          <w:rFonts w:ascii="Times New Roman" w:hAnsi="Times New Roman"/>
          <w:sz w:val="24"/>
          <w:szCs w:val="24"/>
        </w:rPr>
        <w:t>A partir de meados da década de noventa assis</w:t>
      </w:r>
      <w:r w:rsidR="00A174CE">
        <w:rPr>
          <w:rFonts w:ascii="Times New Roman" w:hAnsi="Times New Roman"/>
          <w:sz w:val="24"/>
          <w:szCs w:val="24"/>
        </w:rPr>
        <w:t>tiu</w:t>
      </w:r>
      <w:r w:rsidR="009B54EF">
        <w:rPr>
          <w:rFonts w:ascii="Times New Roman" w:hAnsi="Times New Roman"/>
          <w:sz w:val="24"/>
          <w:szCs w:val="24"/>
        </w:rPr>
        <w:t xml:space="preserve">-se a uma expansão mundial do </w:t>
      </w:r>
      <w:r w:rsidRPr="009B54EF">
        <w:rPr>
          <w:rFonts w:ascii="Times New Roman" w:hAnsi="Times New Roman"/>
          <w:sz w:val="24"/>
          <w:szCs w:val="24"/>
        </w:rPr>
        <w:t>sector do</w:t>
      </w:r>
      <w:r w:rsidR="009B54EF">
        <w:rPr>
          <w:rFonts w:ascii="Times New Roman" w:hAnsi="Times New Roman"/>
          <w:sz w:val="24"/>
          <w:szCs w:val="24"/>
        </w:rPr>
        <w:t xml:space="preserve"> </w:t>
      </w:r>
      <w:r w:rsidRPr="009B54EF">
        <w:rPr>
          <w:rFonts w:ascii="Times New Roman" w:hAnsi="Times New Roman"/>
          <w:sz w:val="24"/>
          <w:szCs w:val="24"/>
        </w:rPr>
        <w:t>azeite</w:t>
      </w:r>
      <w:r w:rsidR="009B54EF">
        <w:rPr>
          <w:rFonts w:ascii="Times New Roman" w:hAnsi="Times New Roman"/>
          <w:sz w:val="24"/>
          <w:szCs w:val="24"/>
        </w:rPr>
        <w:t xml:space="preserve"> expressa num crescimento de</w:t>
      </w:r>
      <w:r w:rsidRPr="009B54EF">
        <w:rPr>
          <w:rFonts w:ascii="Times New Roman" w:hAnsi="Times New Roman"/>
          <w:sz w:val="24"/>
          <w:szCs w:val="24"/>
        </w:rPr>
        <w:t xml:space="preserve"> produção </w:t>
      </w:r>
      <w:r w:rsidR="009B54EF">
        <w:rPr>
          <w:rFonts w:ascii="Times New Roman" w:hAnsi="Times New Roman"/>
          <w:sz w:val="24"/>
          <w:szCs w:val="24"/>
        </w:rPr>
        <w:t xml:space="preserve">média de 4,6% por </w:t>
      </w:r>
      <w:r w:rsidR="00A174CE">
        <w:rPr>
          <w:rFonts w:ascii="Times New Roman" w:hAnsi="Times New Roman"/>
          <w:sz w:val="24"/>
          <w:szCs w:val="24"/>
        </w:rPr>
        <w:t xml:space="preserve">ano, entre </w:t>
      </w:r>
      <w:r w:rsidR="00DC4A6F">
        <w:rPr>
          <w:rFonts w:ascii="Times New Roman" w:hAnsi="Times New Roman"/>
          <w:sz w:val="24"/>
          <w:szCs w:val="24"/>
        </w:rPr>
        <w:t xml:space="preserve">as campanhas de </w:t>
      </w:r>
      <w:r w:rsidR="00A174CE">
        <w:rPr>
          <w:rFonts w:ascii="Times New Roman" w:hAnsi="Times New Roman"/>
          <w:sz w:val="24"/>
          <w:szCs w:val="24"/>
        </w:rPr>
        <w:t>1994/95 e</w:t>
      </w:r>
      <w:r w:rsidR="00565564">
        <w:rPr>
          <w:rFonts w:ascii="Times New Roman" w:hAnsi="Times New Roman"/>
          <w:sz w:val="24"/>
          <w:szCs w:val="24"/>
        </w:rPr>
        <w:t xml:space="preserve"> 2004/05. </w:t>
      </w:r>
      <w:r w:rsidR="00DC4A6F">
        <w:rPr>
          <w:rFonts w:ascii="Times New Roman" w:hAnsi="Times New Roman"/>
          <w:sz w:val="24"/>
          <w:szCs w:val="24"/>
        </w:rPr>
        <w:t>A Bacia do Mediterrâneo foi</w:t>
      </w:r>
      <w:r w:rsidR="00565564" w:rsidRPr="00565564">
        <w:rPr>
          <w:rFonts w:ascii="Times New Roman" w:hAnsi="Times New Roman"/>
          <w:sz w:val="24"/>
          <w:szCs w:val="24"/>
        </w:rPr>
        <w:t xml:space="preserve"> </w:t>
      </w:r>
      <w:r w:rsidR="00DC4A6F">
        <w:rPr>
          <w:rFonts w:ascii="Times New Roman" w:hAnsi="Times New Roman"/>
          <w:sz w:val="24"/>
          <w:szCs w:val="24"/>
        </w:rPr>
        <w:t>na campanha de</w:t>
      </w:r>
      <w:r w:rsidR="00565564" w:rsidRPr="00565564">
        <w:rPr>
          <w:rFonts w:ascii="Times New Roman" w:hAnsi="Times New Roman"/>
          <w:sz w:val="24"/>
          <w:szCs w:val="24"/>
        </w:rPr>
        <w:t xml:space="preserve"> 2004/05, responsável por cerca de 96% da</w:t>
      </w:r>
      <w:r w:rsidR="00565564">
        <w:rPr>
          <w:rFonts w:ascii="Times New Roman" w:hAnsi="Times New Roman"/>
          <w:sz w:val="24"/>
          <w:szCs w:val="24"/>
        </w:rPr>
        <w:t xml:space="preserve"> </w:t>
      </w:r>
      <w:r w:rsidR="00565564" w:rsidRPr="00565564">
        <w:rPr>
          <w:rFonts w:ascii="Times New Roman" w:hAnsi="Times New Roman"/>
          <w:sz w:val="24"/>
          <w:szCs w:val="24"/>
        </w:rPr>
        <w:t>pr</w:t>
      </w:r>
      <w:r w:rsidR="00565564">
        <w:rPr>
          <w:rFonts w:ascii="Times New Roman" w:hAnsi="Times New Roman"/>
          <w:sz w:val="24"/>
          <w:szCs w:val="24"/>
        </w:rPr>
        <w:t>odução mundial de azeite, equivalente a 3</w:t>
      </w:r>
      <w:r w:rsidR="00565564" w:rsidRPr="00565564">
        <w:rPr>
          <w:rFonts w:ascii="Times New Roman" w:hAnsi="Times New Roman"/>
          <w:sz w:val="24"/>
          <w:szCs w:val="24"/>
        </w:rPr>
        <w:t>013 mil toneladas.</w:t>
      </w:r>
      <w:r w:rsidR="00565564">
        <w:rPr>
          <w:rFonts w:ascii="Times New Roman" w:hAnsi="Times New Roman"/>
          <w:sz w:val="24"/>
          <w:szCs w:val="24"/>
        </w:rPr>
        <w:t xml:space="preserve"> No ano de 2007, Portugal ocupava</w:t>
      </w:r>
      <w:r w:rsidR="00565564" w:rsidRPr="00565564">
        <w:rPr>
          <w:rFonts w:ascii="Times New Roman" w:hAnsi="Times New Roman"/>
          <w:sz w:val="24"/>
          <w:szCs w:val="24"/>
        </w:rPr>
        <w:t xml:space="preserve"> a 8ª posição no ranking da produção mundial, a</w:t>
      </w:r>
      <w:r w:rsidR="00F40789">
        <w:rPr>
          <w:rFonts w:ascii="Times New Roman" w:hAnsi="Times New Roman"/>
          <w:sz w:val="24"/>
          <w:szCs w:val="24"/>
        </w:rPr>
        <w:t xml:space="preserve"> </w:t>
      </w:r>
      <w:r w:rsidR="00565564" w:rsidRPr="00565564">
        <w:rPr>
          <w:rFonts w:ascii="Times New Roman" w:hAnsi="Times New Roman"/>
          <w:sz w:val="24"/>
          <w:szCs w:val="24"/>
        </w:rPr>
        <w:t>par com a Argélia e a Jordânia</w:t>
      </w:r>
      <w:r w:rsidR="000D40AB">
        <w:rPr>
          <w:rFonts w:ascii="Times New Roman" w:hAnsi="Times New Roman"/>
          <w:sz w:val="24"/>
          <w:szCs w:val="24"/>
        </w:rPr>
        <w:t xml:space="preserve"> </w:t>
      </w:r>
      <w:r w:rsidR="000D40AB" w:rsidRPr="008766E0">
        <w:rPr>
          <w:rFonts w:ascii="Times New Roman" w:hAnsi="Times New Roman"/>
          <w:sz w:val="24"/>
          <w:szCs w:val="24"/>
        </w:rPr>
        <w:t>(MADRP, 2007)</w:t>
      </w:r>
      <w:r w:rsidR="00565564" w:rsidRPr="008766E0">
        <w:rPr>
          <w:rFonts w:ascii="Times New Roman" w:hAnsi="Times New Roman"/>
          <w:sz w:val="24"/>
          <w:szCs w:val="24"/>
        </w:rPr>
        <w:t>.</w:t>
      </w:r>
      <w:r w:rsidR="00565564" w:rsidRPr="00565564">
        <w:rPr>
          <w:rFonts w:ascii="Times New Roman" w:hAnsi="Times New Roman"/>
          <w:sz w:val="24"/>
          <w:szCs w:val="24"/>
        </w:rPr>
        <w:t xml:space="preserve"> </w:t>
      </w:r>
    </w:p>
    <w:p w:rsidR="00565564" w:rsidRDefault="00565564" w:rsidP="00565564">
      <w:pPr>
        <w:autoSpaceDE w:val="0"/>
        <w:autoSpaceDN w:val="0"/>
        <w:adjustRightInd w:val="0"/>
        <w:spacing w:after="0" w:line="240" w:lineRule="auto"/>
        <w:rPr>
          <w:rFonts w:ascii="Times New Roman" w:hAnsi="Times New Roman"/>
          <w:sz w:val="24"/>
          <w:szCs w:val="24"/>
        </w:rPr>
      </w:pPr>
    </w:p>
    <w:p w:rsidR="00DE794B" w:rsidRDefault="00DE794B" w:rsidP="00DE794B">
      <w:pPr>
        <w:keepNext/>
        <w:autoSpaceDE w:val="0"/>
        <w:autoSpaceDN w:val="0"/>
        <w:adjustRightInd w:val="0"/>
        <w:spacing w:after="0" w:line="240" w:lineRule="auto"/>
        <w:jc w:val="center"/>
      </w:pPr>
      <w:r>
        <w:rPr>
          <w:rFonts w:ascii="Times New Roman" w:hAnsi="Times New Roman"/>
          <w:noProof/>
          <w:sz w:val="24"/>
          <w:szCs w:val="24"/>
          <w:lang w:eastAsia="pt-PT"/>
        </w:rPr>
        <w:drawing>
          <wp:inline distT="0" distB="0" distL="0" distR="0">
            <wp:extent cx="4274655" cy="2414183"/>
            <wp:effectExtent l="19050" t="0" r="0"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0000"/>
                    </a:blip>
                    <a:srcRect l="23950" t="41981" r="23526" b="10562"/>
                    <a:stretch>
                      <a:fillRect/>
                    </a:stretch>
                  </pic:blipFill>
                  <pic:spPr bwMode="auto">
                    <a:xfrm>
                      <a:off x="0" y="0"/>
                      <a:ext cx="4277201" cy="2415621"/>
                    </a:xfrm>
                    <a:prstGeom prst="rect">
                      <a:avLst/>
                    </a:prstGeom>
                    <a:noFill/>
                    <a:ln w="9525">
                      <a:noFill/>
                      <a:miter lim="800000"/>
                      <a:headEnd/>
                      <a:tailEnd/>
                    </a:ln>
                  </pic:spPr>
                </pic:pic>
              </a:graphicData>
            </a:graphic>
          </wp:inline>
        </w:drawing>
      </w:r>
    </w:p>
    <w:p w:rsidR="00DE794B" w:rsidRPr="000D40AB" w:rsidRDefault="00DE794B" w:rsidP="0014109C">
      <w:pPr>
        <w:pStyle w:val="Legenda"/>
        <w:jc w:val="both"/>
        <w:rPr>
          <w:rFonts w:ascii="Times New Roman" w:hAnsi="Times New Roman"/>
          <w:b w:val="0"/>
          <w:color w:val="auto"/>
          <w:sz w:val="20"/>
          <w:szCs w:val="20"/>
        </w:rPr>
      </w:pPr>
      <w:r w:rsidRPr="000D40AB">
        <w:rPr>
          <w:rFonts w:ascii="Times New Roman" w:hAnsi="Times New Roman"/>
          <w:sz w:val="20"/>
          <w:szCs w:val="20"/>
        </w:rPr>
        <w:t xml:space="preserve">Figura </w:t>
      </w:r>
      <w:r w:rsidR="00EC7637">
        <w:rPr>
          <w:rFonts w:ascii="Times New Roman" w:hAnsi="Times New Roman"/>
          <w:sz w:val="20"/>
          <w:szCs w:val="20"/>
        </w:rPr>
        <w:t>2</w:t>
      </w:r>
      <w:r w:rsidRPr="000D40AB">
        <w:rPr>
          <w:rFonts w:ascii="Times New Roman" w:hAnsi="Times New Roman"/>
          <w:sz w:val="20"/>
          <w:szCs w:val="20"/>
        </w:rPr>
        <w:t xml:space="preserve"> – </w:t>
      </w:r>
      <w:r w:rsidRPr="000D40AB">
        <w:rPr>
          <w:rFonts w:ascii="Times New Roman" w:hAnsi="Times New Roman"/>
          <w:b w:val="0"/>
          <w:color w:val="auto"/>
          <w:sz w:val="20"/>
          <w:szCs w:val="20"/>
        </w:rPr>
        <w:t xml:space="preserve">Evolução da produção e consumo mundial de azeite </w:t>
      </w:r>
      <w:r w:rsidR="0014109C">
        <w:rPr>
          <w:rFonts w:ascii="Times New Roman" w:hAnsi="Times New Roman"/>
          <w:b w:val="0"/>
          <w:color w:val="auto"/>
          <w:sz w:val="20"/>
          <w:szCs w:val="20"/>
        </w:rPr>
        <w:t>entre os anos de 1990 e 2007</w:t>
      </w:r>
      <w:r w:rsidR="000D40AB" w:rsidRPr="000D40AB">
        <w:rPr>
          <w:rFonts w:ascii="Times New Roman" w:hAnsi="Times New Roman"/>
          <w:b w:val="0"/>
          <w:color w:val="auto"/>
          <w:sz w:val="20"/>
          <w:szCs w:val="20"/>
        </w:rPr>
        <w:t xml:space="preserve"> (adaptado de </w:t>
      </w:r>
      <w:r w:rsidR="000D40AB" w:rsidRPr="008766E0">
        <w:rPr>
          <w:rFonts w:ascii="Times New Roman" w:hAnsi="Times New Roman"/>
          <w:b w:val="0"/>
          <w:color w:val="auto"/>
          <w:sz w:val="20"/>
          <w:szCs w:val="20"/>
        </w:rPr>
        <w:t>MADRP, 2007)</w:t>
      </w:r>
      <w:r w:rsidR="0014109C" w:rsidRPr="008766E0">
        <w:rPr>
          <w:rFonts w:ascii="Times New Roman" w:hAnsi="Times New Roman"/>
          <w:b w:val="0"/>
          <w:color w:val="auto"/>
          <w:sz w:val="20"/>
          <w:szCs w:val="20"/>
        </w:rPr>
        <w:t>.</w:t>
      </w:r>
    </w:p>
    <w:p w:rsidR="00565564" w:rsidRDefault="00565564" w:rsidP="00565564">
      <w:pPr>
        <w:autoSpaceDE w:val="0"/>
        <w:autoSpaceDN w:val="0"/>
        <w:adjustRightInd w:val="0"/>
        <w:spacing w:after="0" w:line="240" w:lineRule="auto"/>
        <w:rPr>
          <w:rFonts w:ascii="Times New Roman" w:hAnsi="Times New Roman"/>
          <w:sz w:val="24"/>
          <w:szCs w:val="24"/>
        </w:rPr>
      </w:pPr>
    </w:p>
    <w:p w:rsidR="00842D8D" w:rsidRPr="00114C78" w:rsidRDefault="007D549B" w:rsidP="00114C78">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N</w:t>
      </w:r>
      <w:r w:rsidR="00021D17">
        <w:rPr>
          <w:rFonts w:ascii="Times New Roman" w:hAnsi="Times New Roman"/>
          <w:sz w:val="24"/>
          <w:szCs w:val="24"/>
        </w:rPr>
        <w:t xml:space="preserve">a Itália, Espanha e Grécia estima-se que o consumo de azeite seja cerca de 10-20Kg </w:t>
      </w:r>
      <w:r w:rsidR="00021D17" w:rsidRPr="00232AE0">
        <w:rPr>
          <w:rFonts w:ascii="Times New Roman" w:hAnsi="Times New Roman"/>
          <w:i/>
          <w:sz w:val="24"/>
          <w:szCs w:val="24"/>
        </w:rPr>
        <w:t>per capita</w:t>
      </w:r>
      <w:r w:rsidR="00021D17">
        <w:rPr>
          <w:rFonts w:ascii="Times New Roman" w:hAnsi="Times New Roman"/>
          <w:sz w:val="24"/>
          <w:szCs w:val="24"/>
        </w:rPr>
        <w:t xml:space="preserve"> por ano, sendo na </w:t>
      </w:r>
      <w:r w:rsidR="00021D17" w:rsidRPr="00D7618B">
        <w:rPr>
          <w:rFonts w:ascii="Times New Roman" w:hAnsi="Times New Roman"/>
          <w:sz w:val="24"/>
          <w:szCs w:val="24"/>
        </w:rPr>
        <w:t>Grécia</w:t>
      </w:r>
      <w:r w:rsidR="00021D17">
        <w:rPr>
          <w:rFonts w:ascii="Times New Roman" w:hAnsi="Times New Roman"/>
          <w:sz w:val="24"/>
          <w:szCs w:val="24"/>
        </w:rPr>
        <w:t xml:space="preserve"> onde se regista seu o maior consumo, de aproximadamente 54g</w:t>
      </w:r>
      <w:r w:rsidR="0014109C">
        <w:rPr>
          <w:rFonts w:ascii="Times New Roman" w:hAnsi="Times New Roman"/>
          <w:sz w:val="24"/>
          <w:szCs w:val="24"/>
        </w:rPr>
        <w:t xml:space="preserve"> </w:t>
      </w:r>
      <w:r w:rsidR="00021D17" w:rsidRPr="00D7618B">
        <w:rPr>
          <w:rFonts w:ascii="Times New Roman" w:hAnsi="Times New Roman"/>
          <w:i/>
          <w:sz w:val="24"/>
          <w:szCs w:val="24"/>
        </w:rPr>
        <w:t>per capita</w:t>
      </w:r>
      <w:r w:rsidR="00021D17">
        <w:rPr>
          <w:rFonts w:ascii="Times New Roman" w:hAnsi="Times New Roman"/>
          <w:i/>
          <w:sz w:val="24"/>
          <w:szCs w:val="24"/>
        </w:rPr>
        <w:t xml:space="preserve"> </w:t>
      </w:r>
      <w:r w:rsidR="00021D17">
        <w:rPr>
          <w:rFonts w:ascii="Times New Roman" w:hAnsi="Times New Roman"/>
          <w:sz w:val="24"/>
          <w:szCs w:val="24"/>
        </w:rPr>
        <w:t>por dia</w:t>
      </w:r>
      <w:r w:rsidR="00021D17" w:rsidRPr="00D7618B">
        <w:rPr>
          <w:rFonts w:ascii="Times New Roman" w:hAnsi="Times New Roman"/>
          <w:sz w:val="24"/>
          <w:szCs w:val="24"/>
        </w:rPr>
        <w:t>.</w:t>
      </w:r>
      <w:r w:rsidR="00021D17">
        <w:rPr>
          <w:rFonts w:ascii="Times New Roman" w:hAnsi="Times New Roman"/>
          <w:sz w:val="24"/>
          <w:szCs w:val="24"/>
        </w:rPr>
        <w:t xml:space="preserve"> Em contraste, nos países do Norte e Oeste da Europa regista-se uma diminuição acentuada do consumo de azeite, por exemplo, na Dinamarca o consumo médio é de apenas 1g </w:t>
      </w:r>
      <w:r w:rsidR="00021D17" w:rsidRPr="00D7618B">
        <w:rPr>
          <w:rFonts w:ascii="Times New Roman" w:hAnsi="Times New Roman"/>
          <w:i/>
          <w:sz w:val="24"/>
          <w:szCs w:val="24"/>
        </w:rPr>
        <w:t>per capita</w:t>
      </w:r>
      <w:r w:rsidR="00021D17">
        <w:rPr>
          <w:rFonts w:ascii="Times New Roman" w:hAnsi="Times New Roman"/>
          <w:i/>
          <w:sz w:val="24"/>
          <w:szCs w:val="24"/>
        </w:rPr>
        <w:t xml:space="preserve"> </w:t>
      </w:r>
      <w:r w:rsidR="00021D17">
        <w:rPr>
          <w:rFonts w:ascii="Times New Roman" w:hAnsi="Times New Roman"/>
          <w:sz w:val="24"/>
          <w:szCs w:val="24"/>
        </w:rPr>
        <w:t xml:space="preserve">por dia. Tem-se assistido a um aumento do consumo de azeite nos países não Mediterrânicos como os Estados Unidos da América e Austrália, devido ao crescente interesse nos benefícios para a saúde oferecidos pela dieta Mediterrânica (Rietjens, 2008; </w:t>
      </w:r>
      <w:r w:rsidR="00021D17" w:rsidRPr="00196F39">
        <w:rPr>
          <w:rFonts w:ascii="Times New Roman" w:hAnsi="Times New Roman"/>
          <w:sz w:val="24"/>
          <w:szCs w:val="24"/>
        </w:rPr>
        <w:t xml:space="preserve">Nakbi </w:t>
      </w:r>
      <w:r w:rsidR="00021D17" w:rsidRPr="00196F39">
        <w:rPr>
          <w:rFonts w:ascii="Times New Roman" w:hAnsi="Times New Roman"/>
          <w:i/>
          <w:sz w:val="24"/>
          <w:szCs w:val="24"/>
        </w:rPr>
        <w:t>et al</w:t>
      </w:r>
      <w:r w:rsidR="00AC6A69">
        <w:rPr>
          <w:rFonts w:ascii="Times New Roman" w:hAnsi="Times New Roman"/>
          <w:sz w:val="24"/>
          <w:szCs w:val="24"/>
        </w:rPr>
        <w:t>.,</w:t>
      </w:r>
      <w:r w:rsidR="00021D17" w:rsidRPr="00196F39">
        <w:rPr>
          <w:rFonts w:ascii="Times New Roman" w:hAnsi="Times New Roman"/>
          <w:sz w:val="24"/>
          <w:szCs w:val="24"/>
        </w:rPr>
        <w:t xml:space="preserve"> 2010)</w:t>
      </w:r>
      <w:r w:rsidR="00021D17">
        <w:rPr>
          <w:rFonts w:ascii="Times New Roman" w:hAnsi="Times New Roman"/>
          <w:sz w:val="24"/>
          <w:szCs w:val="24"/>
        </w:rPr>
        <w:t>.</w:t>
      </w:r>
    </w:p>
    <w:p w:rsidR="007F2DAD" w:rsidRDefault="00CB0044" w:rsidP="00114C78">
      <w:pPr>
        <w:autoSpaceDE w:val="0"/>
        <w:autoSpaceDN w:val="0"/>
        <w:adjustRightInd w:val="0"/>
        <w:jc w:val="both"/>
        <w:rPr>
          <w:rFonts w:ascii="Times New Roman" w:hAnsi="Times New Roman"/>
          <w:sz w:val="24"/>
          <w:szCs w:val="24"/>
        </w:rPr>
      </w:pPr>
      <w:r>
        <w:rPr>
          <w:rFonts w:ascii="Times New Roman" w:hAnsi="Times New Roman"/>
          <w:sz w:val="24"/>
          <w:szCs w:val="24"/>
        </w:rPr>
        <w:lastRenderedPageBreak/>
        <w:tab/>
      </w:r>
      <w:r w:rsidR="00E923FF">
        <w:rPr>
          <w:rFonts w:ascii="Times New Roman" w:hAnsi="Times New Roman"/>
          <w:sz w:val="24"/>
          <w:szCs w:val="24"/>
        </w:rPr>
        <w:t xml:space="preserve"> A maioria dos 16 países banhados pelo Mar Mediterrâneo partilham o mesmo padrão de</w:t>
      </w:r>
      <w:r w:rsidR="007F15D4">
        <w:rPr>
          <w:rFonts w:ascii="Times New Roman" w:hAnsi="Times New Roman"/>
          <w:sz w:val="24"/>
          <w:szCs w:val="24"/>
        </w:rPr>
        <w:t xml:space="preserve"> di</w:t>
      </w:r>
      <w:r w:rsidR="00114C78">
        <w:rPr>
          <w:rFonts w:ascii="Times New Roman" w:hAnsi="Times New Roman"/>
          <w:sz w:val="24"/>
          <w:szCs w:val="24"/>
        </w:rPr>
        <w:t xml:space="preserve">eta Mediterrânica, </w:t>
      </w:r>
      <w:r w:rsidR="007F15D4">
        <w:rPr>
          <w:rFonts w:ascii="Times New Roman" w:hAnsi="Times New Roman"/>
          <w:sz w:val="24"/>
          <w:szCs w:val="24"/>
        </w:rPr>
        <w:t xml:space="preserve">sendo considerada uma dieta de prevenção de inúmeras doenças (Owen </w:t>
      </w:r>
      <w:r w:rsidR="007F15D4" w:rsidRPr="007D549B">
        <w:rPr>
          <w:rFonts w:ascii="Times New Roman" w:hAnsi="Times New Roman"/>
          <w:i/>
          <w:sz w:val="24"/>
          <w:szCs w:val="24"/>
        </w:rPr>
        <w:t>et al</w:t>
      </w:r>
      <w:r w:rsidR="007F15D4">
        <w:rPr>
          <w:rFonts w:ascii="Times New Roman" w:hAnsi="Times New Roman"/>
          <w:sz w:val="24"/>
          <w:szCs w:val="24"/>
        </w:rPr>
        <w:t xml:space="preserve">., 2000; Miró-Casas </w:t>
      </w:r>
      <w:r w:rsidR="007F15D4" w:rsidRPr="0006465B">
        <w:rPr>
          <w:rFonts w:ascii="Times New Roman" w:hAnsi="Times New Roman"/>
          <w:i/>
          <w:sz w:val="24"/>
          <w:szCs w:val="24"/>
        </w:rPr>
        <w:t>et al</w:t>
      </w:r>
      <w:r w:rsidR="007F15D4">
        <w:rPr>
          <w:rFonts w:ascii="Times New Roman" w:hAnsi="Times New Roman"/>
          <w:i/>
          <w:sz w:val="24"/>
          <w:szCs w:val="24"/>
        </w:rPr>
        <w:t>.,</w:t>
      </w:r>
      <w:r w:rsidR="007F15D4" w:rsidRPr="0006465B">
        <w:rPr>
          <w:rFonts w:ascii="Times New Roman" w:hAnsi="Times New Roman"/>
          <w:sz w:val="24"/>
          <w:szCs w:val="24"/>
        </w:rPr>
        <w:t xml:space="preserve"> 2003</w:t>
      </w:r>
      <w:r w:rsidR="007F15D4">
        <w:rPr>
          <w:rFonts w:ascii="Times New Roman" w:hAnsi="Times New Roman"/>
          <w:sz w:val="24"/>
          <w:szCs w:val="24"/>
        </w:rPr>
        <w:t xml:space="preserve">; Rietjens, 2008; </w:t>
      </w:r>
      <w:r w:rsidR="007F15D4" w:rsidRPr="00BD7F67">
        <w:rPr>
          <w:rFonts w:ascii="Times New Roman" w:hAnsi="Times New Roman"/>
          <w:sz w:val="24"/>
          <w:szCs w:val="24"/>
        </w:rPr>
        <w:t xml:space="preserve">Bouallagui </w:t>
      </w:r>
      <w:r w:rsidR="007F15D4" w:rsidRPr="00BD7F67">
        <w:rPr>
          <w:rFonts w:ascii="Times New Roman" w:hAnsi="Times New Roman"/>
          <w:i/>
          <w:sz w:val="24"/>
          <w:szCs w:val="24"/>
        </w:rPr>
        <w:t>et al</w:t>
      </w:r>
      <w:r w:rsidR="007F15D4" w:rsidRPr="00BD7F67">
        <w:rPr>
          <w:rFonts w:ascii="Times New Roman" w:hAnsi="Times New Roman"/>
          <w:sz w:val="24"/>
          <w:szCs w:val="24"/>
        </w:rPr>
        <w:t>., 2011).</w:t>
      </w:r>
      <w:r w:rsidR="007F15D4">
        <w:rPr>
          <w:rFonts w:ascii="Times New Roman" w:hAnsi="Times New Roman"/>
          <w:sz w:val="24"/>
          <w:szCs w:val="24"/>
        </w:rPr>
        <w:t xml:space="preserve"> </w:t>
      </w:r>
      <w:r w:rsidR="00021D17">
        <w:rPr>
          <w:rFonts w:ascii="Times New Roman" w:hAnsi="Times New Roman"/>
          <w:sz w:val="24"/>
          <w:szCs w:val="24"/>
        </w:rPr>
        <w:t xml:space="preserve">O azeite é a principal gordura na dieta dos países onde é grandemente produzido. Embora existam variações dietéticas entre os países Mediterrânicos, uma característica comum é o elevado consumo de azeite quer na forma cozinhada ou não cozinhada (Waterman </w:t>
      </w:r>
      <w:r w:rsidR="00021D17" w:rsidRPr="008D5E08">
        <w:rPr>
          <w:rFonts w:ascii="Times New Roman" w:hAnsi="Times New Roman"/>
          <w:i/>
          <w:sz w:val="24"/>
          <w:szCs w:val="24"/>
        </w:rPr>
        <w:t>et al</w:t>
      </w:r>
      <w:r w:rsidR="00021D17">
        <w:rPr>
          <w:rFonts w:ascii="Times New Roman" w:hAnsi="Times New Roman"/>
          <w:sz w:val="24"/>
          <w:szCs w:val="24"/>
        </w:rPr>
        <w:t>., 2007</w:t>
      </w:r>
      <w:r w:rsidR="00BD3479">
        <w:rPr>
          <w:rFonts w:ascii="Times New Roman" w:hAnsi="Times New Roman"/>
          <w:sz w:val="24"/>
          <w:szCs w:val="24"/>
        </w:rPr>
        <w:t xml:space="preserve">; </w:t>
      </w:r>
      <w:r w:rsidR="00BD3479" w:rsidRPr="00196F39">
        <w:rPr>
          <w:rFonts w:ascii="Times New Roman" w:hAnsi="Times New Roman"/>
          <w:sz w:val="24"/>
          <w:szCs w:val="24"/>
        </w:rPr>
        <w:t xml:space="preserve">Nakbi </w:t>
      </w:r>
      <w:r w:rsidR="00BD3479" w:rsidRPr="00196F39">
        <w:rPr>
          <w:rFonts w:ascii="Times New Roman" w:hAnsi="Times New Roman"/>
          <w:i/>
          <w:sz w:val="24"/>
          <w:szCs w:val="24"/>
        </w:rPr>
        <w:t>et al</w:t>
      </w:r>
      <w:r w:rsidR="00AC6A69">
        <w:rPr>
          <w:rFonts w:ascii="Times New Roman" w:hAnsi="Times New Roman"/>
          <w:sz w:val="24"/>
          <w:szCs w:val="24"/>
        </w:rPr>
        <w:t>.,</w:t>
      </w:r>
      <w:r w:rsidR="00BD3479" w:rsidRPr="00196F39">
        <w:rPr>
          <w:rFonts w:ascii="Times New Roman" w:hAnsi="Times New Roman"/>
          <w:sz w:val="24"/>
          <w:szCs w:val="24"/>
        </w:rPr>
        <w:t xml:space="preserve"> 2010</w:t>
      </w:r>
      <w:r w:rsidR="00021D17">
        <w:rPr>
          <w:rFonts w:ascii="Times New Roman" w:hAnsi="Times New Roman"/>
          <w:sz w:val="24"/>
          <w:szCs w:val="24"/>
        </w:rPr>
        <w:t>). A dieta Mediterrânica contém um elevado conteúdo em gordura, no entanto, esta dieta encontra-se associada a uma baixa incidência de cancro, de doenças cardiovasculares, e a uma modificação da resposta imunológica e inflamatór</w:t>
      </w:r>
      <w:r w:rsidR="00B43611">
        <w:rPr>
          <w:rFonts w:ascii="Times New Roman" w:hAnsi="Times New Roman"/>
          <w:sz w:val="24"/>
          <w:szCs w:val="24"/>
        </w:rPr>
        <w:t>i</w:t>
      </w:r>
      <w:r w:rsidR="00021D17">
        <w:rPr>
          <w:rFonts w:ascii="Times New Roman" w:hAnsi="Times New Roman"/>
          <w:sz w:val="24"/>
          <w:szCs w:val="24"/>
        </w:rPr>
        <w:t>a, o que sugere que o tipo de gordura assume uma maior importância que a quantidade que é consumida (</w:t>
      </w:r>
      <w:r w:rsidR="007D549B">
        <w:rPr>
          <w:rFonts w:ascii="Times New Roman" w:hAnsi="Times New Roman"/>
          <w:sz w:val="24"/>
          <w:szCs w:val="24"/>
        </w:rPr>
        <w:t xml:space="preserve">Owen </w:t>
      </w:r>
      <w:r w:rsidR="007D549B" w:rsidRPr="007D549B">
        <w:rPr>
          <w:rFonts w:ascii="Times New Roman" w:hAnsi="Times New Roman"/>
          <w:i/>
          <w:sz w:val="24"/>
          <w:szCs w:val="24"/>
        </w:rPr>
        <w:t>et al</w:t>
      </w:r>
      <w:r w:rsidR="00AC6A69">
        <w:rPr>
          <w:rFonts w:ascii="Times New Roman" w:hAnsi="Times New Roman"/>
          <w:sz w:val="24"/>
          <w:szCs w:val="24"/>
        </w:rPr>
        <w:t>.,</w:t>
      </w:r>
      <w:r w:rsidR="007D549B">
        <w:rPr>
          <w:rFonts w:ascii="Times New Roman" w:hAnsi="Times New Roman"/>
          <w:sz w:val="24"/>
          <w:szCs w:val="24"/>
        </w:rPr>
        <w:t xml:space="preserve"> 2000; </w:t>
      </w:r>
      <w:r w:rsidR="00021D17">
        <w:rPr>
          <w:rFonts w:ascii="Times New Roman" w:hAnsi="Times New Roman"/>
          <w:sz w:val="24"/>
          <w:szCs w:val="24"/>
        </w:rPr>
        <w:t xml:space="preserve">Miró-Casas </w:t>
      </w:r>
      <w:r w:rsidR="00021D17" w:rsidRPr="0006465B">
        <w:rPr>
          <w:rFonts w:ascii="Times New Roman" w:hAnsi="Times New Roman"/>
          <w:i/>
          <w:sz w:val="24"/>
          <w:szCs w:val="24"/>
        </w:rPr>
        <w:t>et al</w:t>
      </w:r>
      <w:r w:rsidR="00AC6A69">
        <w:rPr>
          <w:rFonts w:ascii="Times New Roman" w:hAnsi="Times New Roman"/>
          <w:i/>
          <w:sz w:val="24"/>
          <w:szCs w:val="24"/>
        </w:rPr>
        <w:t>.,</w:t>
      </w:r>
      <w:r w:rsidR="00021D17" w:rsidRPr="0006465B">
        <w:rPr>
          <w:rFonts w:ascii="Times New Roman" w:hAnsi="Times New Roman"/>
          <w:sz w:val="24"/>
          <w:szCs w:val="24"/>
        </w:rPr>
        <w:t xml:space="preserve"> 2003;</w:t>
      </w:r>
      <w:r w:rsidR="00021D17">
        <w:rPr>
          <w:rFonts w:ascii="AdvP9725" w:hAnsi="AdvP9725" w:cs="AdvP9725"/>
          <w:b/>
          <w:sz w:val="21"/>
          <w:szCs w:val="17"/>
          <w:lang w:eastAsia="pt-PT"/>
        </w:rPr>
        <w:t xml:space="preserve"> </w:t>
      </w:r>
      <w:r w:rsidR="00021D17">
        <w:rPr>
          <w:rFonts w:ascii="Times New Roman" w:hAnsi="Times New Roman"/>
          <w:sz w:val="24"/>
          <w:szCs w:val="24"/>
        </w:rPr>
        <w:t xml:space="preserve">Waterman </w:t>
      </w:r>
      <w:r w:rsidR="00021D17" w:rsidRPr="008D5E08">
        <w:rPr>
          <w:rFonts w:ascii="Times New Roman" w:hAnsi="Times New Roman"/>
          <w:i/>
          <w:sz w:val="24"/>
          <w:szCs w:val="24"/>
        </w:rPr>
        <w:t>et al</w:t>
      </w:r>
      <w:r w:rsidR="00021D17">
        <w:rPr>
          <w:rFonts w:ascii="Times New Roman" w:hAnsi="Times New Roman"/>
          <w:sz w:val="24"/>
          <w:szCs w:val="24"/>
        </w:rPr>
        <w:t>., 2007;</w:t>
      </w:r>
      <w:r w:rsidR="00021D17" w:rsidRPr="00021D17">
        <w:rPr>
          <w:rFonts w:ascii="Times New Roman" w:hAnsi="Times New Roman"/>
          <w:sz w:val="24"/>
          <w:szCs w:val="24"/>
        </w:rPr>
        <w:t xml:space="preserve"> </w:t>
      </w:r>
      <w:r w:rsidR="00021D17" w:rsidRPr="00196F39">
        <w:rPr>
          <w:rFonts w:ascii="Times New Roman" w:hAnsi="Times New Roman"/>
          <w:sz w:val="24"/>
          <w:szCs w:val="24"/>
        </w:rPr>
        <w:t xml:space="preserve">Nakbi </w:t>
      </w:r>
      <w:r w:rsidR="00021D17" w:rsidRPr="00196F39">
        <w:rPr>
          <w:rFonts w:ascii="Times New Roman" w:hAnsi="Times New Roman"/>
          <w:i/>
          <w:sz w:val="24"/>
          <w:szCs w:val="24"/>
        </w:rPr>
        <w:t>et al</w:t>
      </w:r>
      <w:r w:rsidR="00AC6A69">
        <w:rPr>
          <w:rFonts w:ascii="Times New Roman" w:hAnsi="Times New Roman"/>
          <w:sz w:val="24"/>
          <w:szCs w:val="24"/>
        </w:rPr>
        <w:t>.,</w:t>
      </w:r>
      <w:r w:rsidR="00021D17" w:rsidRPr="00196F39">
        <w:rPr>
          <w:rFonts w:ascii="Times New Roman" w:hAnsi="Times New Roman"/>
          <w:sz w:val="24"/>
          <w:szCs w:val="24"/>
        </w:rPr>
        <w:t xml:space="preserve"> 2010</w:t>
      </w:r>
      <w:r w:rsidR="00021D17">
        <w:rPr>
          <w:rFonts w:ascii="Times New Roman" w:hAnsi="Times New Roman"/>
          <w:sz w:val="24"/>
          <w:szCs w:val="24"/>
        </w:rPr>
        <w:t xml:space="preserve">). </w:t>
      </w:r>
    </w:p>
    <w:p w:rsidR="00E8798C" w:rsidRDefault="00CB0044" w:rsidP="00CB0044">
      <w:pPr>
        <w:autoSpaceDE w:val="0"/>
        <w:autoSpaceDN w:val="0"/>
        <w:adjustRightInd w:val="0"/>
        <w:jc w:val="both"/>
        <w:rPr>
          <w:rFonts w:ascii="Times New Roman" w:hAnsi="Times New Roman"/>
          <w:sz w:val="24"/>
          <w:szCs w:val="24"/>
        </w:rPr>
      </w:pPr>
      <w:r>
        <w:rPr>
          <w:rFonts w:ascii="Times New Roman" w:hAnsi="Times New Roman"/>
          <w:sz w:val="24"/>
          <w:szCs w:val="24"/>
        </w:rPr>
        <w:tab/>
      </w:r>
      <w:r w:rsidR="00021D17">
        <w:rPr>
          <w:rFonts w:ascii="Times New Roman" w:hAnsi="Times New Roman"/>
          <w:sz w:val="24"/>
          <w:szCs w:val="24"/>
        </w:rPr>
        <w:t xml:space="preserve">O </w:t>
      </w:r>
      <w:r w:rsidR="00DF01C8">
        <w:rPr>
          <w:rFonts w:ascii="Times New Roman" w:hAnsi="Times New Roman"/>
          <w:sz w:val="24"/>
          <w:szCs w:val="24"/>
        </w:rPr>
        <w:t>azeite é um</w:t>
      </w:r>
      <w:r w:rsidR="00021D17">
        <w:rPr>
          <w:rFonts w:ascii="Times New Roman" w:hAnsi="Times New Roman"/>
          <w:sz w:val="24"/>
          <w:szCs w:val="24"/>
        </w:rPr>
        <w:t xml:space="preserve"> alimento funcional com grandes benefícios nutricionais, conferidos pelos seus componentes como os ácidos gordos monoinsaturados e fitoquímicos como os polifenóis</w:t>
      </w:r>
      <w:r>
        <w:rPr>
          <w:rFonts w:ascii="Times New Roman" w:hAnsi="Times New Roman"/>
          <w:sz w:val="24"/>
          <w:szCs w:val="24"/>
        </w:rPr>
        <w:t>, que impedem a agregação plaquetária e induzem a apoptose em células HL-60</w:t>
      </w:r>
      <w:r w:rsidR="00134DE9">
        <w:rPr>
          <w:rFonts w:ascii="Times New Roman" w:hAnsi="Times New Roman"/>
          <w:sz w:val="24"/>
          <w:szCs w:val="24"/>
        </w:rPr>
        <w:t xml:space="preserve"> (</w:t>
      </w:r>
      <w:r w:rsidR="00134DE9" w:rsidRPr="00134DE9">
        <w:rPr>
          <w:rFonts w:ascii="Times New Roman" w:hAnsi="Times New Roman"/>
          <w:sz w:val="24"/>
          <w:szCs w:val="24"/>
        </w:rPr>
        <w:t>linha celular leucémica promielocítica humana</w:t>
      </w:r>
      <w:r w:rsidR="00134DE9">
        <w:rPr>
          <w:rFonts w:ascii="Times New Roman" w:hAnsi="Times New Roman"/>
          <w:sz w:val="24"/>
          <w:szCs w:val="24"/>
        </w:rPr>
        <w:t>)</w:t>
      </w:r>
      <w:r>
        <w:rPr>
          <w:rFonts w:ascii="Times New Roman" w:hAnsi="Times New Roman"/>
          <w:sz w:val="24"/>
          <w:szCs w:val="24"/>
        </w:rPr>
        <w:t xml:space="preserve"> </w:t>
      </w:r>
      <w:r w:rsidRPr="00021D17">
        <w:rPr>
          <w:rFonts w:ascii="Times New Roman" w:hAnsi="Times New Roman"/>
          <w:sz w:val="24"/>
          <w:szCs w:val="24"/>
        </w:rPr>
        <w:t>(</w:t>
      </w:r>
      <w:r w:rsidR="00E803E1">
        <w:rPr>
          <w:rFonts w:ascii="Times New Roman" w:hAnsi="Times New Roman"/>
          <w:sz w:val="24"/>
          <w:szCs w:val="24"/>
        </w:rPr>
        <w:t xml:space="preserve">Cuneo, 1999; </w:t>
      </w:r>
      <w:r>
        <w:rPr>
          <w:rFonts w:ascii="Times New Roman" w:hAnsi="Times New Roman"/>
          <w:sz w:val="24"/>
          <w:szCs w:val="24"/>
        </w:rPr>
        <w:t xml:space="preserve">Miró-Casas </w:t>
      </w:r>
      <w:r w:rsidRPr="0006465B">
        <w:rPr>
          <w:rFonts w:ascii="Times New Roman" w:hAnsi="Times New Roman"/>
          <w:i/>
          <w:sz w:val="24"/>
          <w:szCs w:val="24"/>
        </w:rPr>
        <w:t>et al</w:t>
      </w:r>
      <w:r w:rsidR="00AC6A69">
        <w:rPr>
          <w:rFonts w:ascii="Times New Roman" w:hAnsi="Times New Roman"/>
          <w:i/>
          <w:sz w:val="24"/>
          <w:szCs w:val="24"/>
        </w:rPr>
        <w:t>.,</w:t>
      </w:r>
      <w:r w:rsidRPr="0006465B">
        <w:rPr>
          <w:rFonts w:ascii="Times New Roman" w:hAnsi="Times New Roman"/>
          <w:sz w:val="24"/>
          <w:szCs w:val="24"/>
        </w:rPr>
        <w:t xml:space="preserve"> 2003</w:t>
      </w:r>
      <w:r>
        <w:rPr>
          <w:rFonts w:ascii="Times New Roman" w:hAnsi="Times New Roman"/>
          <w:sz w:val="24"/>
          <w:szCs w:val="24"/>
        </w:rPr>
        <w:t xml:space="preserve">; </w:t>
      </w:r>
      <w:r w:rsidRPr="00021D17">
        <w:rPr>
          <w:rFonts w:ascii="Times New Roman" w:hAnsi="Times New Roman"/>
          <w:sz w:val="24"/>
          <w:szCs w:val="24"/>
        </w:rPr>
        <w:t xml:space="preserve">Nakbi </w:t>
      </w:r>
      <w:r w:rsidRPr="00021D17">
        <w:rPr>
          <w:rFonts w:ascii="Times New Roman" w:hAnsi="Times New Roman"/>
          <w:i/>
          <w:sz w:val="24"/>
          <w:szCs w:val="24"/>
        </w:rPr>
        <w:t>et al</w:t>
      </w:r>
      <w:r w:rsidR="00AC6A69">
        <w:rPr>
          <w:rFonts w:ascii="Times New Roman" w:hAnsi="Times New Roman"/>
          <w:sz w:val="24"/>
          <w:szCs w:val="24"/>
        </w:rPr>
        <w:t>.,</w:t>
      </w:r>
      <w:r w:rsidRPr="00021D17">
        <w:rPr>
          <w:rFonts w:ascii="Times New Roman" w:hAnsi="Times New Roman"/>
          <w:sz w:val="24"/>
          <w:szCs w:val="24"/>
        </w:rPr>
        <w:t xml:space="preserve"> 2010)</w:t>
      </w:r>
      <w:r w:rsidRPr="00CB0044">
        <w:rPr>
          <w:rFonts w:ascii="Times New Roman" w:hAnsi="Times New Roman"/>
          <w:sz w:val="24"/>
          <w:szCs w:val="24"/>
        </w:rPr>
        <w:t>.</w:t>
      </w:r>
      <w:r>
        <w:rPr>
          <w:rFonts w:ascii="Times New Roman" w:hAnsi="Times New Roman"/>
          <w:sz w:val="24"/>
          <w:szCs w:val="24"/>
        </w:rPr>
        <w:t xml:space="preserve"> </w:t>
      </w:r>
      <w:r w:rsidR="00021D17" w:rsidRPr="00021D17">
        <w:rPr>
          <w:rFonts w:ascii="Times New Roman" w:hAnsi="Times New Roman"/>
          <w:sz w:val="24"/>
          <w:szCs w:val="24"/>
        </w:rPr>
        <w:t xml:space="preserve">É de conhecimento que o </w:t>
      </w:r>
      <w:r w:rsidR="00280757">
        <w:rPr>
          <w:rFonts w:ascii="Times New Roman" w:hAnsi="Times New Roman"/>
          <w:sz w:val="24"/>
          <w:szCs w:val="24"/>
        </w:rPr>
        <w:t>consumo</w:t>
      </w:r>
      <w:r w:rsidR="00021D17" w:rsidRPr="00021D17">
        <w:rPr>
          <w:rFonts w:ascii="Times New Roman" w:hAnsi="Times New Roman"/>
          <w:sz w:val="24"/>
          <w:szCs w:val="24"/>
        </w:rPr>
        <w:t xml:space="preserve"> </w:t>
      </w:r>
      <w:r w:rsidR="00280757" w:rsidRPr="00021D17">
        <w:rPr>
          <w:rFonts w:ascii="Times New Roman" w:hAnsi="Times New Roman"/>
          <w:sz w:val="24"/>
          <w:szCs w:val="24"/>
        </w:rPr>
        <w:t>p</w:t>
      </w:r>
      <w:r w:rsidR="00280757">
        <w:rPr>
          <w:rFonts w:ascii="Times New Roman" w:hAnsi="Times New Roman"/>
          <w:sz w:val="24"/>
          <w:szCs w:val="24"/>
        </w:rPr>
        <w:t>rivilegiado</w:t>
      </w:r>
      <w:r w:rsidR="00021D17">
        <w:rPr>
          <w:rFonts w:ascii="Times New Roman" w:hAnsi="Times New Roman"/>
          <w:sz w:val="24"/>
          <w:szCs w:val="24"/>
        </w:rPr>
        <w:t xml:space="preserve"> </w:t>
      </w:r>
      <w:r w:rsidR="00280757">
        <w:rPr>
          <w:rFonts w:ascii="Times New Roman" w:hAnsi="Times New Roman"/>
          <w:sz w:val="24"/>
          <w:szCs w:val="24"/>
        </w:rPr>
        <w:t>de</w:t>
      </w:r>
      <w:r w:rsidR="00021D17">
        <w:rPr>
          <w:rFonts w:ascii="Times New Roman" w:hAnsi="Times New Roman"/>
          <w:sz w:val="24"/>
          <w:szCs w:val="24"/>
        </w:rPr>
        <w:t xml:space="preserve"> ácidos </w:t>
      </w:r>
      <w:r w:rsidR="00280757">
        <w:rPr>
          <w:rFonts w:ascii="Times New Roman" w:hAnsi="Times New Roman"/>
          <w:sz w:val="24"/>
          <w:szCs w:val="24"/>
        </w:rPr>
        <w:t>g</w:t>
      </w:r>
      <w:r w:rsidR="00021D17">
        <w:rPr>
          <w:rFonts w:ascii="Times New Roman" w:hAnsi="Times New Roman"/>
          <w:sz w:val="24"/>
          <w:szCs w:val="24"/>
        </w:rPr>
        <w:t>ordos mono</w:t>
      </w:r>
      <w:r w:rsidR="0033176F">
        <w:rPr>
          <w:rFonts w:ascii="Times New Roman" w:hAnsi="Times New Roman"/>
          <w:sz w:val="24"/>
          <w:szCs w:val="24"/>
        </w:rPr>
        <w:t>i</w:t>
      </w:r>
      <w:r w:rsidR="00021D17">
        <w:rPr>
          <w:rFonts w:ascii="Times New Roman" w:hAnsi="Times New Roman"/>
          <w:sz w:val="24"/>
          <w:szCs w:val="24"/>
        </w:rPr>
        <w:t>nsaturados,</w:t>
      </w:r>
      <w:r w:rsidR="00280757">
        <w:rPr>
          <w:rFonts w:ascii="Times New Roman" w:hAnsi="Times New Roman"/>
          <w:sz w:val="24"/>
          <w:szCs w:val="24"/>
        </w:rPr>
        <w:t xml:space="preserve"> em detri</w:t>
      </w:r>
      <w:r w:rsidR="00021D17">
        <w:rPr>
          <w:rFonts w:ascii="Times New Roman" w:hAnsi="Times New Roman"/>
          <w:sz w:val="24"/>
          <w:szCs w:val="24"/>
        </w:rPr>
        <w:t>m</w:t>
      </w:r>
      <w:r w:rsidR="00280757">
        <w:rPr>
          <w:rFonts w:ascii="Times New Roman" w:hAnsi="Times New Roman"/>
          <w:sz w:val="24"/>
          <w:szCs w:val="24"/>
        </w:rPr>
        <w:t>e</w:t>
      </w:r>
      <w:r w:rsidR="00021D17">
        <w:rPr>
          <w:rFonts w:ascii="Times New Roman" w:hAnsi="Times New Roman"/>
          <w:sz w:val="24"/>
          <w:szCs w:val="24"/>
        </w:rPr>
        <w:t>nto dos ácidos gordos polinsaturados</w:t>
      </w:r>
      <w:r w:rsidR="00280757">
        <w:rPr>
          <w:rFonts w:ascii="Times New Roman" w:hAnsi="Times New Roman"/>
          <w:sz w:val="24"/>
          <w:szCs w:val="24"/>
        </w:rPr>
        <w:t>,</w:t>
      </w:r>
      <w:r w:rsidR="00021D17">
        <w:rPr>
          <w:rFonts w:ascii="Times New Roman" w:hAnsi="Times New Roman"/>
          <w:sz w:val="24"/>
          <w:szCs w:val="24"/>
        </w:rPr>
        <w:t xml:space="preserve"> reduz o risco de aterosclerose</w:t>
      </w:r>
      <w:r w:rsidR="00280757">
        <w:rPr>
          <w:rFonts w:ascii="Times New Roman" w:hAnsi="Times New Roman"/>
          <w:sz w:val="24"/>
          <w:szCs w:val="24"/>
        </w:rPr>
        <w:t xml:space="preserve"> devido à diminuição da circulação de</w:t>
      </w:r>
      <w:r w:rsidR="00021D17">
        <w:rPr>
          <w:rFonts w:ascii="Times New Roman" w:hAnsi="Times New Roman"/>
          <w:sz w:val="24"/>
          <w:szCs w:val="24"/>
        </w:rPr>
        <w:t xml:space="preserve"> </w:t>
      </w:r>
      <w:r w:rsidR="00280757">
        <w:rPr>
          <w:rFonts w:ascii="Times New Roman" w:hAnsi="Times New Roman"/>
          <w:sz w:val="24"/>
          <w:szCs w:val="24"/>
        </w:rPr>
        <w:t>lipoproteínas de baixa densidade (LDL) sensíveis à peroxidação</w:t>
      </w:r>
      <w:r w:rsidR="00021D17" w:rsidRPr="00021D17">
        <w:rPr>
          <w:rFonts w:ascii="Times New Roman" w:hAnsi="Times New Roman"/>
          <w:sz w:val="24"/>
          <w:szCs w:val="24"/>
        </w:rPr>
        <w:t xml:space="preserve"> (</w:t>
      </w:r>
      <w:r w:rsidR="002566BA">
        <w:rPr>
          <w:rFonts w:ascii="Times New Roman" w:hAnsi="Times New Roman"/>
          <w:sz w:val="24"/>
          <w:szCs w:val="24"/>
        </w:rPr>
        <w:t xml:space="preserve">Miró-Casas </w:t>
      </w:r>
      <w:r w:rsidR="002566BA" w:rsidRPr="0006465B">
        <w:rPr>
          <w:rFonts w:ascii="Times New Roman" w:hAnsi="Times New Roman"/>
          <w:i/>
          <w:sz w:val="24"/>
          <w:szCs w:val="24"/>
        </w:rPr>
        <w:t>et al</w:t>
      </w:r>
      <w:r w:rsidR="00AC6A69">
        <w:rPr>
          <w:rFonts w:ascii="Times New Roman" w:hAnsi="Times New Roman"/>
          <w:i/>
          <w:sz w:val="24"/>
          <w:szCs w:val="24"/>
        </w:rPr>
        <w:t>.,</w:t>
      </w:r>
      <w:r w:rsidR="00076981">
        <w:rPr>
          <w:rFonts w:ascii="Times New Roman" w:hAnsi="Times New Roman"/>
          <w:sz w:val="24"/>
          <w:szCs w:val="24"/>
        </w:rPr>
        <w:t xml:space="preserve"> </w:t>
      </w:r>
      <w:r w:rsidR="002566BA" w:rsidRPr="0006465B">
        <w:rPr>
          <w:rFonts w:ascii="Times New Roman" w:hAnsi="Times New Roman"/>
          <w:sz w:val="24"/>
          <w:szCs w:val="24"/>
        </w:rPr>
        <w:t>2003</w:t>
      </w:r>
      <w:r w:rsidR="002566BA">
        <w:rPr>
          <w:rFonts w:ascii="Times New Roman" w:hAnsi="Times New Roman"/>
          <w:sz w:val="24"/>
          <w:szCs w:val="24"/>
        </w:rPr>
        <w:t xml:space="preserve">; </w:t>
      </w:r>
      <w:r w:rsidR="007F2DAD">
        <w:rPr>
          <w:rFonts w:ascii="Times New Roman" w:hAnsi="Times New Roman"/>
          <w:sz w:val="24"/>
          <w:szCs w:val="24"/>
        </w:rPr>
        <w:t xml:space="preserve">Rietjens, 2008; </w:t>
      </w:r>
      <w:r w:rsidR="00021D17" w:rsidRPr="00021D17">
        <w:rPr>
          <w:rFonts w:ascii="Times New Roman" w:hAnsi="Times New Roman"/>
          <w:sz w:val="24"/>
          <w:szCs w:val="24"/>
        </w:rPr>
        <w:t xml:space="preserve">Nakbi </w:t>
      </w:r>
      <w:r w:rsidR="00021D17" w:rsidRPr="00021D17">
        <w:rPr>
          <w:rFonts w:ascii="Times New Roman" w:hAnsi="Times New Roman"/>
          <w:i/>
          <w:sz w:val="24"/>
          <w:szCs w:val="24"/>
        </w:rPr>
        <w:t>et al</w:t>
      </w:r>
      <w:r w:rsidR="00AC6A69">
        <w:rPr>
          <w:rFonts w:ascii="Times New Roman" w:hAnsi="Times New Roman"/>
          <w:sz w:val="24"/>
          <w:szCs w:val="24"/>
        </w:rPr>
        <w:t>.,</w:t>
      </w:r>
      <w:r w:rsidR="00021D17" w:rsidRPr="00021D17">
        <w:rPr>
          <w:rFonts w:ascii="Times New Roman" w:hAnsi="Times New Roman"/>
          <w:sz w:val="24"/>
          <w:szCs w:val="24"/>
        </w:rPr>
        <w:t xml:space="preserve"> 2010). </w:t>
      </w:r>
      <w:r w:rsidR="00280757">
        <w:rPr>
          <w:rFonts w:ascii="Times New Roman" w:hAnsi="Times New Roman"/>
          <w:sz w:val="24"/>
          <w:szCs w:val="24"/>
        </w:rPr>
        <w:t xml:space="preserve">Os benefícios do consumo do azeite provêem dos compostos antioxidantes que o constituem. Embora a sua composição seja complexa, é possível a identificação do principal grupo de compostos responsáveis por esta actividade biológica no azeite. Entre estes compostos incluem-se o </w:t>
      </w:r>
      <w:r w:rsidR="00E8798C">
        <w:rPr>
          <w:rFonts w:ascii="Times New Roman" w:hAnsi="Times New Roman"/>
          <w:sz w:val="24"/>
          <w:szCs w:val="24"/>
        </w:rPr>
        <w:t>ácido oleico, os compostos fenólicos e o esqualeno, tendo todos eles demon</w:t>
      </w:r>
      <w:r w:rsidR="00A31C81">
        <w:rPr>
          <w:rFonts w:ascii="Times New Roman" w:hAnsi="Times New Roman"/>
          <w:sz w:val="24"/>
          <w:szCs w:val="24"/>
        </w:rPr>
        <w:t>strado ser inibidores de stress</w:t>
      </w:r>
      <w:r w:rsidR="00E8798C">
        <w:rPr>
          <w:rFonts w:ascii="Times New Roman" w:hAnsi="Times New Roman"/>
          <w:sz w:val="24"/>
          <w:szCs w:val="24"/>
        </w:rPr>
        <w:t xml:space="preserve"> oxidativo (Waterman </w:t>
      </w:r>
      <w:r w:rsidR="00E8798C" w:rsidRPr="008D5E08">
        <w:rPr>
          <w:rFonts w:ascii="Times New Roman" w:hAnsi="Times New Roman"/>
          <w:i/>
          <w:sz w:val="24"/>
          <w:szCs w:val="24"/>
        </w:rPr>
        <w:t>et al</w:t>
      </w:r>
      <w:r w:rsidR="00E8798C">
        <w:rPr>
          <w:rFonts w:ascii="Times New Roman" w:hAnsi="Times New Roman"/>
          <w:sz w:val="24"/>
          <w:szCs w:val="24"/>
        </w:rPr>
        <w:t>., 2007).</w:t>
      </w:r>
    </w:p>
    <w:p w:rsidR="00021D17" w:rsidRPr="00021D17" w:rsidRDefault="00E8798C" w:rsidP="00CB0044">
      <w:pPr>
        <w:autoSpaceDE w:val="0"/>
        <w:autoSpaceDN w:val="0"/>
        <w:adjustRightInd w:val="0"/>
        <w:jc w:val="both"/>
        <w:rPr>
          <w:rFonts w:ascii="Times New Roman" w:hAnsi="Times New Roman"/>
          <w:sz w:val="24"/>
          <w:szCs w:val="24"/>
        </w:rPr>
      </w:pPr>
      <w:r>
        <w:rPr>
          <w:rFonts w:ascii="Times New Roman" w:hAnsi="Times New Roman"/>
          <w:sz w:val="24"/>
          <w:szCs w:val="24"/>
        </w:rPr>
        <w:tab/>
        <w:t>Os compostos antioxidantes presentes nas azeitonas, protegem-nas da oxidação causada pelas altas temperaturas e da radiação ultravioleta do clima Mediterrânico</w:t>
      </w:r>
      <w:r w:rsidR="00C624AC">
        <w:rPr>
          <w:rFonts w:ascii="Times New Roman" w:hAnsi="Times New Roman"/>
          <w:sz w:val="24"/>
          <w:szCs w:val="24"/>
        </w:rPr>
        <w:t>. Sabe-se que as diferentes condições climáticas onde as oliveiras crescem alteram os constituintes do azeite, incluindo as suas propriedades antioxidantes</w:t>
      </w:r>
      <w:r>
        <w:rPr>
          <w:rFonts w:ascii="Times New Roman" w:hAnsi="Times New Roman"/>
          <w:sz w:val="24"/>
          <w:szCs w:val="24"/>
        </w:rPr>
        <w:t xml:space="preserve">. </w:t>
      </w:r>
      <w:r w:rsidR="00C624AC">
        <w:rPr>
          <w:rFonts w:ascii="Times New Roman" w:hAnsi="Times New Roman"/>
          <w:sz w:val="24"/>
          <w:szCs w:val="24"/>
        </w:rPr>
        <w:t>No entanto, o</w:t>
      </w:r>
      <w:r>
        <w:rPr>
          <w:rFonts w:ascii="Times New Roman" w:hAnsi="Times New Roman"/>
          <w:sz w:val="24"/>
          <w:szCs w:val="24"/>
        </w:rPr>
        <w:t>s método</w:t>
      </w:r>
      <w:r w:rsidR="00C624AC">
        <w:rPr>
          <w:rFonts w:ascii="Times New Roman" w:hAnsi="Times New Roman"/>
          <w:sz w:val="24"/>
          <w:szCs w:val="24"/>
        </w:rPr>
        <w:t>s físicos</w:t>
      </w:r>
      <w:r>
        <w:rPr>
          <w:rFonts w:ascii="Times New Roman" w:hAnsi="Times New Roman"/>
          <w:sz w:val="24"/>
          <w:szCs w:val="24"/>
        </w:rPr>
        <w:t xml:space="preserve"> </w:t>
      </w:r>
      <w:r w:rsidR="00C624AC">
        <w:rPr>
          <w:rFonts w:ascii="Times New Roman" w:hAnsi="Times New Roman"/>
          <w:sz w:val="24"/>
          <w:szCs w:val="24"/>
        </w:rPr>
        <w:t>empregues na produção de azeite</w:t>
      </w:r>
      <w:r w:rsidR="00280757">
        <w:rPr>
          <w:rFonts w:ascii="Times New Roman" w:hAnsi="Times New Roman"/>
          <w:sz w:val="24"/>
          <w:szCs w:val="24"/>
        </w:rPr>
        <w:t xml:space="preserve"> </w:t>
      </w:r>
      <w:r w:rsidR="00C624AC">
        <w:rPr>
          <w:rFonts w:ascii="Times New Roman" w:hAnsi="Times New Roman"/>
          <w:sz w:val="24"/>
          <w:szCs w:val="24"/>
        </w:rPr>
        <w:t xml:space="preserve">preservam grande parte dos compostos antioxidantes da azeitona, não comprometendo assim os benefícios </w:t>
      </w:r>
      <w:r w:rsidR="006E7FB1">
        <w:rPr>
          <w:rFonts w:ascii="Times New Roman" w:hAnsi="Times New Roman"/>
          <w:sz w:val="24"/>
          <w:szCs w:val="24"/>
        </w:rPr>
        <w:t>provindos do</w:t>
      </w:r>
      <w:r w:rsidR="00C624AC">
        <w:rPr>
          <w:rFonts w:ascii="Times New Roman" w:hAnsi="Times New Roman"/>
          <w:sz w:val="24"/>
          <w:szCs w:val="24"/>
        </w:rPr>
        <w:t xml:space="preserve"> consumo</w:t>
      </w:r>
      <w:r w:rsidR="006E7FB1">
        <w:rPr>
          <w:rFonts w:ascii="Times New Roman" w:hAnsi="Times New Roman"/>
          <w:sz w:val="24"/>
          <w:szCs w:val="24"/>
        </w:rPr>
        <w:t xml:space="preserve"> do azeite</w:t>
      </w:r>
      <w:r w:rsidR="002566BA">
        <w:rPr>
          <w:rFonts w:ascii="Times New Roman" w:hAnsi="Times New Roman"/>
          <w:sz w:val="24"/>
          <w:szCs w:val="24"/>
        </w:rPr>
        <w:t xml:space="preserve"> (Waterman </w:t>
      </w:r>
      <w:r w:rsidR="002566BA" w:rsidRPr="008D5E08">
        <w:rPr>
          <w:rFonts w:ascii="Times New Roman" w:hAnsi="Times New Roman"/>
          <w:i/>
          <w:sz w:val="24"/>
          <w:szCs w:val="24"/>
        </w:rPr>
        <w:t>et al</w:t>
      </w:r>
      <w:r w:rsidR="002566BA">
        <w:rPr>
          <w:rFonts w:ascii="Times New Roman" w:hAnsi="Times New Roman"/>
          <w:sz w:val="24"/>
          <w:szCs w:val="24"/>
        </w:rPr>
        <w:t>., 2007)</w:t>
      </w:r>
      <w:r w:rsidR="00C624AC">
        <w:rPr>
          <w:rFonts w:ascii="Times New Roman" w:hAnsi="Times New Roman"/>
          <w:sz w:val="24"/>
          <w:szCs w:val="24"/>
        </w:rPr>
        <w:t>.</w:t>
      </w:r>
    </w:p>
    <w:p w:rsidR="00021D17" w:rsidRPr="00280757" w:rsidRDefault="00021D17" w:rsidP="00AD77AF">
      <w:pPr>
        <w:jc w:val="both"/>
        <w:rPr>
          <w:rFonts w:ascii="Times New Roman" w:hAnsi="Times New Roman"/>
          <w:sz w:val="24"/>
          <w:szCs w:val="24"/>
        </w:rPr>
      </w:pPr>
    </w:p>
    <w:p w:rsidR="00343C2B" w:rsidRPr="00BF57D0" w:rsidRDefault="00343C2B" w:rsidP="00A33698">
      <w:pPr>
        <w:pStyle w:val="PargrafodaLista"/>
        <w:numPr>
          <w:ilvl w:val="1"/>
          <w:numId w:val="38"/>
        </w:numPr>
        <w:spacing w:after="0"/>
        <w:rPr>
          <w:rFonts w:ascii="Times New Roman" w:hAnsi="Times New Roman"/>
          <w:b/>
          <w:sz w:val="28"/>
          <w:szCs w:val="28"/>
        </w:rPr>
      </w:pPr>
      <w:r w:rsidRPr="00BF57D0">
        <w:rPr>
          <w:rFonts w:ascii="Times New Roman" w:hAnsi="Times New Roman"/>
          <w:b/>
          <w:sz w:val="28"/>
          <w:szCs w:val="28"/>
        </w:rPr>
        <w:t>Composição e caracterização fenólica do azeite</w:t>
      </w:r>
    </w:p>
    <w:p w:rsidR="00343C2B" w:rsidRDefault="00343C2B" w:rsidP="00343C2B">
      <w:pPr>
        <w:spacing w:after="0"/>
        <w:rPr>
          <w:rFonts w:ascii="Times New Roman" w:hAnsi="Times New Roman"/>
          <w:b/>
          <w:sz w:val="28"/>
          <w:szCs w:val="28"/>
        </w:rPr>
      </w:pPr>
    </w:p>
    <w:p w:rsidR="00EC7637" w:rsidRDefault="00343C2B" w:rsidP="009A0D79">
      <w:pPr>
        <w:jc w:val="both"/>
        <w:rPr>
          <w:rFonts w:ascii="Times New Roman" w:hAnsi="Times New Roman"/>
          <w:sz w:val="24"/>
          <w:szCs w:val="24"/>
        </w:rPr>
      </w:pPr>
      <w:r>
        <w:rPr>
          <w:rFonts w:ascii="Times New Roman" w:hAnsi="Times New Roman"/>
          <w:sz w:val="24"/>
          <w:szCs w:val="24"/>
        </w:rPr>
        <w:tab/>
      </w:r>
      <w:r w:rsidRPr="00343C2B">
        <w:rPr>
          <w:rFonts w:ascii="Times New Roman" w:hAnsi="Times New Roman"/>
          <w:sz w:val="24"/>
          <w:szCs w:val="24"/>
        </w:rPr>
        <w:t xml:space="preserve">O azeite é </w:t>
      </w:r>
      <w:r>
        <w:rPr>
          <w:rFonts w:ascii="Times New Roman" w:hAnsi="Times New Roman"/>
          <w:sz w:val="24"/>
          <w:szCs w:val="24"/>
        </w:rPr>
        <w:t>maioritariamente composto por</w:t>
      </w:r>
      <w:r w:rsidRPr="00343C2B">
        <w:rPr>
          <w:rFonts w:ascii="Times New Roman" w:hAnsi="Times New Roman"/>
          <w:sz w:val="24"/>
          <w:szCs w:val="24"/>
        </w:rPr>
        <w:t xml:space="preserve"> </w:t>
      </w:r>
      <w:r>
        <w:rPr>
          <w:rFonts w:ascii="Times New Roman" w:hAnsi="Times New Roman"/>
          <w:sz w:val="24"/>
          <w:szCs w:val="24"/>
        </w:rPr>
        <w:t>ácido oleico, um ácido gordo monoinsatur</w:t>
      </w:r>
      <w:r w:rsidR="008D5FD4">
        <w:rPr>
          <w:rFonts w:ascii="Times New Roman" w:hAnsi="Times New Roman"/>
          <w:sz w:val="24"/>
          <w:szCs w:val="24"/>
        </w:rPr>
        <w:t>ado (18:1n-9), que assume 55 a 8</w:t>
      </w:r>
      <w:r>
        <w:rPr>
          <w:rFonts w:ascii="Times New Roman" w:hAnsi="Times New Roman"/>
          <w:sz w:val="24"/>
          <w:szCs w:val="24"/>
        </w:rPr>
        <w:t>3% do total de ácidos gordos</w:t>
      </w:r>
      <w:r w:rsidR="0047540F">
        <w:rPr>
          <w:rFonts w:ascii="Times New Roman" w:hAnsi="Times New Roman"/>
          <w:sz w:val="24"/>
          <w:szCs w:val="24"/>
        </w:rPr>
        <w:t xml:space="preserve">. </w:t>
      </w:r>
      <w:r w:rsidR="008D5FD4">
        <w:rPr>
          <w:rFonts w:ascii="Times New Roman" w:hAnsi="Times New Roman"/>
          <w:sz w:val="24"/>
          <w:szCs w:val="24"/>
        </w:rPr>
        <w:t xml:space="preserve">Na sua composição os ácidos gordos saturados encontram-se em menor proporção, cerca de 8 a 14%, e os ácidos gordos polinsaturados como ácido linoleico (18:2n-6), entre 3 a 21%. </w:t>
      </w:r>
      <w:r w:rsidR="0047540F">
        <w:rPr>
          <w:rFonts w:ascii="Times New Roman" w:hAnsi="Times New Roman"/>
          <w:sz w:val="24"/>
          <w:szCs w:val="24"/>
        </w:rPr>
        <w:t xml:space="preserve">A sua estrutura química torna-o menos susceptível à oxidação </w:t>
      </w:r>
      <w:r w:rsidR="0033176F">
        <w:rPr>
          <w:rFonts w:ascii="Times New Roman" w:hAnsi="Times New Roman"/>
          <w:sz w:val="24"/>
          <w:szCs w:val="24"/>
        </w:rPr>
        <w:t>contribuindo assim</w:t>
      </w:r>
      <w:r w:rsidR="0047540F">
        <w:rPr>
          <w:rFonts w:ascii="Times New Roman" w:hAnsi="Times New Roman"/>
          <w:sz w:val="24"/>
          <w:szCs w:val="24"/>
        </w:rPr>
        <w:t xml:space="preserve"> para a </w:t>
      </w:r>
      <w:r w:rsidR="0047540F">
        <w:rPr>
          <w:rFonts w:ascii="Times New Roman" w:hAnsi="Times New Roman"/>
          <w:sz w:val="24"/>
          <w:szCs w:val="24"/>
        </w:rPr>
        <w:lastRenderedPageBreak/>
        <w:t>sua estabilida</w:t>
      </w:r>
      <w:r w:rsidR="008D5FD4">
        <w:rPr>
          <w:rFonts w:ascii="Times New Roman" w:hAnsi="Times New Roman"/>
          <w:sz w:val="24"/>
          <w:szCs w:val="24"/>
        </w:rPr>
        <w:t>de, e longa validade do azeite. Outros componentes fazem ainda parte da composição</w:t>
      </w:r>
      <w:r w:rsidR="00490C6A">
        <w:rPr>
          <w:rFonts w:ascii="Times New Roman" w:hAnsi="Times New Roman"/>
          <w:sz w:val="24"/>
          <w:szCs w:val="24"/>
        </w:rPr>
        <w:t xml:space="preserve"> do azeite</w:t>
      </w:r>
      <w:r w:rsidR="008D5FD4">
        <w:rPr>
          <w:rFonts w:ascii="Times New Roman" w:hAnsi="Times New Roman"/>
          <w:sz w:val="24"/>
          <w:szCs w:val="24"/>
        </w:rPr>
        <w:t xml:space="preserve">, com </w:t>
      </w:r>
      <w:r w:rsidR="00490C6A">
        <w:rPr>
          <w:rFonts w:ascii="Times New Roman" w:hAnsi="Times New Roman"/>
          <w:sz w:val="24"/>
          <w:szCs w:val="24"/>
        </w:rPr>
        <w:t xml:space="preserve">importantes </w:t>
      </w:r>
      <w:r w:rsidR="008D5FD4">
        <w:rPr>
          <w:rFonts w:ascii="Times New Roman" w:hAnsi="Times New Roman"/>
          <w:sz w:val="24"/>
          <w:szCs w:val="24"/>
        </w:rPr>
        <w:t>funções a</w:t>
      </w:r>
      <w:r w:rsidR="00A444E2">
        <w:rPr>
          <w:rFonts w:ascii="Times New Roman" w:hAnsi="Times New Roman"/>
          <w:sz w:val="24"/>
          <w:szCs w:val="24"/>
        </w:rPr>
        <w:t xml:space="preserve">ntioxidantes, </w:t>
      </w:r>
      <w:r w:rsidR="00EC7637">
        <w:rPr>
          <w:rFonts w:ascii="Times New Roman" w:hAnsi="Times New Roman"/>
          <w:sz w:val="24"/>
          <w:szCs w:val="24"/>
        </w:rPr>
        <w:t>nomeadamente</w:t>
      </w:r>
      <w:r w:rsidR="00A444E2">
        <w:rPr>
          <w:rFonts w:ascii="Times New Roman" w:hAnsi="Times New Roman"/>
          <w:sz w:val="24"/>
          <w:szCs w:val="24"/>
        </w:rPr>
        <w:t xml:space="preserve"> a vitamina E </w:t>
      </w:r>
      <w:r w:rsidR="00490C6A">
        <w:rPr>
          <w:rFonts w:ascii="Times New Roman" w:hAnsi="Times New Roman"/>
          <w:sz w:val="24"/>
          <w:szCs w:val="24"/>
        </w:rPr>
        <w:t xml:space="preserve">e compostos </w:t>
      </w:r>
      <w:r w:rsidR="008D5FD4">
        <w:rPr>
          <w:rFonts w:ascii="Times New Roman" w:hAnsi="Times New Roman"/>
          <w:sz w:val="24"/>
          <w:szCs w:val="24"/>
        </w:rPr>
        <w:t>polifen</w:t>
      </w:r>
      <w:r w:rsidR="00490C6A">
        <w:rPr>
          <w:rFonts w:ascii="Times New Roman" w:hAnsi="Times New Roman"/>
          <w:sz w:val="24"/>
          <w:szCs w:val="24"/>
        </w:rPr>
        <w:t>ólicos</w:t>
      </w:r>
      <w:r w:rsidR="008D5FD4">
        <w:rPr>
          <w:rFonts w:ascii="Times New Roman" w:hAnsi="Times New Roman"/>
          <w:sz w:val="24"/>
          <w:szCs w:val="24"/>
        </w:rPr>
        <w:t xml:space="preserve"> </w:t>
      </w:r>
      <w:r w:rsidR="000C5226">
        <w:rPr>
          <w:rFonts w:ascii="Times New Roman" w:hAnsi="Times New Roman"/>
          <w:sz w:val="24"/>
          <w:szCs w:val="24"/>
        </w:rPr>
        <w:t xml:space="preserve">(Cuneo, 1999; Rietjens, 2008). </w:t>
      </w:r>
    </w:p>
    <w:p w:rsidR="00A77DBB" w:rsidRDefault="00EC7637" w:rsidP="00A77DBB">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Os compostos fenólicos são um grupo de compostos sintetizados pelas plantas durante o seu estado de desenvolvimento, em resposta a condições desfavoráveis nomeadamente, infecção, agressão de tecidos, radiação ultravioleta (UV), etc. (Stalikas, 2007). Muitos destes compostos são classificados como metabolitos secundários de plantas, sendo derivados do intermediário comum fenilalanina, ou do seu precursor próximo o shiquiímato, através da via do ácido shiquiímato nas plantas (Arts </w:t>
      </w:r>
      <w:r w:rsidRPr="00C167FC">
        <w:rPr>
          <w:rFonts w:ascii="Times New Roman" w:hAnsi="Times New Roman"/>
          <w:i/>
          <w:sz w:val="24"/>
          <w:szCs w:val="24"/>
        </w:rPr>
        <w:t>et al</w:t>
      </w:r>
      <w:r w:rsidR="001A37D2">
        <w:rPr>
          <w:rFonts w:ascii="Times New Roman" w:hAnsi="Times New Roman"/>
          <w:sz w:val="24"/>
          <w:szCs w:val="24"/>
        </w:rPr>
        <w:t>., 2005</w:t>
      </w:r>
      <w:r>
        <w:rPr>
          <w:rFonts w:ascii="Times New Roman" w:hAnsi="Times New Roman"/>
          <w:sz w:val="24"/>
          <w:szCs w:val="24"/>
        </w:rPr>
        <w:t xml:space="preserve">). </w:t>
      </w:r>
      <w:r w:rsidR="00A77DBB">
        <w:rPr>
          <w:rFonts w:ascii="Times New Roman" w:hAnsi="Times New Roman"/>
          <w:sz w:val="24"/>
          <w:szCs w:val="24"/>
        </w:rPr>
        <w:t>Os compostos fenólicos são de enorme interesse para a saúde humana, devido ao largo espectro de efeitos protectores que oferecem nomeadamente, actividades antioxidante, anti-mutag</w:t>
      </w:r>
      <w:r w:rsidR="005672B5">
        <w:rPr>
          <w:rFonts w:ascii="Times New Roman" w:hAnsi="Times New Roman"/>
          <w:sz w:val="24"/>
          <w:szCs w:val="24"/>
        </w:rPr>
        <w:t>énica, anti-carcinogénica, anti</w:t>
      </w:r>
      <w:r w:rsidR="00A77DBB">
        <w:rPr>
          <w:rFonts w:ascii="Times New Roman" w:hAnsi="Times New Roman"/>
          <w:sz w:val="24"/>
          <w:szCs w:val="24"/>
        </w:rPr>
        <w:t xml:space="preserve">proliferativa, protecção contra o stress oxidativo, inibição da oxidação proteica, imunomodulação, redução do risco de doenças crónicas, e efeito protector em cancros de regulação hormonal, como o cancro da mama, do endométrio e prostático (Miadokova </w:t>
      </w:r>
      <w:r w:rsidR="00A77DBB" w:rsidRPr="00DB7D55">
        <w:rPr>
          <w:rFonts w:ascii="Times New Roman" w:hAnsi="Times New Roman"/>
          <w:i/>
          <w:sz w:val="24"/>
          <w:szCs w:val="24"/>
        </w:rPr>
        <w:t>et al</w:t>
      </w:r>
      <w:r w:rsidR="00A77DBB">
        <w:rPr>
          <w:rFonts w:ascii="Times New Roman" w:hAnsi="Times New Roman"/>
          <w:sz w:val="24"/>
          <w:szCs w:val="24"/>
        </w:rPr>
        <w:t>., 2009</w:t>
      </w:r>
      <w:r w:rsidR="00A77DBB">
        <w:rPr>
          <w:rFonts w:ascii="Times New Roman" w:hAnsi="Times New Roman"/>
          <w:sz w:val="26"/>
          <w:szCs w:val="24"/>
        </w:rPr>
        <w:t>)</w:t>
      </w:r>
      <w:r w:rsidR="00A77DBB">
        <w:rPr>
          <w:rFonts w:ascii="Times New Roman" w:hAnsi="Times New Roman"/>
          <w:sz w:val="24"/>
          <w:szCs w:val="24"/>
        </w:rPr>
        <w:t xml:space="preserve">. </w:t>
      </w:r>
    </w:p>
    <w:p w:rsidR="00EC7637" w:rsidRDefault="00EC7637" w:rsidP="00A77DBB">
      <w:pPr>
        <w:ind w:firstLine="708"/>
        <w:jc w:val="both"/>
        <w:rPr>
          <w:rFonts w:ascii="Times New Roman" w:hAnsi="Times New Roman"/>
          <w:sz w:val="24"/>
          <w:szCs w:val="24"/>
        </w:rPr>
      </w:pPr>
      <w:r>
        <w:rPr>
          <w:rFonts w:ascii="Times New Roman" w:hAnsi="Times New Roman"/>
          <w:sz w:val="24"/>
          <w:szCs w:val="24"/>
        </w:rPr>
        <w:t>Os fenóis são compostos que possuem um ou mais anéis aromáticos contendo um ou mais grupos hidroxilo substituintes (por exemplo um fenol simples) ou grupos funcionais (por exemplo é</w:t>
      </w:r>
      <w:r w:rsidRPr="000C1D14">
        <w:rPr>
          <w:rFonts w:ascii="Times New Roman" w:hAnsi="Times New Roman"/>
          <w:sz w:val="24"/>
          <w:szCs w:val="24"/>
        </w:rPr>
        <w:t>ster</w:t>
      </w:r>
      <w:r>
        <w:rPr>
          <w:rFonts w:ascii="Times New Roman" w:hAnsi="Times New Roman"/>
          <w:sz w:val="24"/>
          <w:szCs w:val="24"/>
        </w:rPr>
        <w:t>e</w:t>
      </w:r>
      <w:r w:rsidRPr="000C1D14">
        <w:rPr>
          <w:rFonts w:ascii="Times New Roman" w:hAnsi="Times New Roman"/>
          <w:sz w:val="24"/>
          <w:szCs w:val="24"/>
        </w:rPr>
        <w:t xml:space="preserve">s, </w:t>
      </w:r>
      <w:r>
        <w:rPr>
          <w:rFonts w:ascii="Times New Roman" w:hAnsi="Times New Roman"/>
          <w:sz w:val="24"/>
          <w:szCs w:val="24"/>
        </w:rPr>
        <w:t>éteres de metilo</w:t>
      </w:r>
      <w:r w:rsidRPr="000C1D14">
        <w:rPr>
          <w:rFonts w:ascii="Times New Roman" w:hAnsi="Times New Roman"/>
          <w:sz w:val="24"/>
          <w:szCs w:val="24"/>
        </w:rPr>
        <w:t xml:space="preserve">, </w:t>
      </w:r>
      <w:r>
        <w:rPr>
          <w:rFonts w:ascii="Times New Roman" w:hAnsi="Times New Roman"/>
          <w:sz w:val="24"/>
          <w:szCs w:val="24"/>
        </w:rPr>
        <w:t xml:space="preserve">e glicosídeos), com mais de 8000 variações estruturais diferentes </w:t>
      </w:r>
      <w:r w:rsidRPr="00401FAA">
        <w:rPr>
          <w:rFonts w:ascii="Times New Roman" w:hAnsi="Times New Roman"/>
          <w:sz w:val="24"/>
          <w:szCs w:val="24"/>
        </w:rPr>
        <w:t xml:space="preserve">(Stalikas, 2007; Sun </w:t>
      </w:r>
      <w:r w:rsidRPr="00401FAA">
        <w:rPr>
          <w:rFonts w:ascii="Times New Roman" w:hAnsi="Times New Roman"/>
          <w:i/>
          <w:sz w:val="24"/>
          <w:szCs w:val="24"/>
        </w:rPr>
        <w:t>et al</w:t>
      </w:r>
      <w:r w:rsidRPr="00401FAA">
        <w:rPr>
          <w:rFonts w:ascii="Times New Roman" w:hAnsi="Times New Roman"/>
          <w:sz w:val="24"/>
          <w:szCs w:val="24"/>
        </w:rPr>
        <w:t xml:space="preserve">., 2007; </w:t>
      </w:r>
      <w:r>
        <w:rPr>
          <w:rFonts w:ascii="Times New Roman" w:hAnsi="Times New Roman"/>
          <w:sz w:val="24"/>
          <w:szCs w:val="24"/>
        </w:rPr>
        <w:t xml:space="preserve">Huang </w:t>
      </w:r>
      <w:r w:rsidRPr="00401FAA">
        <w:rPr>
          <w:rFonts w:ascii="Times New Roman" w:hAnsi="Times New Roman"/>
          <w:i/>
          <w:sz w:val="24"/>
          <w:szCs w:val="24"/>
        </w:rPr>
        <w:t>et al</w:t>
      </w:r>
      <w:r>
        <w:rPr>
          <w:rFonts w:ascii="Times New Roman" w:hAnsi="Times New Roman"/>
          <w:sz w:val="24"/>
          <w:szCs w:val="24"/>
        </w:rPr>
        <w:t xml:space="preserve">., 2010; </w:t>
      </w:r>
      <w:r w:rsidRPr="00401FAA">
        <w:rPr>
          <w:rFonts w:ascii="Times New Roman" w:hAnsi="Times New Roman"/>
          <w:sz w:val="24"/>
          <w:szCs w:val="24"/>
        </w:rPr>
        <w:t xml:space="preserve">Arts </w:t>
      </w:r>
      <w:r w:rsidRPr="00401FAA">
        <w:rPr>
          <w:rFonts w:ascii="Times New Roman" w:hAnsi="Times New Roman"/>
          <w:i/>
          <w:sz w:val="24"/>
          <w:szCs w:val="24"/>
        </w:rPr>
        <w:t>et al</w:t>
      </w:r>
      <w:r w:rsidRPr="00401FAA">
        <w:rPr>
          <w:rFonts w:ascii="Times New Roman" w:hAnsi="Times New Roman"/>
          <w:sz w:val="24"/>
          <w:szCs w:val="24"/>
        </w:rPr>
        <w:t>., 2011)</w:t>
      </w:r>
      <w:r>
        <w:rPr>
          <w:rFonts w:ascii="Times New Roman" w:hAnsi="Times New Roman"/>
          <w:sz w:val="24"/>
          <w:szCs w:val="24"/>
        </w:rPr>
        <w:t>. Uma classificação mais específica divide-os em fenóis simples</w:t>
      </w:r>
      <w:r w:rsidR="009A0D79">
        <w:rPr>
          <w:rFonts w:ascii="Times New Roman" w:hAnsi="Times New Roman"/>
          <w:sz w:val="24"/>
          <w:szCs w:val="24"/>
        </w:rPr>
        <w:t xml:space="preserve"> (Figura 3)</w:t>
      </w:r>
      <w:r>
        <w:rPr>
          <w:rFonts w:ascii="Times New Roman" w:hAnsi="Times New Roman"/>
          <w:sz w:val="24"/>
          <w:szCs w:val="24"/>
        </w:rPr>
        <w:t xml:space="preserve"> e polifenóis, baseado no número de subunidades fenólicas presentes na sua estrutura molecular (Stalikas, 2007).</w:t>
      </w:r>
    </w:p>
    <w:p w:rsidR="00EC7637" w:rsidRDefault="0029756B" w:rsidP="0029756B">
      <w:pPr>
        <w:jc w:val="center"/>
        <w:rPr>
          <w:rFonts w:ascii="Times New Roman" w:hAnsi="Times New Roman"/>
          <w:sz w:val="24"/>
          <w:szCs w:val="24"/>
        </w:rPr>
      </w:pPr>
      <w:r>
        <w:rPr>
          <w:noProof/>
          <w:lang w:eastAsia="pt-PT"/>
        </w:rPr>
        <w:drawing>
          <wp:inline distT="0" distB="0" distL="0" distR="0">
            <wp:extent cx="648860" cy="1204538"/>
            <wp:effectExtent l="19050" t="0" r="0" b="0"/>
            <wp:docPr id="38" name="Imagem 5" descr="This is the chemical structure of ph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the chemical structure of phenol."/>
                    <pic:cNvPicPr>
                      <a:picLocks noChangeAspect="1" noChangeArrowheads="1"/>
                    </pic:cNvPicPr>
                  </pic:nvPicPr>
                  <pic:blipFill>
                    <a:blip r:embed="rId10" cstate="print"/>
                    <a:srcRect/>
                    <a:stretch>
                      <a:fillRect/>
                    </a:stretch>
                  </pic:blipFill>
                  <pic:spPr bwMode="auto">
                    <a:xfrm>
                      <a:off x="0" y="0"/>
                      <a:ext cx="648519" cy="1203906"/>
                    </a:xfrm>
                    <a:prstGeom prst="rect">
                      <a:avLst/>
                    </a:prstGeom>
                    <a:noFill/>
                    <a:ln w="9525">
                      <a:noFill/>
                      <a:miter lim="800000"/>
                      <a:headEnd/>
                      <a:tailEnd/>
                    </a:ln>
                  </pic:spPr>
                </pic:pic>
              </a:graphicData>
            </a:graphic>
          </wp:inline>
        </w:drawing>
      </w:r>
    </w:p>
    <w:p w:rsidR="00EC7637" w:rsidRDefault="007B02FE" w:rsidP="00343C2B">
      <w:pPr>
        <w:jc w:val="both"/>
        <w:rPr>
          <w:rFonts w:ascii="Times New Roman" w:hAnsi="Times New Roman"/>
          <w:sz w:val="24"/>
          <w:szCs w:val="24"/>
        </w:rPr>
      </w:pPr>
      <w:r>
        <w:rPr>
          <w:rFonts w:ascii="Times New Roman" w:hAnsi="Times New Roman"/>
          <w:noProof/>
          <w:sz w:val="24"/>
          <w:szCs w:val="24"/>
          <w:lang w:eastAsia="pt-PT"/>
        </w:rPr>
        <w:pict>
          <v:shapetype id="_x0000_t202" coordsize="21600,21600" o:spt="202" path="m,l,21600r21600,l21600,xe">
            <v:stroke joinstyle="miter"/>
            <v:path gradientshapeok="t" o:connecttype="rect"/>
          </v:shapetype>
          <v:shape id="_x0000_s1035" type="#_x0000_t202" style="position:absolute;left:0;text-align:left;margin-left:-1.6pt;margin-top:19.5pt;width:428.05pt;height:33pt;z-index:251666432" wrapcoords="-225 0 -225 20965 21600 20965 21600 0 -225 0" stroked="f">
            <v:textbox style="mso-next-textbox:#_x0000_s1035;mso-fit-shape-to-text:t" inset="0,0,0,0">
              <w:txbxContent>
                <w:p w:rsidR="00B766F9" w:rsidRPr="00495FC5" w:rsidRDefault="00B766F9" w:rsidP="00EC7637">
                  <w:pPr>
                    <w:pStyle w:val="Legenda"/>
                    <w:jc w:val="both"/>
                    <w:rPr>
                      <w:rFonts w:ascii="Times New Roman" w:hAnsi="Times New Roman"/>
                      <w:b w:val="0"/>
                      <w:noProof/>
                      <w:color w:val="auto"/>
                      <w:sz w:val="20"/>
                      <w:szCs w:val="20"/>
                    </w:rPr>
                  </w:pPr>
                  <w:r w:rsidRPr="00495FC5">
                    <w:rPr>
                      <w:rFonts w:ascii="Times New Roman" w:hAnsi="Times New Roman"/>
                      <w:sz w:val="20"/>
                      <w:szCs w:val="20"/>
                    </w:rPr>
                    <w:t xml:space="preserve">Figura </w:t>
                  </w:r>
                  <w:r>
                    <w:rPr>
                      <w:rFonts w:ascii="Times New Roman" w:hAnsi="Times New Roman"/>
                      <w:sz w:val="20"/>
                      <w:szCs w:val="20"/>
                    </w:rPr>
                    <w:t>3</w:t>
                  </w:r>
                  <w:r w:rsidRPr="00495FC5">
                    <w:rPr>
                      <w:rFonts w:ascii="Times New Roman" w:hAnsi="Times New Roman"/>
                      <w:sz w:val="20"/>
                      <w:szCs w:val="20"/>
                    </w:rPr>
                    <w:t xml:space="preserve"> - </w:t>
                  </w:r>
                  <w:r w:rsidRPr="00495FC5">
                    <w:rPr>
                      <w:rFonts w:ascii="Times New Roman" w:hAnsi="Times New Roman"/>
                      <w:b w:val="0"/>
                      <w:color w:val="auto"/>
                      <w:sz w:val="20"/>
                      <w:szCs w:val="20"/>
                    </w:rPr>
                    <w:t>Estrutu</w:t>
                  </w:r>
                  <w:r>
                    <w:rPr>
                      <w:rFonts w:ascii="Times New Roman" w:hAnsi="Times New Roman"/>
                      <w:b w:val="0"/>
                      <w:color w:val="auto"/>
                      <w:sz w:val="20"/>
                      <w:szCs w:val="20"/>
                    </w:rPr>
                    <w:t xml:space="preserve">ra química de um fenol simples que se caracteriza por </w:t>
                  </w:r>
                  <w:r w:rsidRPr="00495FC5">
                    <w:rPr>
                      <w:rFonts w:ascii="Times New Roman" w:hAnsi="Times New Roman"/>
                      <w:b w:val="0"/>
                      <w:color w:val="auto"/>
                      <w:sz w:val="20"/>
                      <w:szCs w:val="20"/>
                    </w:rPr>
                    <w:t xml:space="preserve">um grupo hidroxilo ligado a um anel aromático, </w:t>
                  </w:r>
                  <w:r>
                    <w:rPr>
                      <w:rFonts w:ascii="Times New Roman" w:hAnsi="Times New Roman"/>
                      <w:b w:val="0"/>
                      <w:color w:val="auto"/>
                      <w:sz w:val="20"/>
                      <w:szCs w:val="20"/>
                    </w:rPr>
                    <w:t xml:space="preserve">com a </w:t>
                  </w:r>
                  <w:r w:rsidRPr="00495FC5">
                    <w:rPr>
                      <w:rFonts w:ascii="Times New Roman" w:hAnsi="Times New Roman"/>
                      <w:b w:val="0"/>
                      <w:color w:val="auto"/>
                      <w:sz w:val="20"/>
                      <w:szCs w:val="20"/>
                    </w:rPr>
                    <w:t>fórmula geral C</w:t>
                  </w:r>
                  <w:r w:rsidRPr="00495FC5">
                    <w:rPr>
                      <w:rFonts w:ascii="Times New Roman" w:hAnsi="Times New Roman"/>
                      <w:b w:val="0"/>
                      <w:color w:val="auto"/>
                      <w:sz w:val="20"/>
                      <w:szCs w:val="20"/>
                      <w:vertAlign w:val="subscript"/>
                    </w:rPr>
                    <w:t>6</w:t>
                  </w:r>
                  <w:r w:rsidRPr="00495FC5">
                    <w:rPr>
                      <w:rFonts w:ascii="Times New Roman" w:hAnsi="Times New Roman"/>
                      <w:b w:val="0"/>
                      <w:color w:val="auto"/>
                      <w:sz w:val="20"/>
                      <w:szCs w:val="20"/>
                    </w:rPr>
                    <w:t>H</w:t>
                  </w:r>
                  <w:r w:rsidRPr="00495FC5">
                    <w:rPr>
                      <w:rFonts w:ascii="Times New Roman" w:hAnsi="Times New Roman"/>
                      <w:b w:val="0"/>
                      <w:color w:val="auto"/>
                      <w:sz w:val="20"/>
                      <w:szCs w:val="20"/>
                      <w:vertAlign w:val="subscript"/>
                    </w:rPr>
                    <w:t>5</w:t>
                  </w:r>
                  <w:r w:rsidRPr="00495FC5">
                    <w:rPr>
                      <w:rFonts w:ascii="Times New Roman" w:hAnsi="Times New Roman"/>
                      <w:b w:val="0"/>
                      <w:color w:val="auto"/>
                      <w:sz w:val="20"/>
                      <w:szCs w:val="20"/>
                    </w:rPr>
                    <w:t xml:space="preserve">OH (adaptado de </w:t>
                  </w:r>
                  <w:r>
                    <w:rPr>
                      <w:rFonts w:ascii="Times New Roman" w:hAnsi="Times New Roman"/>
                      <w:b w:val="0"/>
                      <w:color w:val="auto"/>
                      <w:sz w:val="20"/>
                    </w:rPr>
                    <w:t>http://chemistry.about.com</w:t>
                  </w:r>
                  <w:r w:rsidRPr="00495FC5">
                    <w:rPr>
                      <w:rFonts w:ascii="Times New Roman" w:hAnsi="Times New Roman"/>
                      <w:b w:val="0"/>
                      <w:color w:val="auto"/>
                      <w:sz w:val="20"/>
                      <w:szCs w:val="20"/>
                    </w:rPr>
                    <w:t>).</w:t>
                  </w:r>
                </w:p>
              </w:txbxContent>
            </v:textbox>
            <w10:wrap type="tight"/>
          </v:shape>
        </w:pict>
      </w:r>
    </w:p>
    <w:p w:rsidR="00A77DBB" w:rsidRDefault="00A77DBB" w:rsidP="00A77DBB">
      <w:pPr>
        <w:autoSpaceDE w:val="0"/>
        <w:autoSpaceDN w:val="0"/>
        <w:adjustRightInd w:val="0"/>
        <w:ind w:firstLine="708"/>
        <w:jc w:val="both"/>
        <w:rPr>
          <w:rFonts w:ascii="Times New Roman" w:hAnsi="Times New Roman"/>
          <w:sz w:val="24"/>
          <w:szCs w:val="24"/>
        </w:rPr>
      </w:pPr>
    </w:p>
    <w:p w:rsidR="00A77DBB" w:rsidRDefault="00A77DBB" w:rsidP="00A77DBB">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Os polifenóis são os antioxidantes mais abundantes na dieta, encontrando-se presentes em frutos, e suas bebidas derivadas como sumos de fruta, chás, café e vinho tinto, mas ainda em alimentos como os vegetais, cereais, chocolate e legumes secos, que também contribuem para o consumo destes compostos (Scalbert </w:t>
      </w:r>
      <w:r w:rsidRPr="005E185D">
        <w:rPr>
          <w:rFonts w:ascii="Times New Roman" w:hAnsi="Times New Roman"/>
          <w:i/>
          <w:sz w:val="24"/>
          <w:szCs w:val="24"/>
        </w:rPr>
        <w:t>et al</w:t>
      </w:r>
      <w:r>
        <w:rPr>
          <w:rFonts w:ascii="Times New Roman" w:hAnsi="Times New Roman"/>
          <w:sz w:val="24"/>
          <w:szCs w:val="24"/>
        </w:rPr>
        <w:t xml:space="preserve">., 2005). Os polifenóis surgem frequentemente conjugados com glúcidos (glicósidos), e após a sua ingestão encontram-se expostos à clivagem enzimática para a forma livre da aglicona, sob a qual são absorvidos pelas células epiteliais do intestino (Cooray </w:t>
      </w:r>
      <w:r w:rsidRPr="008F6494">
        <w:rPr>
          <w:rFonts w:ascii="Times New Roman" w:hAnsi="Times New Roman"/>
          <w:i/>
          <w:sz w:val="24"/>
          <w:szCs w:val="24"/>
        </w:rPr>
        <w:t>et al</w:t>
      </w:r>
      <w:r>
        <w:rPr>
          <w:rFonts w:ascii="Times New Roman" w:hAnsi="Times New Roman"/>
          <w:sz w:val="24"/>
          <w:szCs w:val="24"/>
        </w:rPr>
        <w:t xml:space="preserve">., 2004). A </w:t>
      </w:r>
      <w:r>
        <w:rPr>
          <w:rFonts w:ascii="Times New Roman" w:hAnsi="Times New Roman"/>
          <w:sz w:val="24"/>
          <w:szCs w:val="24"/>
        </w:rPr>
        <w:lastRenderedPageBreak/>
        <w:t xml:space="preserve">principal razão do estudo destes compostos reside na complexidade e diversidade das suas estruturas químicas (Scalbert </w:t>
      </w:r>
      <w:r w:rsidRPr="005E185D">
        <w:rPr>
          <w:rFonts w:ascii="Times New Roman" w:hAnsi="Times New Roman"/>
          <w:i/>
          <w:sz w:val="24"/>
          <w:szCs w:val="24"/>
        </w:rPr>
        <w:t>et al</w:t>
      </w:r>
      <w:r>
        <w:rPr>
          <w:rFonts w:ascii="Times New Roman" w:hAnsi="Times New Roman"/>
          <w:sz w:val="24"/>
          <w:szCs w:val="24"/>
        </w:rPr>
        <w:t xml:space="preserve">., 2005). </w:t>
      </w:r>
    </w:p>
    <w:p w:rsidR="00575C17" w:rsidRDefault="00782737" w:rsidP="00EC7637">
      <w:pPr>
        <w:ind w:firstLine="708"/>
        <w:jc w:val="both"/>
        <w:rPr>
          <w:rFonts w:ascii="Times New Roman" w:hAnsi="Times New Roman"/>
          <w:noProof/>
          <w:sz w:val="24"/>
          <w:szCs w:val="24"/>
          <w:lang w:eastAsia="pt-PT"/>
        </w:rPr>
      </w:pPr>
      <w:r>
        <w:rPr>
          <w:rFonts w:ascii="Times New Roman" w:hAnsi="Times New Roman"/>
          <w:sz w:val="24"/>
          <w:szCs w:val="24"/>
        </w:rPr>
        <w:t>O conteúdo fenólico das azeitonas altera-se ao longo do seu desenvolvimento e maturação, dependendo por conseguinte a composição fenólica do azeite</w:t>
      </w:r>
      <w:r w:rsidR="0047540F">
        <w:rPr>
          <w:rFonts w:ascii="Times New Roman" w:hAnsi="Times New Roman"/>
          <w:sz w:val="24"/>
          <w:szCs w:val="24"/>
        </w:rPr>
        <w:t xml:space="preserve"> de diversos factores como o cultivo, o clima, o grau de maturação das azeitonas, o processo de fabrico, e ainda das condições de armazenamento do próprio azeite</w:t>
      </w:r>
      <w:r w:rsidR="0033176F">
        <w:rPr>
          <w:rFonts w:ascii="Times New Roman" w:hAnsi="Times New Roman"/>
          <w:sz w:val="24"/>
          <w:szCs w:val="24"/>
        </w:rPr>
        <w:t xml:space="preserve"> (Rietjens, 2008)</w:t>
      </w:r>
      <w:r w:rsidR="0047540F">
        <w:rPr>
          <w:rFonts w:ascii="Times New Roman" w:hAnsi="Times New Roman"/>
          <w:sz w:val="24"/>
          <w:szCs w:val="24"/>
        </w:rPr>
        <w:t xml:space="preserve">. </w:t>
      </w:r>
      <w:r w:rsidR="00684B4B">
        <w:rPr>
          <w:rFonts w:ascii="Times New Roman" w:hAnsi="Times New Roman"/>
          <w:sz w:val="24"/>
          <w:szCs w:val="24"/>
        </w:rPr>
        <w:t xml:space="preserve">A concentração total em fenóis no azeite é estimada em 196-500mg/kg, possuindo o azeite extra-virgem a maior percentagem de todos, e o azeite virgem refinado a menor. Owen </w:t>
      </w:r>
      <w:r w:rsidR="00684B4B" w:rsidRPr="007F2DAD">
        <w:rPr>
          <w:rFonts w:ascii="Times New Roman" w:hAnsi="Times New Roman"/>
          <w:i/>
          <w:sz w:val="24"/>
          <w:szCs w:val="24"/>
        </w:rPr>
        <w:t xml:space="preserve">et </w:t>
      </w:r>
      <w:r w:rsidR="00684B4B" w:rsidRPr="007D549B">
        <w:rPr>
          <w:rFonts w:ascii="Times New Roman" w:hAnsi="Times New Roman"/>
          <w:i/>
          <w:sz w:val="24"/>
          <w:szCs w:val="24"/>
        </w:rPr>
        <w:t>al</w:t>
      </w:r>
      <w:r w:rsidR="00684B4B">
        <w:rPr>
          <w:rFonts w:ascii="Times New Roman" w:hAnsi="Times New Roman"/>
          <w:sz w:val="24"/>
          <w:szCs w:val="24"/>
        </w:rPr>
        <w:t xml:space="preserve"> demonstrou que esta diferença entre diferentes classificações de azeite, reflectia-se também na quantidade de cada composto fenólico presente no azeite individualmente</w:t>
      </w:r>
      <w:r w:rsidR="00721344">
        <w:rPr>
          <w:rFonts w:ascii="Times New Roman" w:hAnsi="Times New Roman"/>
          <w:sz w:val="24"/>
          <w:szCs w:val="24"/>
        </w:rPr>
        <w:t>.</w:t>
      </w:r>
      <w:r w:rsidR="00684B4B">
        <w:rPr>
          <w:rFonts w:ascii="Times New Roman" w:hAnsi="Times New Roman"/>
          <w:sz w:val="24"/>
          <w:szCs w:val="24"/>
        </w:rPr>
        <w:t xml:space="preserve"> Os fenóis presentes no azeite podem ser classificados em três categorias: fenóis simples, secoiridóides, e ligninas, sendo todos eles inibidores da auto-oxidação. Os principais fenóis incluem o hidro</w:t>
      </w:r>
      <w:r w:rsidR="000C5226">
        <w:rPr>
          <w:rFonts w:ascii="Times New Roman" w:hAnsi="Times New Roman"/>
          <w:sz w:val="24"/>
          <w:szCs w:val="24"/>
        </w:rPr>
        <w:t>x</w:t>
      </w:r>
      <w:r w:rsidR="00684B4B">
        <w:rPr>
          <w:rFonts w:ascii="Times New Roman" w:hAnsi="Times New Roman"/>
          <w:sz w:val="24"/>
          <w:szCs w:val="24"/>
        </w:rPr>
        <w:t>itirosol, o tirosol, a oleuropeína, e o álcool homovanílico</w:t>
      </w:r>
      <w:r w:rsidR="009A0D79">
        <w:rPr>
          <w:rFonts w:ascii="Times New Roman" w:hAnsi="Times New Roman"/>
          <w:sz w:val="24"/>
          <w:szCs w:val="24"/>
        </w:rPr>
        <w:t xml:space="preserve"> (Figura 4)</w:t>
      </w:r>
      <w:r w:rsidR="00721344">
        <w:rPr>
          <w:rFonts w:ascii="Times New Roman" w:hAnsi="Times New Roman"/>
          <w:sz w:val="24"/>
          <w:szCs w:val="24"/>
        </w:rPr>
        <w:t xml:space="preserve"> (Waterman </w:t>
      </w:r>
      <w:r w:rsidR="00721344" w:rsidRPr="008D5E08">
        <w:rPr>
          <w:rFonts w:ascii="Times New Roman" w:hAnsi="Times New Roman"/>
          <w:i/>
          <w:sz w:val="24"/>
          <w:szCs w:val="24"/>
        </w:rPr>
        <w:t>et al</w:t>
      </w:r>
      <w:r w:rsidR="00721344">
        <w:rPr>
          <w:rFonts w:ascii="Times New Roman" w:hAnsi="Times New Roman"/>
          <w:sz w:val="24"/>
          <w:szCs w:val="24"/>
        </w:rPr>
        <w:t>., 2007).</w:t>
      </w:r>
      <w:r w:rsidR="00575C17" w:rsidRPr="00575C17">
        <w:rPr>
          <w:rFonts w:ascii="Times New Roman" w:hAnsi="Times New Roman"/>
          <w:noProof/>
          <w:sz w:val="24"/>
          <w:szCs w:val="24"/>
          <w:lang w:eastAsia="pt-PT"/>
        </w:rPr>
        <w:t xml:space="preserve"> </w:t>
      </w:r>
    </w:p>
    <w:p w:rsidR="00575C17" w:rsidRDefault="00575C17" w:rsidP="00343C2B">
      <w:pPr>
        <w:spacing w:after="0"/>
        <w:jc w:val="both"/>
        <w:rPr>
          <w:rFonts w:ascii="Times New Roman" w:hAnsi="Times New Roman"/>
          <w:noProof/>
          <w:sz w:val="24"/>
          <w:szCs w:val="24"/>
          <w:lang w:eastAsia="pt-PT"/>
        </w:rPr>
      </w:pPr>
    </w:p>
    <w:p w:rsidR="00A61790" w:rsidRPr="00575C17" w:rsidRDefault="00575C17" w:rsidP="00575C17">
      <w:pPr>
        <w:spacing w:after="0"/>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3951798" cy="2210462"/>
            <wp:effectExtent l="1905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10000"/>
                    </a:blip>
                    <a:srcRect l="1702" t="2456"/>
                    <a:stretch>
                      <a:fillRect/>
                    </a:stretch>
                  </pic:blipFill>
                  <pic:spPr bwMode="auto">
                    <a:xfrm>
                      <a:off x="0" y="0"/>
                      <a:ext cx="3951798" cy="2210462"/>
                    </a:xfrm>
                    <a:prstGeom prst="rect">
                      <a:avLst/>
                    </a:prstGeom>
                    <a:noFill/>
                    <a:ln w="9525">
                      <a:noFill/>
                      <a:miter lim="800000"/>
                      <a:headEnd/>
                      <a:tailEnd/>
                    </a:ln>
                  </pic:spPr>
                </pic:pic>
              </a:graphicData>
            </a:graphic>
          </wp:inline>
        </w:drawing>
      </w:r>
    </w:p>
    <w:p w:rsidR="0047540F" w:rsidRPr="0033176F" w:rsidRDefault="0033176F" w:rsidP="0033176F">
      <w:pPr>
        <w:pStyle w:val="Legenda"/>
        <w:jc w:val="both"/>
        <w:rPr>
          <w:rFonts w:ascii="Times New Roman" w:hAnsi="Times New Roman"/>
          <w:b w:val="0"/>
          <w:color w:val="auto"/>
          <w:sz w:val="20"/>
          <w:szCs w:val="20"/>
        </w:rPr>
      </w:pPr>
      <w:r w:rsidRPr="0033176F">
        <w:rPr>
          <w:rFonts w:ascii="Times New Roman" w:hAnsi="Times New Roman"/>
          <w:sz w:val="20"/>
          <w:szCs w:val="20"/>
        </w:rPr>
        <w:t xml:space="preserve">Figura </w:t>
      </w:r>
      <w:r w:rsidR="00EC7637">
        <w:rPr>
          <w:rFonts w:ascii="Times New Roman" w:hAnsi="Times New Roman"/>
          <w:sz w:val="20"/>
          <w:szCs w:val="20"/>
        </w:rPr>
        <w:t>4</w:t>
      </w:r>
      <w:r w:rsidRPr="0033176F">
        <w:rPr>
          <w:rFonts w:ascii="Times New Roman" w:hAnsi="Times New Roman"/>
          <w:sz w:val="20"/>
          <w:szCs w:val="20"/>
        </w:rPr>
        <w:t xml:space="preserve"> </w:t>
      </w:r>
      <w:r>
        <w:rPr>
          <w:rFonts w:ascii="Times New Roman" w:hAnsi="Times New Roman"/>
          <w:sz w:val="20"/>
          <w:szCs w:val="20"/>
        </w:rPr>
        <w:t>–</w:t>
      </w:r>
      <w:r w:rsidRPr="0033176F">
        <w:rPr>
          <w:rFonts w:ascii="Times New Roman" w:hAnsi="Times New Roman"/>
          <w:sz w:val="20"/>
          <w:szCs w:val="20"/>
        </w:rPr>
        <w:t xml:space="preserve"> </w:t>
      </w:r>
      <w:r>
        <w:rPr>
          <w:rFonts w:ascii="Times New Roman" w:hAnsi="Times New Roman"/>
          <w:b w:val="0"/>
          <w:color w:val="auto"/>
          <w:sz w:val="20"/>
          <w:szCs w:val="20"/>
        </w:rPr>
        <w:t>E</w:t>
      </w:r>
      <w:r w:rsidRPr="0033176F">
        <w:rPr>
          <w:rFonts w:ascii="Times New Roman" w:hAnsi="Times New Roman"/>
          <w:b w:val="0"/>
          <w:color w:val="auto"/>
          <w:sz w:val="20"/>
          <w:szCs w:val="20"/>
        </w:rPr>
        <w:t xml:space="preserve">strutura </w:t>
      </w:r>
      <w:r w:rsidR="0009054C">
        <w:rPr>
          <w:rFonts w:ascii="Times New Roman" w:hAnsi="Times New Roman"/>
          <w:b w:val="0"/>
          <w:color w:val="auto"/>
          <w:sz w:val="20"/>
          <w:szCs w:val="20"/>
        </w:rPr>
        <w:t>química</w:t>
      </w:r>
      <w:r w:rsidRPr="0033176F">
        <w:rPr>
          <w:rFonts w:ascii="Times New Roman" w:hAnsi="Times New Roman"/>
          <w:b w:val="0"/>
          <w:color w:val="auto"/>
          <w:sz w:val="20"/>
          <w:szCs w:val="20"/>
        </w:rPr>
        <w:t xml:space="preserve"> dos principais com</w:t>
      </w:r>
      <w:r>
        <w:rPr>
          <w:rFonts w:ascii="Times New Roman" w:hAnsi="Times New Roman"/>
          <w:b w:val="0"/>
          <w:color w:val="auto"/>
          <w:sz w:val="20"/>
          <w:szCs w:val="20"/>
        </w:rPr>
        <w:t>p</w:t>
      </w:r>
      <w:r w:rsidRPr="0033176F">
        <w:rPr>
          <w:rFonts w:ascii="Times New Roman" w:hAnsi="Times New Roman"/>
          <w:b w:val="0"/>
          <w:color w:val="auto"/>
          <w:sz w:val="20"/>
          <w:szCs w:val="20"/>
        </w:rPr>
        <w:t>ostos fenólicos constituintes do azeite: hidroxitirosol, oleuropeína, tirosol e álcool homovanílico</w:t>
      </w:r>
      <w:r w:rsidR="00A61790">
        <w:rPr>
          <w:rFonts w:ascii="Times New Roman" w:hAnsi="Times New Roman"/>
          <w:b w:val="0"/>
          <w:color w:val="auto"/>
          <w:sz w:val="20"/>
          <w:szCs w:val="20"/>
        </w:rPr>
        <w:t xml:space="preserve"> (adaptado de </w:t>
      </w:r>
      <w:r w:rsidR="00A61790" w:rsidRPr="00A61790">
        <w:rPr>
          <w:rFonts w:ascii="Times New Roman" w:hAnsi="Times New Roman"/>
          <w:b w:val="0"/>
          <w:color w:val="auto"/>
          <w:sz w:val="20"/>
          <w:szCs w:val="20"/>
        </w:rPr>
        <w:t>Rietjens, 2008</w:t>
      </w:r>
      <w:r w:rsidR="00A61790">
        <w:rPr>
          <w:rFonts w:ascii="Times New Roman" w:hAnsi="Times New Roman"/>
          <w:b w:val="0"/>
          <w:color w:val="auto"/>
          <w:sz w:val="20"/>
          <w:szCs w:val="20"/>
        </w:rPr>
        <w:t>)</w:t>
      </w:r>
      <w:r w:rsidRPr="0033176F">
        <w:rPr>
          <w:rFonts w:ascii="Times New Roman" w:hAnsi="Times New Roman"/>
          <w:b w:val="0"/>
          <w:color w:val="auto"/>
          <w:sz w:val="20"/>
          <w:szCs w:val="20"/>
        </w:rPr>
        <w:t>.</w:t>
      </w:r>
    </w:p>
    <w:p w:rsidR="00782737" w:rsidRDefault="0047540F" w:rsidP="00782737">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007F2DAD">
        <w:rPr>
          <w:rFonts w:ascii="Times New Roman" w:hAnsi="Times New Roman"/>
          <w:sz w:val="24"/>
          <w:szCs w:val="24"/>
        </w:rPr>
        <w:tab/>
      </w:r>
      <w:r w:rsidR="00782737">
        <w:rPr>
          <w:rFonts w:ascii="Times New Roman" w:hAnsi="Times New Roman"/>
          <w:sz w:val="24"/>
          <w:szCs w:val="24"/>
        </w:rPr>
        <w:t xml:space="preserve"> </w:t>
      </w:r>
    </w:p>
    <w:p w:rsidR="009A0D79" w:rsidRDefault="009A0D79" w:rsidP="009A0D79">
      <w:pPr>
        <w:ind w:firstLine="708"/>
        <w:jc w:val="both"/>
        <w:rPr>
          <w:rFonts w:ascii="Times New Roman" w:hAnsi="Times New Roman"/>
          <w:sz w:val="24"/>
          <w:szCs w:val="24"/>
        </w:rPr>
      </w:pPr>
      <w:r>
        <w:rPr>
          <w:rFonts w:ascii="Times New Roman" w:hAnsi="Times New Roman"/>
          <w:sz w:val="24"/>
          <w:szCs w:val="24"/>
        </w:rPr>
        <w:t>A d</w:t>
      </w:r>
      <w:r w:rsidRPr="00D24520">
        <w:rPr>
          <w:rFonts w:ascii="Times New Roman" w:hAnsi="Times New Roman"/>
          <w:sz w:val="24"/>
          <w:szCs w:val="24"/>
        </w:rPr>
        <w:t>eterminação de fenóis e polifenóis</w:t>
      </w:r>
      <w:r>
        <w:rPr>
          <w:rFonts w:ascii="Times New Roman" w:hAnsi="Times New Roman"/>
          <w:sz w:val="24"/>
          <w:szCs w:val="24"/>
        </w:rPr>
        <w:t xml:space="preserve"> presentes numa amostra biológica pode ser feita pela </w:t>
      </w:r>
      <w:r w:rsidRPr="00D24520">
        <w:rPr>
          <w:rFonts w:ascii="Times New Roman" w:hAnsi="Times New Roman"/>
          <w:sz w:val="24"/>
          <w:szCs w:val="24"/>
        </w:rPr>
        <w:t>quantificação espectrométrica de compostos fenólicos</w:t>
      </w:r>
      <w:r>
        <w:rPr>
          <w:rFonts w:ascii="Times New Roman" w:hAnsi="Times New Roman"/>
          <w:sz w:val="24"/>
          <w:szCs w:val="24"/>
        </w:rPr>
        <w:t xml:space="preserve"> através</w:t>
      </w:r>
      <w:r w:rsidRPr="00D24520">
        <w:rPr>
          <w:rFonts w:ascii="Times New Roman" w:hAnsi="Times New Roman"/>
          <w:sz w:val="24"/>
          <w:szCs w:val="24"/>
        </w:rPr>
        <w:t xml:space="preserve"> de uma variedade de técnicas, todavia,</w:t>
      </w:r>
      <w:r>
        <w:rPr>
          <w:rFonts w:ascii="Times New Roman" w:hAnsi="Times New Roman"/>
          <w:sz w:val="24"/>
          <w:szCs w:val="24"/>
        </w:rPr>
        <w:t xml:space="preserve"> a técnica comummente usada utiliza o</w:t>
      </w:r>
      <w:r w:rsidRPr="00D24520">
        <w:rPr>
          <w:rFonts w:ascii="Times New Roman" w:hAnsi="Times New Roman"/>
          <w:sz w:val="24"/>
          <w:szCs w:val="24"/>
        </w:rPr>
        <w:t xml:space="preserve"> reagente de Folin-Ciocalteu</w:t>
      </w:r>
      <w:r>
        <w:rPr>
          <w:rFonts w:ascii="Times New Roman" w:hAnsi="Times New Roman"/>
          <w:sz w:val="24"/>
          <w:szCs w:val="24"/>
        </w:rPr>
        <w:t xml:space="preserve">. O presente reagente consiste numa mistura dos ácidos </w:t>
      </w:r>
      <w:r w:rsidRPr="00D24520">
        <w:rPr>
          <w:rFonts w:ascii="Times New Roman" w:hAnsi="Times New Roman"/>
          <w:sz w:val="24"/>
          <w:szCs w:val="24"/>
        </w:rPr>
        <w:t>fosfomolibídico e fosfotunguístico, no qual o molibdênio e o</w:t>
      </w:r>
      <w:r>
        <w:rPr>
          <w:rFonts w:ascii="Times New Roman" w:hAnsi="Times New Roman"/>
          <w:sz w:val="24"/>
          <w:szCs w:val="24"/>
        </w:rPr>
        <w:t xml:space="preserve"> </w:t>
      </w:r>
      <w:r w:rsidRPr="00D24520">
        <w:rPr>
          <w:rFonts w:ascii="Times New Roman" w:hAnsi="Times New Roman"/>
          <w:sz w:val="24"/>
          <w:szCs w:val="24"/>
        </w:rPr>
        <w:t>tungstênio encontram-se no estado de oxidação 6</w:t>
      </w:r>
      <w:r w:rsidRPr="0060546E">
        <w:rPr>
          <w:rFonts w:ascii="Times New Roman" w:hAnsi="Times New Roman"/>
          <w:sz w:val="24"/>
          <w:szCs w:val="24"/>
          <w:vertAlign w:val="superscript"/>
        </w:rPr>
        <w:t>+</w:t>
      </w:r>
      <w:r>
        <w:rPr>
          <w:rFonts w:ascii="Times New Roman" w:hAnsi="Times New Roman"/>
          <w:sz w:val="24"/>
          <w:szCs w:val="24"/>
        </w:rPr>
        <w:t xml:space="preserve">. No entanto, na presença de </w:t>
      </w:r>
      <w:r w:rsidRPr="00D24520">
        <w:rPr>
          <w:rFonts w:ascii="Times New Roman" w:hAnsi="Times New Roman"/>
          <w:sz w:val="24"/>
          <w:szCs w:val="24"/>
        </w:rPr>
        <w:t>agentes redutores, como os compostos fenólicos,</w:t>
      </w:r>
      <w:r w:rsidRPr="0060546E">
        <w:rPr>
          <w:rFonts w:ascii="Times New Roman" w:hAnsi="Times New Roman"/>
          <w:sz w:val="24"/>
          <w:szCs w:val="24"/>
        </w:rPr>
        <w:t xml:space="preserve"> </w:t>
      </w:r>
      <w:r w:rsidRPr="00D24520">
        <w:rPr>
          <w:rFonts w:ascii="Times New Roman" w:hAnsi="Times New Roman"/>
          <w:sz w:val="24"/>
          <w:szCs w:val="24"/>
        </w:rPr>
        <w:t>formam-se os chamados molibdênio azul e tungstênio azul, nos quais</w:t>
      </w:r>
      <w:r>
        <w:rPr>
          <w:rFonts w:ascii="Times New Roman" w:hAnsi="Times New Roman"/>
          <w:sz w:val="24"/>
          <w:szCs w:val="24"/>
        </w:rPr>
        <w:t xml:space="preserve"> </w:t>
      </w:r>
      <w:r w:rsidRPr="00D24520">
        <w:rPr>
          <w:rFonts w:ascii="Times New Roman" w:hAnsi="Times New Roman"/>
          <w:sz w:val="24"/>
          <w:szCs w:val="24"/>
        </w:rPr>
        <w:t>a média do estado de oxidação dos metais está entre 5 e 6 e cuja</w:t>
      </w:r>
      <w:r>
        <w:rPr>
          <w:rFonts w:ascii="Times New Roman" w:hAnsi="Times New Roman"/>
          <w:sz w:val="24"/>
          <w:szCs w:val="24"/>
        </w:rPr>
        <w:t xml:space="preserve"> </w:t>
      </w:r>
      <w:r w:rsidRPr="00D24520">
        <w:rPr>
          <w:rFonts w:ascii="Times New Roman" w:hAnsi="Times New Roman"/>
          <w:sz w:val="24"/>
          <w:szCs w:val="24"/>
        </w:rPr>
        <w:t>coloração permite a determinação da concentração das substâncias</w:t>
      </w:r>
      <w:r>
        <w:rPr>
          <w:rFonts w:ascii="Times New Roman" w:hAnsi="Times New Roman"/>
          <w:sz w:val="24"/>
          <w:szCs w:val="24"/>
        </w:rPr>
        <w:t xml:space="preserve"> </w:t>
      </w:r>
      <w:r w:rsidRPr="00D24520">
        <w:rPr>
          <w:rFonts w:ascii="Times New Roman" w:hAnsi="Times New Roman"/>
          <w:sz w:val="24"/>
          <w:szCs w:val="24"/>
        </w:rPr>
        <w:t xml:space="preserve">redutoras, que não </w:t>
      </w:r>
      <w:r>
        <w:rPr>
          <w:rFonts w:ascii="Times New Roman" w:hAnsi="Times New Roman"/>
          <w:sz w:val="24"/>
          <w:szCs w:val="24"/>
        </w:rPr>
        <w:t xml:space="preserve">necessitam de possuir uma </w:t>
      </w:r>
      <w:r w:rsidRPr="00D24520">
        <w:rPr>
          <w:rFonts w:ascii="Times New Roman" w:hAnsi="Times New Roman"/>
          <w:sz w:val="24"/>
          <w:szCs w:val="24"/>
        </w:rPr>
        <w:t>natureza fenólica</w:t>
      </w:r>
      <w:r>
        <w:rPr>
          <w:rFonts w:ascii="Times New Roman" w:hAnsi="Times New Roman"/>
          <w:sz w:val="24"/>
          <w:szCs w:val="24"/>
        </w:rPr>
        <w:t xml:space="preserve"> (Sousa </w:t>
      </w:r>
      <w:r w:rsidRPr="0060546E">
        <w:rPr>
          <w:rFonts w:ascii="Times New Roman" w:hAnsi="Times New Roman"/>
          <w:i/>
          <w:sz w:val="24"/>
          <w:szCs w:val="24"/>
        </w:rPr>
        <w:t>et al</w:t>
      </w:r>
      <w:r>
        <w:rPr>
          <w:rFonts w:ascii="Times New Roman" w:hAnsi="Times New Roman"/>
          <w:sz w:val="24"/>
          <w:szCs w:val="24"/>
        </w:rPr>
        <w:t>., 2007).</w:t>
      </w:r>
    </w:p>
    <w:p w:rsidR="00EA1794" w:rsidRDefault="003C1232" w:rsidP="00782737">
      <w:pPr>
        <w:ind w:firstLine="708"/>
        <w:jc w:val="both"/>
        <w:rPr>
          <w:rFonts w:ascii="Times New Roman" w:hAnsi="Times New Roman"/>
          <w:sz w:val="24"/>
          <w:szCs w:val="24"/>
        </w:rPr>
      </w:pPr>
      <w:r>
        <w:rPr>
          <w:rFonts w:ascii="Times New Roman" w:hAnsi="Times New Roman"/>
          <w:sz w:val="24"/>
          <w:szCs w:val="24"/>
        </w:rPr>
        <w:t>O Hidroxitirosol e o T</w:t>
      </w:r>
      <w:r w:rsidR="00684B4B">
        <w:rPr>
          <w:rFonts w:ascii="Times New Roman" w:hAnsi="Times New Roman"/>
          <w:sz w:val="24"/>
          <w:szCs w:val="24"/>
        </w:rPr>
        <w:t>irosol são fenóis simples, e a oleuro</w:t>
      </w:r>
      <w:r w:rsidR="009A0D79">
        <w:rPr>
          <w:rFonts w:ascii="Times New Roman" w:hAnsi="Times New Roman"/>
          <w:sz w:val="24"/>
          <w:szCs w:val="24"/>
        </w:rPr>
        <w:t>peína é um secoiridóide</w:t>
      </w:r>
      <w:r>
        <w:rPr>
          <w:rFonts w:ascii="Times New Roman" w:hAnsi="Times New Roman"/>
          <w:sz w:val="24"/>
          <w:szCs w:val="24"/>
        </w:rPr>
        <w:t>. A hidrólise da O</w:t>
      </w:r>
      <w:r w:rsidR="00684B4B">
        <w:rPr>
          <w:rFonts w:ascii="Times New Roman" w:hAnsi="Times New Roman"/>
          <w:sz w:val="24"/>
          <w:szCs w:val="24"/>
        </w:rPr>
        <w:t xml:space="preserve">leuropeína, que ocorre durante o período de </w:t>
      </w:r>
      <w:r w:rsidR="00684B4B">
        <w:rPr>
          <w:rFonts w:ascii="Times New Roman" w:hAnsi="Times New Roman"/>
          <w:sz w:val="24"/>
          <w:szCs w:val="24"/>
        </w:rPr>
        <w:lastRenderedPageBreak/>
        <w:t xml:space="preserve">armazenamento do azeite, resulta </w:t>
      </w:r>
      <w:r>
        <w:rPr>
          <w:rFonts w:ascii="Times New Roman" w:hAnsi="Times New Roman"/>
          <w:sz w:val="24"/>
          <w:szCs w:val="24"/>
        </w:rPr>
        <w:t>na formação dos fenóis simples Hidroxitirosol e T</w:t>
      </w:r>
      <w:r w:rsidR="00684B4B">
        <w:rPr>
          <w:rFonts w:ascii="Times New Roman" w:hAnsi="Times New Roman"/>
          <w:sz w:val="24"/>
          <w:szCs w:val="24"/>
        </w:rPr>
        <w:t xml:space="preserve">irosol, e ainda de etanol. </w:t>
      </w:r>
      <w:r w:rsidR="00D32E0F">
        <w:rPr>
          <w:rFonts w:ascii="Times New Roman" w:hAnsi="Times New Roman"/>
          <w:sz w:val="24"/>
          <w:szCs w:val="24"/>
        </w:rPr>
        <w:t>Compostos com grupos catecol</w:t>
      </w:r>
      <w:r w:rsidR="008A6559">
        <w:rPr>
          <w:rFonts w:ascii="Times New Roman" w:hAnsi="Times New Roman"/>
          <w:sz w:val="24"/>
          <w:szCs w:val="24"/>
        </w:rPr>
        <w:t xml:space="preserve"> (um anel benzénico ligado a dois grupos hidroxilo - </w:t>
      </w:r>
      <w:r w:rsidR="008A6559" w:rsidRPr="008A6559">
        <w:rPr>
          <w:rFonts w:ascii="Times New Roman" w:hAnsi="Times New Roman"/>
          <w:sz w:val="24"/>
          <w:szCs w:val="24"/>
        </w:rPr>
        <w:t>C</w:t>
      </w:r>
      <w:r w:rsidR="008A6559" w:rsidRPr="008A6559">
        <w:rPr>
          <w:rFonts w:ascii="Times New Roman" w:hAnsi="Times New Roman"/>
          <w:sz w:val="24"/>
          <w:szCs w:val="24"/>
          <w:vertAlign w:val="subscript"/>
        </w:rPr>
        <w:t>6</w:t>
      </w:r>
      <w:r w:rsidR="008A6559" w:rsidRPr="008A6559">
        <w:rPr>
          <w:rFonts w:ascii="Times New Roman" w:hAnsi="Times New Roman"/>
          <w:sz w:val="24"/>
          <w:szCs w:val="24"/>
        </w:rPr>
        <w:t>H</w:t>
      </w:r>
      <w:r w:rsidR="008A6559" w:rsidRPr="008A6559">
        <w:rPr>
          <w:rFonts w:ascii="Times New Roman" w:hAnsi="Times New Roman"/>
          <w:sz w:val="24"/>
          <w:szCs w:val="24"/>
          <w:vertAlign w:val="subscript"/>
        </w:rPr>
        <w:t>6</w:t>
      </w:r>
      <w:r w:rsidR="008A6559" w:rsidRPr="008A6559">
        <w:rPr>
          <w:rFonts w:ascii="Times New Roman" w:hAnsi="Times New Roman"/>
          <w:sz w:val="24"/>
          <w:szCs w:val="24"/>
        </w:rPr>
        <w:t>O</w:t>
      </w:r>
      <w:r w:rsidR="008A6559" w:rsidRPr="008A6559">
        <w:rPr>
          <w:rFonts w:ascii="Times New Roman" w:hAnsi="Times New Roman"/>
          <w:sz w:val="24"/>
          <w:szCs w:val="24"/>
          <w:vertAlign w:val="subscript"/>
        </w:rPr>
        <w:t>2</w:t>
      </w:r>
      <w:r w:rsidR="008A6559">
        <w:rPr>
          <w:rFonts w:ascii="Times New Roman" w:hAnsi="Times New Roman"/>
          <w:sz w:val="24"/>
          <w:szCs w:val="24"/>
        </w:rPr>
        <w:t>)</w:t>
      </w:r>
      <w:r w:rsidR="00D32E0F">
        <w:rPr>
          <w:rFonts w:ascii="Times New Roman" w:hAnsi="Times New Roman"/>
          <w:sz w:val="24"/>
          <w:szCs w:val="24"/>
        </w:rPr>
        <w:t xml:space="preserve"> exibem actividade antioxidante, estes grupos conseguem estabilizar radicais livres através da formação de pontes de hidrogénio in</w:t>
      </w:r>
      <w:r w:rsidR="006149AF">
        <w:rPr>
          <w:rFonts w:ascii="Times New Roman" w:hAnsi="Times New Roman"/>
          <w:sz w:val="24"/>
          <w:szCs w:val="24"/>
        </w:rPr>
        <w:t>t</w:t>
      </w:r>
      <w:r w:rsidR="00D32E0F">
        <w:rPr>
          <w:rFonts w:ascii="Times New Roman" w:hAnsi="Times New Roman"/>
          <w:sz w:val="24"/>
          <w:szCs w:val="24"/>
        </w:rPr>
        <w:t>ramoleculares. Dos três f</w:t>
      </w:r>
      <w:r>
        <w:rPr>
          <w:rFonts w:ascii="Times New Roman" w:hAnsi="Times New Roman"/>
          <w:sz w:val="24"/>
          <w:szCs w:val="24"/>
        </w:rPr>
        <w:t>enóis principais do azeite, o H</w:t>
      </w:r>
      <w:r w:rsidR="00D32E0F">
        <w:rPr>
          <w:rFonts w:ascii="Times New Roman" w:hAnsi="Times New Roman"/>
          <w:sz w:val="24"/>
          <w:szCs w:val="24"/>
        </w:rPr>
        <w:t>idroxitiro</w:t>
      </w:r>
      <w:r w:rsidR="00F74A3D">
        <w:rPr>
          <w:rFonts w:ascii="Times New Roman" w:hAnsi="Times New Roman"/>
          <w:sz w:val="24"/>
          <w:szCs w:val="24"/>
        </w:rPr>
        <w:t>s</w:t>
      </w:r>
      <w:r>
        <w:rPr>
          <w:rFonts w:ascii="Times New Roman" w:hAnsi="Times New Roman"/>
          <w:sz w:val="24"/>
          <w:szCs w:val="24"/>
        </w:rPr>
        <w:t>ol e a O</w:t>
      </w:r>
      <w:r w:rsidR="00D32E0F">
        <w:rPr>
          <w:rFonts w:ascii="Times New Roman" w:hAnsi="Times New Roman"/>
          <w:sz w:val="24"/>
          <w:szCs w:val="24"/>
        </w:rPr>
        <w:t>leuropeína possuem grupos</w:t>
      </w:r>
      <w:r w:rsidR="007C6823">
        <w:rPr>
          <w:rFonts w:ascii="Times New Roman" w:hAnsi="Times New Roman"/>
          <w:sz w:val="24"/>
          <w:szCs w:val="24"/>
        </w:rPr>
        <w:t xml:space="preserve"> cateco</w:t>
      </w:r>
      <w:r w:rsidR="006149AF">
        <w:rPr>
          <w:rFonts w:ascii="Times New Roman" w:hAnsi="Times New Roman"/>
          <w:sz w:val="24"/>
          <w:szCs w:val="24"/>
        </w:rPr>
        <w:t>l</w:t>
      </w:r>
      <w:r w:rsidR="00721344">
        <w:rPr>
          <w:rFonts w:ascii="Times New Roman" w:hAnsi="Times New Roman"/>
          <w:sz w:val="24"/>
          <w:szCs w:val="24"/>
        </w:rPr>
        <w:t xml:space="preserve"> (Waterman </w:t>
      </w:r>
      <w:r w:rsidR="00721344" w:rsidRPr="008D5E08">
        <w:rPr>
          <w:rFonts w:ascii="Times New Roman" w:hAnsi="Times New Roman"/>
          <w:i/>
          <w:sz w:val="24"/>
          <w:szCs w:val="24"/>
        </w:rPr>
        <w:t>et al</w:t>
      </w:r>
      <w:r w:rsidR="00721344">
        <w:rPr>
          <w:rFonts w:ascii="Times New Roman" w:hAnsi="Times New Roman"/>
          <w:sz w:val="24"/>
          <w:szCs w:val="24"/>
        </w:rPr>
        <w:t>., 2007).</w:t>
      </w:r>
      <w:r w:rsidR="00D32E0F">
        <w:rPr>
          <w:rFonts w:ascii="Times New Roman" w:hAnsi="Times New Roman"/>
          <w:sz w:val="24"/>
          <w:szCs w:val="24"/>
        </w:rPr>
        <w:t xml:space="preserve"> </w:t>
      </w:r>
    </w:p>
    <w:p w:rsidR="00A31C81" w:rsidRDefault="003C1232" w:rsidP="002F6C67">
      <w:pPr>
        <w:jc w:val="both"/>
        <w:rPr>
          <w:rFonts w:ascii="Times New Roman" w:hAnsi="Times New Roman"/>
          <w:sz w:val="24"/>
          <w:szCs w:val="24"/>
        </w:rPr>
      </w:pPr>
      <w:r>
        <w:rPr>
          <w:rFonts w:ascii="Times New Roman" w:hAnsi="Times New Roman"/>
          <w:sz w:val="24"/>
          <w:szCs w:val="24"/>
        </w:rPr>
        <w:tab/>
        <w:t>O Hidroxitirosol e a O</w:t>
      </w:r>
      <w:r w:rsidR="00134DE9">
        <w:rPr>
          <w:rFonts w:ascii="Times New Roman" w:hAnsi="Times New Roman"/>
          <w:sz w:val="24"/>
          <w:szCs w:val="24"/>
        </w:rPr>
        <w:t>leu</w:t>
      </w:r>
      <w:r w:rsidR="007706B9">
        <w:rPr>
          <w:rFonts w:ascii="Times New Roman" w:hAnsi="Times New Roman"/>
          <w:sz w:val="24"/>
          <w:szCs w:val="24"/>
        </w:rPr>
        <w:t>ropeína</w:t>
      </w:r>
      <w:r w:rsidR="00134DE9">
        <w:rPr>
          <w:rFonts w:ascii="Times New Roman" w:hAnsi="Times New Roman"/>
          <w:sz w:val="24"/>
          <w:szCs w:val="24"/>
        </w:rPr>
        <w:t xml:space="preserve"> </w:t>
      </w:r>
      <w:r w:rsidR="007706B9">
        <w:rPr>
          <w:rFonts w:ascii="Times New Roman" w:hAnsi="Times New Roman"/>
          <w:sz w:val="24"/>
          <w:szCs w:val="24"/>
        </w:rPr>
        <w:t>reduzem uma variedade de radicais livres endógenos</w:t>
      </w:r>
      <w:r w:rsidR="00721344">
        <w:rPr>
          <w:rFonts w:ascii="Times New Roman" w:hAnsi="Times New Roman"/>
          <w:sz w:val="24"/>
          <w:szCs w:val="24"/>
        </w:rPr>
        <w:t xml:space="preserve"> e</w:t>
      </w:r>
      <w:r w:rsidR="007706B9">
        <w:rPr>
          <w:rFonts w:ascii="Times New Roman" w:hAnsi="Times New Roman"/>
          <w:sz w:val="24"/>
          <w:szCs w:val="24"/>
        </w:rPr>
        <w:t xml:space="preserve"> </w:t>
      </w:r>
      <w:r w:rsidR="00721344">
        <w:rPr>
          <w:rFonts w:ascii="Times New Roman" w:hAnsi="Times New Roman"/>
          <w:sz w:val="24"/>
          <w:szCs w:val="24"/>
        </w:rPr>
        <w:t>exógenos</w:t>
      </w:r>
      <w:r w:rsidR="00136B0C">
        <w:rPr>
          <w:rFonts w:ascii="Times New Roman" w:hAnsi="Times New Roman"/>
          <w:sz w:val="24"/>
          <w:szCs w:val="24"/>
        </w:rPr>
        <w:t>, exercendo uma acção bioprotectora no organismo</w:t>
      </w:r>
      <w:r w:rsidR="00721344">
        <w:rPr>
          <w:rFonts w:ascii="Times New Roman" w:hAnsi="Times New Roman"/>
          <w:sz w:val="24"/>
          <w:szCs w:val="24"/>
        </w:rPr>
        <w:t>.</w:t>
      </w:r>
      <w:r w:rsidR="007706B9">
        <w:rPr>
          <w:rFonts w:ascii="Times New Roman" w:hAnsi="Times New Roman"/>
          <w:sz w:val="24"/>
          <w:szCs w:val="24"/>
        </w:rPr>
        <w:t xml:space="preserve"> A actividade destes dois fenóis demonstra ser dose dependente, e são considerados compostos antioxidantes muito potentes com actividade </w:t>
      </w:r>
      <w:r w:rsidR="00A77DBB">
        <w:rPr>
          <w:rFonts w:ascii="Times New Roman" w:hAnsi="Times New Roman"/>
          <w:sz w:val="24"/>
          <w:szCs w:val="24"/>
        </w:rPr>
        <w:t xml:space="preserve">biológica </w:t>
      </w:r>
      <w:r w:rsidR="007706B9">
        <w:rPr>
          <w:rFonts w:ascii="Times New Roman" w:hAnsi="Times New Roman"/>
          <w:sz w:val="24"/>
          <w:szCs w:val="24"/>
        </w:rPr>
        <w:t xml:space="preserve">a uma escala micro molar. </w:t>
      </w:r>
      <w:r w:rsidR="00721344">
        <w:rPr>
          <w:rFonts w:ascii="Times New Roman" w:hAnsi="Times New Roman"/>
          <w:sz w:val="24"/>
          <w:szCs w:val="24"/>
        </w:rPr>
        <w:t>Um dos mecanismos associado ao efeito anti</w:t>
      </w:r>
      <w:r w:rsidR="00217F0A">
        <w:rPr>
          <w:rFonts w:ascii="Times New Roman" w:hAnsi="Times New Roman"/>
          <w:sz w:val="24"/>
          <w:szCs w:val="24"/>
        </w:rPr>
        <w:t>-</w:t>
      </w:r>
      <w:r w:rsidR="00721344">
        <w:rPr>
          <w:rFonts w:ascii="Times New Roman" w:hAnsi="Times New Roman"/>
          <w:sz w:val="24"/>
          <w:szCs w:val="24"/>
        </w:rPr>
        <w:t xml:space="preserve">cancerígeno do </w:t>
      </w:r>
      <w:r>
        <w:rPr>
          <w:rFonts w:ascii="Times New Roman" w:hAnsi="Times New Roman"/>
          <w:sz w:val="24"/>
          <w:szCs w:val="24"/>
        </w:rPr>
        <w:t>Hidroxitirosol e da O</w:t>
      </w:r>
      <w:r w:rsidR="00721344">
        <w:rPr>
          <w:rFonts w:ascii="Times New Roman" w:hAnsi="Times New Roman"/>
          <w:sz w:val="24"/>
          <w:szCs w:val="24"/>
        </w:rPr>
        <w:t xml:space="preserve">leuropeína, é a prevenção de danos no </w:t>
      </w:r>
      <w:r>
        <w:rPr>
          <w:rFonts w:ascii="Times New Roman" w:hAnsi="Times New Roman"/>
          <w:sz w:val="24"/>
          <w:szCs w:val="24"/>
        </w:rPr>
        <w:t>Ácido D</w:t>
      </w:r>
      <w:r w:rsidR="00F1584F">
        <w:rPr>
          <w:rFonts w:ascii="Times New Roman" w:hAnsi="Times New Roman"/>
          <w:sz w:val="24"/>
          <w:szCs w:val="24"/>
        </w:rPr>
        <w:t>esoxirribonucleico (</w:t>
      </w:r>
      <w:r w:rsidR="00721344">
        <w:rPr>
          <w:rFonts w:ascii="Times New Roman" w:hAnsi="Times New Roman"/>
          <w:sz w:val="24"/>
          <w:szCs w:val="24"/>
        </w:rPr>
        <w:t>ADN</w:t>
      </w:r>
      <w:r w:rsidR="00F1584F">
        <w:rPr>
          <w:rFonts w:ascii="Times New Roman" w:hAnsi="Times New Roman"/>
          <w:sz w:val="24"/>
          <w:szCs w:val="24"/>
        </w:rPr>
        <w:t>)</w:t>
      </w:r>
      <w:r w:rsidR="00721344">
        <w:rPr>
          <w:rFonts w:ascii="Times New Roman" w:hAnsi="Times New Roman"/>
          <w:sz w:val="24"/>
          <w:szCs w:val="24"/>
        </w:rPr>
        <w:t>, q</w:t>
      </w:r>
      <w:r w:rsidR="00B2622A">
        <w:rPr>
          <w:rFonts w:ascii="Times New Roman" w:hAnsi="Times New Roman"/>
          <w:sz w:val="24"/>
          <w:szCs w:val="24"/>
        </w:rPr>
        <w:t>ue pode prevenir fenómenos de mu</w:t>
      </w:r>
      <w:r w:rsidR="00721344">
        <w:rPr>
          <w:rFonts w:ascii="Times New Roman" w:hAnsi="Times New Roman"/>
          <w:sz w:val="24"/>
          <w:szCs w:val="24"/>
        </w:rPr>
        <w:t>tagénese e carcinogénese</w:t>
      </w:r>
      <w:r w:rsidR="00F96CFD">
        <w:rPr>
          <w:rFonts w:ascii="Times New Roman" w:hAnsi="Times New Roman"/>
          <w:sz w:val="24"/>
          <w:szCs w:val="24"/>
        </w:rPr>
        <w:t xml:space="preserve"> (Waterman </w:t>
      </w:r>
      <w:r w:rsidR="00F96CFD" w:rsidRPr="008D5E08">
        <w:rPr>
          <w:rFonts w:ascii="Times New Roman" w:hAnsi="Times New Roman"/>
          <w:i/>
          <w:sz w:val="24"/>
          <w:szCs w:val="24"/>
        </w:rPr>
        <w:t>et al</w:t>
      </w:r>
      <w:r w:rsidR="00F96CFD">
        <w:rPr>
          <w:rFonts w:ascii="Times New Roman" w:hAnsi="Times New Roman"/>
          <w:sz w:val="24"/>
          <w:szCs w:val="24"/>
        </w:rPr>
        <w:t>., 2007)</w:t>
      </w:r>
      <w:r w:rsidR="002F6C67">
        <w:rPr>
          <w:rFonts w:ascii="Times New Roman" w:hAnsi="Times New Roman"/>
          <w:sz w:val="24"/>
          <w:szCs w:val="24"/>
        </w:rPr>
        <w:t>.</w:t>
      </w:r>
    </w:p>
    <w:p w:rsidR="00A31C81" w:rsidRDefault="00A77DBB" w:rsidP="002F6C67">
      <w:pPr>
        <w:jc w:val="both"/>
        <w:rPr>
          <w:rFonts w:ascii="Times New Roman" w:hAnsi="Times New Roman"/>
          <w:sz w:val="24"/>
          <w:szCs w:val="24"/>
        </w:rPr>
      </w:pPr>
      <w:r>
        <w:rPr>
          <w:rFonts w:ascii="Times New Roman" w:hAnsi="Times New Roman"/>
          <w:sz w:val="24"/>
          <w:szCs w:val="24"/>
        </w:rPr>
        <w:tab/>
      </w:r>
    </w:p>
    <w:p w:rsidR="00A31C81" w:rsidRPr="00BF57D0" w:rsidRDefault="00A31C81" w:rsidP="00A33698">
      <w:pPr>
        <w:pStyle w:val="PargrafodaLista"/>
        <w:numPr>
          <w:ilvl w:val="1"/>
          <w:numId w:val="38"/>
        </w:numPr>
        <w:spacing w:after="0"/>
        <w:rPr>
          <w:rFonts w:ascii="Times New Roman" w:hAnsi="Times New Roman"/>
          <w:b/>
          <w:sz w:val="28"/>
          <w:szCs w:val="28"/>
        </w:rPr>
      </w:pPr>
      <w:r w:rsidRPr="00BF57D0">
        <w:rPr>
          <w:rFonts w:ascii="Times New Roman" w:hAnsi="Times New Roman"/>
          <w:b/>
          <w:sz w:val="28"/>
          <w:szCs w:val="28"/>
        </w:rPr>
        <w:t>Hidroxitirosol: um antioxidante natural do azeite</w:t>
      </w:r>
    </w:p>
    <w:p w:rsidR="00A31C81" w:rsidRDefault="00A31C81" w:rsidP="00A31C81">
      <w:pPr>
        <w:jc w:val="both"/>
        <w:rPr>
          <w:rFonts w:ascii="Times New Roman" w:hAnsi="Times New Roman"/>
          <w:sz w:val="24"/>
          <w:szCs w:val="24"/>
        </w:rPr>
      </w:pPr>
    </w:p>
    <w:p w:rsidR="00A31C81" w:rsidRDefault="00A31C81" w:rsidP="00A31C81">
      <w:pPr>
        <w:jc w:val="both"/>
        <w:rPr>
          <w:rFonts w:ascii="Times New Roman" w:hAnsi="Times New Roman"/>
          <w:sz w:val="24"/>
          <w:szCs w:val="24"/>
        </w:rPr>
      </w:pPr>
      <w:r>
        <w:rPr>
          <w:rFonts w:ascii="Times New Roman" w:hAnsi="Times New Roman"/>
          <w:sz w:val="24"/>
          <w:szCs w:val="24"/>
        </w:rPr>
        <w:tab/>
        <w:t>O Hidroxitirosol [(3,4-dihidroxifenil)etanol] de fórmula molecular C</w:t>
      </w:r>
      <w:r w:rsidRPr="001A7A80">
        <w:rPr>
          <w:rFonts w:ascii="Times New Roman" w:hAnsi="Times New Roman"/>
          <w:sz w:val="24"/>
          <w:szCs w:val="24"/>
          <w:vertAlign w:val="subscript"/>
        </w:rPr>
        <w:t>8</w:t>
      </w:r>
      <w:r>
        <w:rPr>
          <w:rFonts w:ascii="Times New Roman" w:hAnsi="Times New Roman"/>
          <w:sz w:val="24"/>
          <w:szCs w:val="24"/>
        </w:rPr>
        <w:t>H</w:t>
      </w:r>
      <w:r w:rsidRPr="001A7A80">
        <w:rPr>
          <w:rFonts w:ascii="Times New Roman" w:hAnsi="Times New Roman"/>
          <w:sz w:val="24"/>
          <w:szCs w:val="24"/>
          <w:vertAlign w:val="subscript"/>
        </w:rPr>
        <w:t>10</w:t>
      </w:r>
      <w:r>
        <w:rPr>
          <w:rFonts w:ascii="Times New Roman" w:hAnsi="Times New Roman"/>
          <w:sz w:val="24"/>
          <w:szCs w:val="24"/>
        </w:rPr>
        <w:t>O</w:t>
      </w:r>
      <w:r w:rsidRPr="001A7A80">
        <w:rPr>
          <w:rFonts w:ascii="Times New Roman" w:hAnsi="Times New Roman"/>
          <w:sz w:val="24"/>
          <w:szCs w:val="24"/>
          <w:vertAlign w:val="subscript"/>
        </w:rPr>
        <w:t>3</w:t>
      </w:r>
      <w:r w:rsidR="009A0D79">
        <w:rPr>
          <w:rFonts w:ascii="Times New Roman" w:hAnsi="Times New Roman"/>
          <w:sz w:val="24"/>
          <w:szCs w:val="24"/>
        </w:rPr>
        <w:t xml:space="preserve"> (Figura 5)</w:t>
      </w:r>
      <w:r>
        <w:rPr>
          <w:rFonts w:ascii="Times New Roman" w:hAnsi="Times New Roman"/>
          <w:sz w:val="24"/>
          <w:szCs w:val="24"/>
        </w:rPr>
        <w:t xml:space="preserve">, é um análogo de ácido fenólico, e um dos principais compostos fenólicos naturais presentes na azeitona, no azeite extra virgem, e nos resíduos e subprodutos resultantes da extracção de azeite, </w:t>
      </w:r>
      <w:r w:rsidR="009A0D79">
        <w:rPr>
          <w:rFonts w:ascii="Times New Roman" w:hAnsi="Times New Roman"/>
          <w:sz w:val="24"/>
          <w:szCs w:val="24"/>
        </w:rPr>
        <w:t>sendo</w:t>
      </w:r>
      <w:r>
        <w:rPr>
          <w:rFonts w:ascii="Times New Roman" w:hAnsi="Times New Roman"/>
          <w:sz w:val="24"/>
          <w:szCs w:val="24"/>
        </w:rPr>
        <w:t xml:space="preserve"> um dos </w:t>
      </w:r>
      <w:r w:rsidR="009A0D79">
        <w:rPr>
          <w:rFonts w:ascii="Times New Roman" w:hAnsi="Times New Roman"/>
          <w:sz w:val="24"/>
          <w:szCs w:val="24"/>
        </w:rPr>
        <w:t xml:space="preserve">compostos </w:t>
      </w:r>
      <w:r>
        <w:rPr>
          <w:rFonts w:ascii="Times New Roman" w:hAnsi="Times New Roman"/>
          <w:sz w:val="24"/>
          <w:szCs w:val="24"/>
        </w:rPr>
        <w:t xml:space="preserve">responsáveis pelas suas propriedades antioxidantes (Romero </w:t>
      </w:r>
      <w:r w:rsidRPr="000D363B">
        <w:rPr>
          <w:rFonts w:ascii="Times New Roman" w:hAnsi="Times New Roman"/>
          <w:i/>
          <w:sz w:val="24"/>
          <w:szCs w:val="24"/>
        </w:rPr>
        <w:t>et al</w:t>
      </w:r>
      <w:r>
        <w:rPr>
          <w:rFonts w:ascii="Times New Roman" w:hAnsi="Times New Roman"/>
          <w:sz w:val="24"/>
          <w:szCs w:val="24"/>
        </w:rPr>
        <w:t xml:space="preserve">., 2002; D’Angelo </w:t>
      </w:r>
      <w:r w:rsidRPr="000D363B">
        <w:rPr>
          <w:rFonts w:ascii="Times New Roman" w:hAnsi="Times New Roman"/>
          <w:i/>
          <w:sz w:val="24"/>
          <w:szCs w:val="24"/>
        </w:rPr>
        <w:t>et al</w:t>
      </w:r>
      <w:r>
        <w:rPr>
          <w:rFonts w:ascii="Times New Roman" w:hAnsi="Times New Roman"/>
          <w:sz w:val="24"/>
          <w:szCs w:val="24"/>
        </w:rPr>
        <w:t xml:space="preserve">., 2005; Huang </w:t>
      </w:r>
      <w:r w:rsidRPr="000D363B">
        <w:rPr>
          <w:rFonts w:ascii="Times New Roman" w:hAnsi="Times New Roman"/>
          <w:i/>
          <w:sz w:val="24"/>
          <w:szCs w:val="24"/>
        </w:rPr>
        <w:t>et al</w:t>
      </w:r>
      <w:r>
        <w:rPr>
          <w:rFonts w:ascii="Times New Roman" w:hAnsi="Times New Roman"/>
          <w:sz w:val="24"/>
          <w:szCs w:val="24"/>
        </w:rPr>
        <w:t>., 2010). Além ser um componente natural do azeite, o Hidroxitirosol é t</w:t>
      </w:r>
      <w:r w:rsidR="00D8395A">
        <w:rPr>
          <w:rFonts w:ascii="Times New Roman" w:hAnsi="Times New Roman"/>
          <w:sz w:val="24"/>
          <w:szCs w:val="24"/>
        </w:rPr>
        <w:t xml:space="preserve">ambém um metabolito da dopamina, e possui um tamanho molecular de 154,16Da </w:t>
      </w:r>
      <w:r>
        <w:rPr>
          <w:rFonts w:ascii="Times New Roman" w:hAnsi="Times New Roman"/>
          <w:sz w:val="24"/>
          <w:szCs w:val="24"/>
        </w:rPr>
        <w:t xml:space="preserve">(D’Angelo </w:t>
      </w:r>
      <w:r w:rsidRPr="000D363B">
        <w:rPr>
          <w:rFonts w:ascii="Times New Roman" w:hAnsi="Times New Roman"/>
          <w:i/>
          <w:sz w:val="24"/>
          <w:szCs w:val="24"/>
        </w:rPr>
        <w:t>et al</w:t>
      </w:r>
      <w:r>
        <w:rPr>
          <w:rFonts w:ascii="Times New Roman" w:hAnsi="Times New Roman"/>
          <w:sz w:val="24"/>
          <w:szCs w:val="24"/>
        </w:rPr>
        <w:t xml:space="preserve">., 2005). O presente composto fenólico é hidrossolúvel e lipossolúvel, e pode ser encontrado como um fenol simples, ou esterificado com o </w:t>
      </w:r>
      <w:r w:rsidRPr="0060546E">
        <w:rPr>
          <w:rFonts w:ascii="Times New Roman" w:hAnsi="Times New Roman"/>
          <w:sz w:val="24"/>
          <w:szCs w:val="24"/>
        </w:rPr>
        <w:t>ácido elenóico</w:t>
      </w:r>
      <w:r w:rsidR="003C1232">
        <w:rPr>
          <w:rFonts w:ascii="Times New Roman" w:hAnsi="Times New Roman"/>
          <w:sz w:val="24"/>
          <w:szCs w:val="24"/>
        </w:rPr>
        <w:t xml:space="preserve"> para formar a O</w:t>
      </w:r>
      <w:r>
        <w:rPr>
          <w:rFonts w:ascii="Times New Roman" w:hAnsi="Times New Roman"/>
          <w:sz w:val="24"/>
          <w:szCs w:val="24"/>
        </w:rPr>
        <w:t xml:space="preserve">leuropeína e a sua </w:t>
      </w:r>
      <w:r w:rsidRPr="0060546E">
        <w:rPr>
          <w:rFonts w:ascii="Times New Roman" w:hAnsi="Times New Roman"/>
          <w:sz w:val="24"/>
          <w:szCs w:val="24"/>
        </w:rPr>
        <w:t>aglicona,</w:t>
      </w:r>
      <w:r>
        <w:rPr>
          <w:rFonts w:ascii="Times New Roman" w:hAnsi="Times New Roman"/>
          <w:color w:val="FF0000"/>
          <w:sz w:val="24"/>
          <w:szCs w:val="24"/>
        </w:rPr>
        <w:t xml:space="preserve"> </w:t>
      </w:r>
      <w:r w:rsidRPr="00881F8C">
        <w:rPr>
          <w:rFonts w:ascii="Times New Roman" w:hAnsi="Times New Roman"/>
          <w:sz w:val="24"/>
          <w:szCs w:val="24"/>
        </w:rPr>
        <w:t xml:space="preserve">e como parte da molécula de </w:t>
      </w:r>
      <w:r w:rsidRPr="00B630A3">
        <w:rPr>
          <w:rFonts w:ascii="Times New Roman" w:hAnsi="Times New Roman"/>
          <w:sz w:val="24"/>
          <w:szCs w:val="24"/>
        </w:rPr>
        <w:t>verbascosido.</w:t>
      </w:r>
      <w:r>
        <w:rPr>
          <w:rFonts w:ascii="Times New Roman" w:hAnsi="Times New Roman"/>
          <w:color w:val="FF0000"/>
          <w:sz w:val="24"/>
          <w:szCs w:val="24"/>
        </w:rPr>
        <w:t xml:space="preserve"> </w:t>
      </w:r>
      <w:r>
        <w:rPr>
          <w:rFonts w:ascii="Times New Roman" w:hAnsi="Times New Roman"/>
          <w:sz w:val="24"/>
          <w:szCs w:val="24"/>
        </w:rPr>
        <w:t xml:space="preserve">A sua estrutura molecular </w:t>
      </w:r>
      <w:r w:rsidR="003C1232">
        <w:rPr>
          <w:rFonts w:ascii="Times New Roman" w:hAnsi="Times New Roman"/>
          <w:sz w:val="24"/>
          <w:szCs w:val="24"/>
        </w:rPr>
        <w:t>é muito semelhante ao composto T</w:t>
      </w:r>
      <w:r>
        <w:rPr>
          <w:rFonts w:ascii="Times New Roman" w:hAnsi="Times New Roman"/>
          <w:sz w:val="24"/>
          <w:szCs w:val="24"/>
        </w:rPr>
        <w:t xml:space="preserve">irosol, onde neste último em vez dois radicais hidroxilo ligados ao anel aromático, encontra-se apenas um (Figura 5). </w:t>
      </w:r>
      <w:r w:rsidRPr="00881F8C">
        <w:rPr>
          <w:rFonts w:ascii="Times New Roman" w:hAnsi="Times New Roman"/>
          <w:sz w:val="24"/>
          <w:szCs w:val="24"/>
        </w:rPr>
        <w:t>Bianco</w:t>
      </w:r>
      <w:r>
        <w:rPr>
          <w:rFonts w:ascii="Times New Roman" w:hAnsi="Times New Roman"/>
          <w:color w:val="FF0000"/>
          <w:sz w:val="24"/>
          <w:szCs w:val="24"/>
        </w:rPr>
        <w:t xml:space="preserve"> </w:t>
      </w:r>
      <w:r w:rsidRPr="00881F8C">
        <w:rPr>
          <w:rFonts w:ascii="Times New Roman" w:hAnsi="Times New Roman"/>
          <w:i/>
          <w:sz w:val="24"/>
          <w:szCs w:val="24"/>
        </w:rPr>
        <w:t>et al</w:t>
      </w:r>
      <w:r w:rsidRPr="00881F8C">
        <w:rPr>
          <w:rFonts w:ascii="Times New Roman" w:hAnsi="Times New Roman"/>
          <w:sz w:val="24"/>
          <w:szCs w:val="24"/>
        </w:rPr>
        <w:t>. identificou três difer</w:t>
      </w:r>
      <w:r>
        <w:rPr>
          <w:rFonts w:ascii="Times New Roman" w:hAnsi="Times New Roman"/>
          <w:sz w:val="24"/>
          <w:szCs w:val="24"/>
        </w:rPr>
        <w:t>entes glu</w:t>
      </w:r>
      <w:r w:rsidR="003C1232">
        <w:rPr>
          <w:rFonts w:ascii="Times New Roman" w:hAnsi="Times New Roman"/>
          <w:sz w:val="24"/>
          <w:szCs w:val="24"/>
        </w:rPr>
        <w:t>cósidos do H</w:t>
      </w:r>
      <w:r w:rsidRPr="00881F8C">
        <w:rPr>
          <w:rFonts w:ascii="Times New Roman" w:hAnsi="Times New Roman"/>
          <w:sz w:val="24"/>
          <w:szCs w:val="24"/>
        </w:rPr>
        <w:t>idroxitiros</w:t>
      </w:r>
      <w:r>
        <w:rPr>
          <w:rFonts w:ascii="Times New Roman" w:hAnsi="Times New Roman"/>
          <w:sz w:val="24"/>
          <w:szCs w:val="24"/>
        </w:rPr>
        <w:t xml:space="preserve">ol em azeitonas e no azeite, diferenciando-se os três de acordo com o grupo hidroxilo a que a molécula de glicose se encontra ligada (Romero, </w:t>
      </w:r>
      <w:r w:rsidRPr="000D363B">
        <w:rPr>
          <w:rFonts w:ascii="Times New Roman" w:hAnsi="Times New Roman"/>
          <w:i/>
          <w:sz w:val="24"/>
          <w:szCs w:val="24"/>
        </w:rPr>
        <w:t>et al</w:t>
      </w:r>
      <w:r>
        <w:rPr>
          <w:rFonts w:ascii="Times New Roman" w:hAnsi="Times New Roman"/>
          <w:sz w:val="24"/>
          <w:szCs w:val="24"/>
        </w:rPr>
        <w:t xml:space="preserve">., 2002; D’Angelo </w:t>
      </w:r>
      <w:r w:rsidRPr="000D363B">
        <w:rPr>
          <w:rFonts w:ascii="Times New Roman" w:hAnsi="Times New Roman"/>
          <w:i/>
          <w:sz w:val="24"/>
          <w:szCs w:val="24"/>
        </w:rPr>
        <w:t>et al</w:t>
      </w:r>
      <w:r>
        <w:rPr>
          <w:rFonts w:ascii="Times New Roman" w:hAnsi="Times New Roman"/>
          <w:sz w:val="24"/>
          <w:szCs w:val="24"/>
        </w:rPr>
        <w:t xml:space="preserve">., 2001). </w:t>
      </w:r>
    </w:p>
    <w:p w:rsidR="00A31C81" w:rsidRDefault="00A31C81" w:rsidP="00A31C81">
      <w:pPr>
        <w:keepNext/>
        <w:jc w:val="center"/>
      </w:pPr>
      <w:r>
        <w:rPr>
          <w:rFonts w:ascii="Times New Roman" w:hAnsi="Times New Roman"/>
          <w:noProof/>
          <w:sz w:val="24"/>
          <w:szCs w:val="24"/>
          <w:lang w:eastAsia="pt-PT"/>
        </w:rPr>
        <w:drawing>
          <wp:inline distT="0" distB="0" distL="0" distR="0">
            <wp:extent cx="2822713" cy="1017767"/>
            <wp:effectExtent l="57150" t="19050" r="110987" b="68083"/>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20000"/>
                    </a:blip>
                    <a:srcRect l="2097" t="4478"/>
                    <a:stretch>
                      <a:fillRect/>
                    </a:stretch>
                  </pic:blipFill>
                  <pic:spPr bwMode="auto">
                    <a:xfrm>
                      <a:off x="0" y="0"/>
                      <a:ext cx="2822713" cy="1017767"/>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31C81" w:rsidRDefault="00A31C81" w:rsidP="00A31C81">
      <w:pPr>
        <w:keepNext/>
        <w:spacing w:after="0" w:line="240" w:lineRule="auto"/>
        <w:jc w:val="center"/>
      </w:pPr>
    </w:p>
    <w:p w:rsidR="00A31C81" w:rsidRPr="003F7356" w:rsidRDefault="00A31C81" w:rsidP="00A31C81">
      <w:pPr>
        <w:pStyle w:val="Legenda"/>
        <w:spacing w:after="0"/>
        <w:jc w:val="center"/>
        <w:rPr>
          <w:rFonts w:ascii="Times New Roman" w:hAnsi="Times New Roman"/>
          <w:b w:val="0"/>
          <w:color w:val="auto"/>
          <w:sz w:val="28"/>
          <w:szCs w:val="24"/>
        </w:rPr>
      </w:pPr>
      <w:r w:rsidRPr="003F7356">
        <w:rPr>
          <w:rFonts w:ascii="Times New Roman" w:hAnsi="Times New Roman"/>
          <w:sz w:val="20"/>
        </w:rPr>
        <w:t xml:space="preserve">Figura </w:t>
      </w:r>
      <w:r w:rsidR="00EC7637">
        <w:rPr>
          <w:rFonts w:ascii="Times New Roman" w:hAnsi="Times New Roman"/>
          <w:sz w:val="20"/>
        </w:rPr>
        <w:t>5</w:t>
      </w:r>
      <w:r w:rsidRPr="003F7356">
        <w:rPr>
          <w:rFonts w:ascii="Times New Roman" w:hAnsi="Times New Roman"/>
          <w:sz w:val="20"/>
        </w:rPr>
        <w:t xml:space="preserve"> – </w:t>
      </w:r>
      <w:r w:rsidRPr="003F7356">
        <w:rPr>
          <w:rFonts w:ascii="Times New Roman" w:hAnsi="Times New Roman"/>
          <w:b w:val="0"/>
          <w:color w:val="auto"/>
          <w:sz w:val="20"/>
        </w:rPr>
        <w:t xml:space="preserve">Estrutura química da molécula de Hidroxitirosol (adaptado de Manna </w:t>
      </w:r>
      <w:r w:rsidRPr="003F7356">
        <w:rPr>
          <w:rFonts w:ascii="Times New Roman" w:hAnsi="Times New Roman"/>
          <w:b w:val="0"/>
          <w:i/>
          <w:color w:val="auto"/>
          <w:sz w:val="20"/>
        </w:rPr>
        <w:t>et al</w:t>
      </w:r>
      <w:r w:rsidRPr="003F7356">
        <w:rPr>
          <w:rFonts w:ascii="Times New Roman" w:hAnsi="Times New Roman"/>
          <w:b w:val="0"/>
          <w:color w:val="auto"/>
          <w:sz w:val="20"/>
        </w:rPr>
        <w:t>., 1999).</w:t>
      </w:r>
    </w:p>
    <w:p w:rsidR="00A31C81" w:rsidRDefault="00A31C81" w:rsidP="00A31C81">
      <w:pPr>
        <w:jc w:val="both"/>
        <w:rPr>
          <w:rFonts w:ascii="Times New Roman" w:hAnsi="Times New Roman"/>
          <w:sz w:val="24"/>
          <w:szCs w:val="24"/>
        </w:rPr>
      </w:pPr>
    </w:p>
    <w:p w:rsidR="00A31C81" w:rsidRDefault="00A31C81" w:rsidP="00A31C81">
      <w:pPr>
        <w:jc w:val="both"/>
        <w:rPr>
          <w:rFonts w:ascii="Times New Roman" w:hAnsi="Times New Roman"/>
          <w:sz w:val="24"/>
          <w:szCs w:val="24"/>
        </w:rPr>
      </w:pPr>
      <w:r>
        <w:rPr>
          <w:rFonts w:ascii="Times New Roman" w:hAnsi="Times New Roman"/>
          <w:sz w:val="24"/>
          <w:szCs w:val="24"/>
        </w:rPr>
        <w:lastRenderedPageBreak/>
        <w:tab/>
        <w:t xml:space="preserve">Para a obtenção dos benefícios </w:t>
      </w:r>
      <w:r w:rsidRPr="00EF795A">
        <w:rPr>
          <w:rFonts w:ascii="Times New Roman" w:hAnsi="Times New Roman"/>
          <w:i/>
          <w:sz w:val="24"/>
          <w:szCs w:val="24"/>
        </w:rPr>
        <w:t>in vivo</w:t>
      </w:r>
      <w:r>
        <w:rPr>
          <w:rFonts w:ascii="Times New Roman" w:hAnsi="Times New Roman"/>
          <w:sz w:val="24"/>
          <w:szCs w:val="24"/>
        </w:rPr>
        <w:t xml:space="preserve"> de um antioxidante, é essencial que este seja consumido. Inúmeros ensaios clínicos realizados em humanos e ra</w:t>
      </w:r>
      <w:r w:rsidR="003C1232">
        <w:rPr>
          <w:rFonts w:ascii="Times New Roman" w:hAnsi="Times New Roman"/>
          <w:sz w:val="24"/>
          <w:szCs w:val="24"/>
        </w:rPr>
        <w:t>tos reportam que a ingestão de H</w:t>
      </w:r>
      <w:r>
        <w:rPr>
          <w:rFonts w:ascii="Times New Roman" w:hAnsi="Times New Roman"/>
          <w:sz w:val="24"/>
          <w:szCs w:val="24"/>
        </w:rPr>
        <w:t>idroxitirosol é benéfica, e que após a ingestão de 25mL de azeite extra virgem a sua concentração plasmática varia entre 50 a 160 nM. Os presentes autores referem ainda que a ingestão de supleme</w:t>
      </w:r>
      <w:r w:rsidR="003C1232">
        <w:rPr>
          <w:rFonts w:ascii="Times New Roman" w:hAnsi="Times New Roman"/>
          <w:sz w:val="24"/>
          <w:szCs w:val="24"/>
        </w:rPr>
        <w:t>ntos alimentares que contenham H</w:t>
      </w:r>
      <w:r>
        <w:rPr>
          <w:rFonts w:ascii="Times New Roman" w:hAnsi="Times New Roman"/>
          <w:sz w:val="24"/>
          <w:szCs w:val="24"/>
        </w:rPr>
        <w:t xml:space="preserve">idroxitirosol, pode conduzir a concentrações plasmáticas ainda maiores. Este fenol sofre permeação na membrana das células intestinais por difusão passiva (D’Angelo </w:t>
      </w:r>
      <w:r w:rsidRPr="000D363B">
        <w:rPr>
          <w:rFonts w:ascii="Times New Roman" w:hAnsi="Times New Roman"/>
          <w:i/>
          <w:sz w:val="24"/>
          <w:szCs w:val="24"/>
        </w:rPr>
        <w:t>et al</w:t>
      </w:r>
      <w:r>
        <w:rPr>
          <w:rFonts w:ascii="Times New Roman" w:hAnsi="Times New Roman"/>
          <w:sz w:val="24"/>
          <w:szCs w:val="24"/>
        </w:rPr>
        <w:t>., 2001), e é metabolizado no organismo pela acção da catecol-O-metiltransferase</w:t>
      </w:r>
      <w:r w:rsidR="003C1232">
        <w:rPr>
          <w:rFonts w:ascii="Times New Roman" w:hAnsi="Times New Roman"/>
          <w:sz w:val="24"/>
          <w:szCs w:val="24"/>
        </w:rPr>
        <w:t xml:space="preserve"> para o álcool homovanílico. A O</w:t>
      </w:r>
      <w:r>
        <w:rPr>
          <w:rFonts w:ascii="Times New Roman" w:hAnsi="Times New Roman"/>
          <w:sz w:val="24"/>
          <w:szCs w:val="24"/>
        </w:rPr>
        <w:t>leuropeína, também presente em grades quantidades no azeite, após ingerida é hidrolis</w:t>
      </w:r>
      <w:r w:rsidR="003C1232">
        <w:rPr>
          <w:rFonts w:ascii="Times New Roman" w:hAnsi="Times New Roman"/>
          <w:sz w:val="24"/>
          <w:szCs w:val="24"/>
        </w:rPr>
        <w:t>ada no intestino, originando o H</w:t>
      </w:r>
      <w:r>
        <w:rPr>
          <w:rFonts w:ascii="Times New Roman" w:hAnsi="Times New Roman"/>
          <w:sz w:val="24"/>
          <w:szCs w:val="24"/>
        </w:rPr>
        <w:t xml:space="preserve">idroxitirosol, não chegando assim esta a atingir a circulação sistémica </w:t>
      </w:r>
      <w:r w:rsidRPr="00C85C7A">
        <w:rPr>
          <w:rFonts w:ascii="Times New Roman" w:hAnsi="Times New Roman"/>
          <w:sz w:val="24"/>
          <w:szCs w:val="24"/>
        </w:rPr>
        <w:t>(Rietjens, 2008)</w:t>
      </w:r>
      <w:r w:rsidR="003C1232">
        <w:rPr>
          <w:rFonts w:ascii="Times New Roman" w:hAnsi="Times New Roman"/>
          <w:sz w:val="24"/>
          <w:szCs w:val="24"/>
        </w:rPr>
        <w:t>. A biodisponibilidade do H</w:t>
      </w:r>
      <w:r>
        <w:rPr>
          <w:rFonts w:ascii="Times New Roman" w:hAnsi="Times New Roman"/>
          <w:sz w:val="24"/>
          <w:szCs w:val="24"/>
        </w:rPr>
        <w:t xml:space="preserve">idroxitirosol e sua metabolização tem sido bastante estudada, e alguns autores referem que enquanto molécula, quando injectado intravenosamente em ratos, rapidamente é distribuído por todos os órgãos e tecidos, onde sofre uma transformação metabólica extensa (D’Angelo </w:t>
      </w:r>
      <w:r w:rsidRPr="00BA561D">
        <w:rPr>
          <w:rFonts w:ascii="Times New Roman" w:hAnsi="Times New Roman"/>
          <w:i/>
          <w:sz w:val="24"/>
          <w:szCs w:val="24"/>
        </w:rPr>
        <w:t>et al</w:t>
      </w:r>
      <w:r>
        <w:rPr>
          <w:rFonts w:ascii="Times New Roman" w:hAnsi="Times New Roman"/>
          <w:sz w:val="24"/>
          <w:szCs w:val="24"/>
        </w:rPr>
        <w:t>., 2005).</w:t>
      </w:r>
    </w:p>
    <w:p w:rsidR="00A31C81" w:rsidRDefault="003C1232" w:rsidP="00A31C81">
      <w:pPr>
        <w:jc w:val="both"/>
        <w:rPr>
          <w:rFonts w:ascii="Times New Roman" w:hAnsi="Times New Roman"/>
          <w:sz w:val="24"/>
          <w:szCs w:val="24"/>
        </w:rPr>
      </w:pPr>
      <w:r>
        <w:rPr>
          <w:rFonts w:ascii="Times New Roman" w:hAnsi="Times New Roman"/>
          <w:sz w:val="24"/>
          <w:szCs w:val="24"/>
        </w:rPr>
        <w:tab/>
        <w:t>Os estudos em torno do H</w:t>
      </w:r>
      <w:r w:rsidR="00A31C81">
        <w:rPr>
          <w:rFonts w:ascii="Times New Roman" w:hAnsi="Times New Roman"/>
          <w:sz w:val="24"/>
          <w:szCs w:val="24"/>
        </w:rPr>
        <w:t xml:space="preserve">idroxitirosol encontram-se bastante focados no seu efeito quimiopreventivo (Manna </w:t>
      </w:r>
      <w:r w:rsidR="00A31C81" w:rsidRPr="00AC6344">
        <w:rPr>
          <w:rFonts w:ascii="Times New Roman" w:hAnsi="Times New Roman"/>
          <w:i/>
          <w:sz w:val="24"/>
          <w:szCs w:val="24"/>
        </w:rPr>
        <w:t>et al</w:t>
      </w:r>
      <w:r w:rsidR="00A31C81">
        <w:rPr>
          <w:rFonts w:ascii="Times New Roman" w:hAnsi="Times New Roman"/>
          <w:sz w:val="24"/>
          <w:szCs w:val="24"/>
        </w:rPr>
        <w:t>., 2000) como resultado da sua forte capacidade antioxidante, conferida pelo grupo catecol presente na sua estrutura química. As primeira</w:t>
      </w:r>
      <w:r>
        <w:rPr>
          <w:rFonts w:ascii="Times New Roman" w:hAnsi="Times New Roman"/>
          <w:sz w:val="24"/>
          <w:szCs w:val="24"/>
        </w:rPr>
        <w:t>s propriedades reconhecidas do H</w:t>
      </w:r>
      <w:r w:rsidR="00A31C81">
        <w:rPr>
          <w:rFonts w:ascii="Times New Roman" w:hAnsi="Times New Roman"/>
          <w:sz w:val="24"/>
          <w:szCs w:val="24"/>
        </w:rPr>
        <w:t xml:space="preserve">idroxitirosol foram a sua capacidade de prevenir a agregação plaquetária (Petroni </w:t>
      </w:r>
      <w:r w:rsidR="00A31C81" w:rsidRPr="00B469DE">
        <w:rPr>
          <w:rFonts w:ascii="Times New Roman" w:hAnsi="Times New Roman"/>
          <w:i/>
          <w:sz w:val="24"/>
          <w:szCs w:val="24"/>
        </w:rPr>
        <w:t>et al</w:t>
      </w:r>
      <w:r w:rsidR="00A31C81">
        <w:rPr>
          <w:rFonts w:ascii="Times New Roman" w:hAnsi="Times New Roman"/>
          <w:sz w:val="24"/>
          <w:szCs w:val="24"/>
        </w:rPr>
        <w:t xml:space="preserve">., 1994, 1995), e a oxidação das lipoproteínas de baixa densidade (LDL) (Visioli </w:t>
      </w:r>
      <w:r w:rsidR="00A31C81" w:rsidRPr="00B469DE">
        <w:rPr>
          <w:rFonts w:ascii="Times New Roman" w:hAnsi="Times New Roman"/>
          <w:i/>
          <w:sz w:val="24"/>
          <w:szCs w:val="24"/>
        </w:rPr>
        <w:t>et al</w:t>
      </w:r>
      <w:r w:rsidR="00A31C81">
        <w:rPr>
          <w:rFonts w:ascii="Times New Roman" w:hAnsi="Times New Roman"/>
          <w:sz w:val="24"/>
          <w:szCs w:val="24"/>
        </w:rPr>
        <w:t xml:space="preserve">., 1995). Diferentes efeitos benéficos têm sido associados a este fenol, nomeadamente a capacidade de inibição dos fenómenos de iniciação e promoção do processo de carcinogénese </w:t>
      </w:r>
      <w:r w:rsidR="00A31C81">
        <w:rPr>
          <w:rFonts w:ascii="Times New Roman" w:hAnsi="Times New Roman"/>
          <w:i/>
          <w:sz w:val="24"/>
          <w:szCs w:val="24"/>
        </w:rPr>
        <w:t xml:space="preserve">in </w:t>
      </w:r>
      <w:r w:rsidR="00A31C81" w:rsidRPr="007F5C7D">
        <w:rPr>
          <w:rFonts w:ascii="Times New Roman" w:hAnsi="Times New Roman"/>
          <w:i/>
          <w:sz w:val="24"/>
          <w:szCs w:val="24"/>
        </w:rPr>
        <w:t>vitro</w:t>
      </w:r>
      <w:r w:rsidR="00A31C81">
        <w:rPr>
          <w:rFonts w:ascii="Times New Roman" w:hAnsi="Times New Roman"/>
          <w:sz w:val="24"/>
          <w:szCs w:val="24"/>
        </w:rPr>
        <w:t xml:space="preserve">, revelando-se assim um potente composto cuja bioactividade continua por ser esclarecida </w:t>
      </w:r>
      <w:r w:rsidR="00A31C81" w:rsidRPr="00C85C7A">
        <w:rPr>
          <w:rFonts w:ascii="Times New Roman" w:hAnsi="Times New Roman"/>
          <w:sz w:val="24"/>
          <w:szCs w:val="24"/>
        </w:rPr>
        <w:t>(</w:t>
      </w:r>
      <w:r w:rsidR="00A31C81">
        <w:rPr>
          <w:rFonts w:ascii="Times New Roman" w:hAnsi="Times New Roman"/>
          <w:sz w:val="24"/>
          <w:szCs w:val="24"/>
        </w:rPr>
        <w:t xml:space="preserve">Fabiani </w:t>
      </w:r>
      <w:r w:rsidR="00A31C81" w:rsidRPr="007F5C7D">
        <w:rPr>
          <w:rFonts w:ascii="Times New Roman" w:hAnsi="Times New Roman"/>
          <w:i/>
          <w:sz w:val="24"/>
          <w:szCs w:val="24"/>
        </w:rPr>
        <w:t>et al</w:t>
      </w:r>
      <w:r w:rsidR="00A31C81">
        <w:rPr>
          <w:rFonts w:ascii="Times New Roman" w:hAnsi="Times New Roman"/>
          <w:sz w:val="24"/>
          <w:szCs w:val="24"/>
        </w:rPr>
        <w:t xml:space="preserve">., 2008; </w:t>
      </w:r>
      <w:r w:rsidR="00A31C81" w:rsidRPr="00C85C7A">
        <w:rPr>
          <w:rFonts w:ascii="Times New Roman" w:hAnsi="Times New Roman"/>
          <w:sz w:val="24"/>
          <w:szCs w:val="24"/>
        </w:rPr>
        <w:t>Rietjens, 2008</w:t>
      </w:r>
      <w:r w:rsidR="00A31C81">
        <w:rPr>
          <w:rFonts w:ascii="Times New Roman" w:hAnsi="Times New Roman"/>
          <w:sz w:val="24"/>
          <w:szCs w:val="24"/>
        </w:rPr>
        <w:t xml:space="preserve">; Granados-Principal </w:t>
      </w:r>
      <w:r w:rsidR="00A31C81" w:rsidRPr="00217F0A">
        <w:rPr>
          <w:rFonts w:ascii="Times New Roman" w:hAnsi="Times New Roman"/>
          <w:i/>
          <w:sz w:val="24"/>
          <w:szCs w:val="24"/>
        </w:rPr>
        <w:t>et al</w:t>
      </w:r>
      <w:r w:rsidR="00A31C81">
        <w:rPr>
          <w:rFonts w:ascii="Times New Roman" w:hAnsi="Times New Roman"/>
          <w:sz w:val="24"/>
          <w:szCs w:val="24"/>
        </w:rPr>
        <w:t>., 2010</w:t>
      </w:r>
      <w:r w:rsidR="00A31C81" w:rsidRPr="00C85C7A">
        <w:rPr>
          <w:rFonts w:ascii="Times New Roman" w:hAnsi="Times New Roman"/>
          <w:sz w:val="24"/>
          <w:szCs w:val="24"/>
        </w:rPr>
        <w:t>)</w:t>
      </w:r>
      <w:r w:rsidR="00A31C81">
        <w:rPr>
          <w:rFonts w:ascii="Times New Roman" w:hAnsi="Times New Roman"/>
          <w:sz w:val="24"/>
          <w:szCs w:val="24"/>
        </w:rPr>
        <w:t xml:space="preserve">. Este fenol tem demonstrado um eficaz efeito anti-tumoral na inibição da proliferação celular e da indução de apoptose em diversas linhas celulares (Granados-Principal </w:t>
      </w:r>
      <w:r w:rsidR="00A31C81" w:rsidRPr="00217F0A">
        <w:rPr>
          <w:rFonts w:ascii="Times New Roman" w:hAnsi="Times New Roman"/>
          <w:i/>
          <w:sz w:val="24"/>
          <w:szCs w:val="24"/>
        </w:rPr>
        <w:t>et al</w:t>
      </w:r>
      <w:r w:rsidR="00A31C81">
        <w:rPr>
          <w:rFonts w:ascii="Times New Roman" w:hAnsi="Times New Roman"/>
          <w:sz w:val="24"/>
          <w:szCs w:val="24"/>
        </w:rPr>
        <w:t>., 2010). De entre outras bioactividades reportadas para este composto encontram-se a actividade ant</w:t>
      </w:r>
      <w:r w:rsidR="007B5FD7">
        <w:rPr>
          <w:rFonts w:ascii="Times New Roman" w:hAnsi="Times New Roman"/>
          <w:sz w:val="24"/>
          <w:szCs w:val="24"/>
        </w:rPr>
        <w:t>imicrobiana, antioxidante, anti</w:t>
      </w:r>
      <w:r w:rsidR="00A31C81">
        <w:rPr>
          <w:rFonts w:ascii="Times New Roman" w:hAnsi="Times New Roman"/>
          <w:sz w:val="24"/>
          <w:szCs w:val="24"/>
        </w:rPr>
        <w:t>proliferativa, antiangiogénica, antimutagénica, anti-trombótica, neuroprotectora, anti-inflamatória, entre outras (Tabela I).</w:t>
      </w:r>
    </w:p>
    <w:p w:rsidR="00A31C81" w:rsidRPr="00C35489" w:rsidRDefault="00A31C81" w:rsidP="00A31C81">
      <w:pPr>
        <w:jc w:val="both"/>
        <w:rPr>
          <w:rFonts w:ascii="Times New Roman" w:hAnsi="Times New Roman"/>
          <w:sz w:val="24"/>
          <w:szCs w:val="24"/>
        </w:rPr>
      </w:pPr>
    </w:p>
    <w:p w:rsidR="00A31C81" w:rsidRDefault="00A31C81" w:rsidP="00A31C81">
      <w:pPr>
        <w:pStyle w:val="Legenda"/>
        <w:keepNext/>
        <w:spacing w:after="0"/>
        <w:jc w:val="both"/>
        <w:rPr>
          <w:rFonts w:ascii="Times New Roman" w:hAnsi="Times New Roman"/>
          <w:b w:val="0"/>
          <w:color w:val="auto"/>
          <w:sz w:val="20"/>
        </w:rPr>
      </w:pPr>
      <w:r w:rsidRPr="00565AF3">
        <w:rPr>
          <w:rFonts w:ascii="Times New Roman" w:hAnsi="Times New Roman"/>
          <w:sz w:val="20"/>
        </w:rPr>
        <w:t xml:space="preserve">Tabela </w:t>
      </w:r>
      <w:r w:rsidR="007B02FE" w:rsidRPr="00565AF3">
        <w:rPr>
          <w:rFonts w:ascii="Times New Roman" w:hAnsi="Times New Roman"/>
          <w:sz w:val="20"/>
        </w:rPr>
        <w:fldChar w:fldCharType="begin"/>
      </w:r>
      <w:r w:rsidRPr="00565AF3">
        <w:rPr>
          <w:rFonts w:ascii="Times New Roman" w:hAnsi="Times New Roman"/>
          <w:sz w:val="20"/>
        </w:rPr>
        <w:instrText xml:space="preserve"> SEQ Tabela \* ROMAN </w:instrText>
      </w:r>
      <w:r w:rsidR="007B02FE" w:rsidRPr="00565AF3">
        <w:rPr>
          <w:rFonts w:ascii="Times New Roman" w:hAnsi="Times New Roman"/>
          <w:sz w:val="20"/>
        </w:rPr>
        <w:fldChar w:fldCharType="separate"/>
      </w:r>
      <w:r w:rsidR="00A73250">
        <w:rPr>
          <w:rFonts w:ascii="Times New Roman" w:hAnsi="Times New Roman"/>
          <w:noProof/>
          <w:sz w:val="20"/>
        </w:rPr>
        <w:t>I</w:t>
      </w:r>
      <w:r w:rsidR="007B02FE" w:rsidRPr="00565AF3">
        <w:rPr>
          <w:rFonts w:ascii="Times New Roman" w:hAnsi="Times New Roman"/>
          <w:sz w:val="20"/>
        </w:rPr>
        <w:fldChar w:fldCharType="end"/>
      </w:r>
      <w:r w:rsidRPr="00565AF3">
        <w:rPr>
          <w:rFonts w:ascii="Times New Roman" w:hAnsi="Times New Roman"/>
          <w:sz w:val="20"/>
        </w:rPr>
        <w:t xml:space="preserve"> – </w:t>
      </w:r>
      <w:r w:rsidRPr="00565AF3">
        <w:rPr>
          <w:rFonts w:ascii="Times New Roman" w:hAnsi="Times New Roman"/>
          <w:b w:val="0"/>
          <w:color w:val="auto"/>
          <w:sz w:val="20"/>
        </w:rPr>
        <w:t>Tabela resumo das várias bioactividades reportadas</w:t>
      </w:r>
      <w:r>
        <w:rPr>
          <w:rFonts w:ascii="Times New Roman" w:hAnsi="Times New Roman"/>
          <w:b w:val="0"/>
          <w:color w:val="auto"/>
          <w:sz w:val="20"/>
        </w:rPr>
        <w:t xml:space="preserve"> em estudos referentes ao c</w:t>
      </w:r>
      <w:r w:rsidRPr="00565AF3">
        <w:rPr>
          <w:rFonts w:ascii="Times New Roman" w:hAnsi="Times New Roman"/>
          <w:b w:val="0"/>
          <w:color w:val="auto"/>
          <w:sz w:val="20"/>
        </w:rPr>
        <w:t xml:space="preserve">omposto fenólico Hidroxitirosol (adaptado de </w:t>
      </w:r>
      <w:r>
        <w:rPr>
          <w:rFonts w:ascii="Times New Roman" w:hAnsi="Times New Roman"/>
          <w:b w:val="0"/>
          <w:color w:val="auto"/>
          <w:sz w:val="20"/>
        </w:rPr>
        <w:t xml:space="preserve">Manna </w:t>
      </w:r>
      <w:r w:rsidRPr="00565AF3">
        <w:rPr>
          <w:rFonts w:ascii="Times New Roman" w:hAnsi="Times New Roman"/>
          <w:b w:val="0"/>
          <w:i/>
          <w:color w:val="auto"/>
          <w:sz w:val="20"/>
        </w:rPr>
        <w:t>et al</w:t>
      </w:r>
      <w:r w:rsidRPr="00565AF3">
        <w:rPr>
          <w:rFonts w:ascii="Times New Roman" w:hAnsi="Times New Roman"/>
          <w:b w:val="0"/>
          <w:color w:val="auto"/>
          <w:sz w:val="20"/>
        </w:rPr>
        <w:t>.</w:t>
      </w:r>
      <w:r>
        <w:rPr>
          <w:rFonts w:ascii="Times New Roman" w:hAnsi="Times New Roman"/>
          <w:b w:val="0"/>
          <w:color w:val="auto"/>
          <w:sz w:val="20"/>
        </w:rPr>
        <w:t xml:space="preserve">, 1999; </w:t>
      </w:r>
      <w:r w:rsidRPr="00565AF3">
        <w:rPr>
          <w:rFonts w:ascii="Times New Roman" w:hAnsi="Times New Roman"/>
          <w:b w:val="0"/>
          <w:color w:val="auto"/>
          <w:sz w:val="20"/>
        </w:rPr>
        <w:t xml:space="preserve">D’Angelo </w:t>
      </w:r>
      <w:r w:rsidRPr="00565AF3">
        <w:rPr>
          <w:rFonts w:ascii="Times New Roman" w:hAnsi="Times New Roman"/>
          <w:b w:val="0"/>
          <w:i/>
          <w:color w:val="auto"/>
          <w:sz w:val="20"/>
        </w:rPr>
        <w:t>et al</w:t>
      </w:r>
      <w:r w:rsidRPr="00565AF3">
        <w:rPr>
          <w:rFonts w:ascii="Times New Roman" w:hAnsi="Times New Roman"/>
          <w:b w:val="0"/>
          <w:color w:val="auto"/>
          <w:sz w:val="20"/>
        </w:rPr>
        <w:t>.</w:t>
      </w:r>
      <w:r>
        <w:rPr>
          <w:rFonts w:ascii="Times New Roman" w:hAnsi="Times New Roman"/>
          <w:b w:val="0"/>
          <w:color w:val="auto"/>
          <w:sz w:val="20"/>
        </w:rPr>
        <w:t>, 2001, 2005</w:t>
      </w:r>
      <w:r w:rsidRPr="00565AF3">
        <w:rPr>
          <w:rFonts w:ascii="Times New Roman" w:hAnsi="Times New Roman"/>
          <w:b w:val="0"/>
          <w:color w:val="auto"/>
          <w:sz w:val="20"/>
        </w:rPr>
        <w:t xml:space="preserve">; </w:t>
      </w:r>
      <w:r w:rsidRPr="00E04610">
        <w:rPr>
          <w:rFonts w:ascii="Times New Roman" w:hAnsi="Times New Roman"/>
          <w:b w:val="0"/>
          <w:color w:val="auto"/>
          <w:sz w:val="20"/>
          <w:szCs w:val="24"/>
        </w:rPr>
        <w:t xml:space="preserve">Fabiani </w:t>
      </w:r>
      <w:r w:rsidRPr="00E04610">
        <w:rPr>
          <w:rFonts w:ascii="Times New Roman" w:hAnsi="Times New Roman"/>
          <w:b w:val="0"/>
          <w:i/>
          <w:color w:val="auto"/>
          <w:sz w:val="20"/>
          <w:szCs w:val="24"/>
        </w:rPr>
        <w:t>et al.,</w:t>
      </w:r>
      <w:r w:rsidRPr="00E04610">
        <w:rPr>
          <w:rFonts w:ascii="Times New Roman" w:hAnsi="Times New Roman"/>
          <w:b w:val="0"/>
          <w:color w:val="auto"/>
          <w:sz w:val="20"/>
          <w:szCs w:val="24"/>
        </w:rPr>
        <w:t xml:space="preserve"> 2002, 2006</w:t>
      </w:r>
      <w:r>
        <w:rPr>
          <w:rFonts w:ascii="Times New Roman" w:hAnsi="Times New Roman"/>
          <w:b w:val="0"/>
          <w:color w:val="auto"/>
          <w:sz w:val="20"/>
        </w:rPr>
        <w:t xml:space="preserve">; </w:t>
      </w:r>
      <w:r w:rsidRPr="00E04610">
        <w:rPr>
          <w:rFonts w:ascii="Times New Roman" w:hAnsi="Times New Roman"/>
          <w:b w:val="0"/>
          <w:color w:val="auto"/>
          <w:sz w:val="20"/>
          <w:szCs w:val="24"/>
        </w:rPr>
        <w:t xml:space="preserve">Goya </w:t>
      </w:r>
      <w:r w:rsidRPr="00E04610">
        <w:rPr>
          <w:rFonts w:ascii="Times New Roman" w:hAnsi="Times New Roman"/>
          <w:b w:val="0"/>
          <w:i/>
          <w:color w:val="auto"/>
          <w:sz w:val="20"/>
          <w:szCs w:val="24"/>
        </w:rPr>
        <w:t>et al.,</w:t>
      </w:r>
      <w:r w:rsidRPr="00E04610">
        <w:rPr>
          <w:rFonts w:ascii="Times New Roman" w:hAnsi="Times New Roman"/>
          <w:b w:val="0"/>
          <w:color w:val="auto"/>
          <w:sz w:val="20"/>
          <w:szCs w:val="24"/>
        </w:rPr>
        <w:t xml:space="preserve"> 2007;</w:t>
      </w:r>
      <w:r w:rsidRPr="00E04610">
        <w:rPr>
          <w:rFonts w:ascii="Times New Roman" w:hAnsi="Times New Roman"/>
          <w:sz w:val="20"/>
          <w:szCs w:val="24"/>
        </w:rPr>
        <w:t xml:space="preserve"> </w:t>
      </w:r>
      <w:r>
        <w:rPr>
          <w:rFonts w:ascii="Times New Roman" w:hAnsi="Times New Roman"/>
          <w:b w:val="0"/>
          <w:color w:val="auto"/>
          <w:sz w:val="20"/>
        </w:rPr>
        <w:t xml:space="preserve">Schaffer </w:t>
      </w:r>
      <w:r w:rsidRPr="00A110A3">
        <w:rPr>
          <w:rFonts w:ascii="Times New Roman" w:hAnsi="Times New Roman"/>
          <w:b w:val="0"/>
          <w:i/>
          <w:color w:val="auto"/>
          <w:sz w:val="20"/>
        </w:rPr>
        <w:t>et al</w:t>
      </w:r>
      <w:r>
        <w:rPr>
          <w:rFonts w:ascii="Times New Roman" w:hAnsi="Times New Roman"/>
          <w:b w:val="0"/>
          <w:color w:val="auto"/>
          <w:sz w:val="20"/>
        </w:rPr>
        <w:t xml:space="preserve">., 2007; Rietjens, 2008; </w:t>
      </w:r>
      <w:r w:rsidRPr="00E04610">
        <w:rPr>
          <w:rFonts w:ascii="Times New Roman" w:hAnsi="Times New Roman"/>
          <w:b w:val="0"/>
          <w:color w:val="auto"/>
          <w:sz w:val="20"/>
          <w:szCs w:val="24"/>
        </w:rPr>
        <w:t xml:space="preserve">Granados-Principal </w:t>
      </w:r>
      <w:r w:rsidRPr="00E04610">
        <w:rPr>
          <w:rFonts w:ascii="Times New Roman" w:hAnsi="Times New Roman"/>
          <w:b w:val="0"/>
          <w:i/>
          <w:color w:val="auto"/>
          <w:sz w:val="20"/>
          <w:szCs w:val="24"/>
        </w:rPr>
        <w:t>et al.,</w:t>
      </w:r>
      <w:r w:rsidRPr="00E04610">
        <w:rPr>
          <w:rFonts w:ascii="Times New Roman" w:hAnsi="Times New Roman"/>
          <w:b w:val="0"/>
          <w:color w:val="auto"/>
          <w:sz w:val="20"/>
          <w:szCs w:val="24"/>
        </w:rPr>
        <w:t xml:space="preserve"> 2010</w:t>
      </w:r>
      <w:r>
        <w:rPr>
          <w:rFonts w:ascii="Times New Roman" w:hAnsi="Times New Roman"/>
          <w:b w:val="0"/>
          <w:color w:val="auto"/>
          <w:sz w:val="20"/>
        </w:rPr>
        <w:t xml:space="preserve">; Huang </w:t>
      </w:r>
      <w:r w:rsidRPr="00E04610">
        <w:rPr>
          <w:rFonts w:ascii="Times New Roman" w:hAnsi="Times New Roman"/>
          <w:b w:val="0"/>
          <w:i/>
          <w:color w:val="auto"/>
          <w:sz w:val="20"/>
          <w:szCs w:val="24"/>
        </w:rPr>
        <w:t>et al.,</w:t>
      </w:r>
      <w:r w:rsidRPr="00E04610">
        <w:rPr>
          <w:rFonts w:ascii="Times New Roman" w:hAnsi="Times New Roman"/>
          <w:b w:val="0"/>
          <w:color w:val="auto"/>
          <w:sz w:val="20"/>
          <w:szCs w:val="24"/>
        </w:rPr>
        <w:t xml:space="preserve"> 2010</w:t>
      </w:r>
      <w:r>
        <w:rPr>
          <w:rFonts w:ascii="Times New Roman" w:hAnsi="Times New Roman"/>
          <w:b w:val="0"/>
          <w:color w:val="auto"/>
          <w:sz w:val="20"/>
        </w:rPr>
        <w:t xml:space="preserve">; Bouallagui </w:t>
      </w:r>
      <w:r w:rsidRPr="00565AF3">
        <w:rPr>
          <w:rFonts w:ascii="Times New Roman" w:hAnsi="Times New Roman"/>
          <w:b w:val="0"/>
          <w:i/>
          <w:color w:val="auto"/>
          <w:sz w:val="20"/>
        </w:rPr>
        <w:t>et al</w:t>
      </w:r>
      <w:r w:rsidRPr="00565AF3">
        <w:rPr>
          <w:rFonts w:ascii="Times New Roman" w:hAnsi="Times New Roman"/>
          <w:b w:val="0"/>
          <w:color w:val="auto"/>
          <w:sz w:val="20"/>
        </w:rPr>
        <w:t>.</w:t>
      </w:r>
      <w:r>
        <w:rPr>
          <w:rFonts w:ascii="Times New Roman" w:hAnsi="Times New Roman"/>
          <w:b w:val="0"/>
          <w:color w:val="auto"/>
          <w:sz w:val="20"/>
        </w:rPr>
        <w:t>, 2011).</w:t>
      </w:r>
    </w:p>
    <w:p w:rsidR="00A31C81" w:rsidRPr="00E20AC6" w:rsidRDefault="00A31C81" w:rsidP="00A31C81">
      <w:pPr>
        <w:spacing w:after="0"/>
      </w:pPr>
    </w:p>
    <w:tbl>
      <w:tblPr>
        <w:tblStyle w:val="ListaMdia2-Cor5"/>
        <w:tblW w:w="4146" w:type="pct"/>
        <w:jc w:val="center"/>
        <w:tblInd w:w="392" w:type="dxa"/>
        <w:tblLook w:val="04A0"/>
      </w:tblPr>
      <w:tblGrid>
        <w:gridCol w:w="2046"/>
        <w:gridCol w:w="5185"/>
      </w:tblGrid>
      <w:tr w:rsidR="00A31C81" w:rsidRPr="0066447C" w:rsidTr="001E20F8">
        <w:trPr>
          <w:cnfStyle w:val="100000000000"/>
          <w:jc w:val="center"/>
        </w:trPr>
        <w:tc>
          <w:tcPr>
            <w:cnfStyle w:val="001000000100"/>
            <w:tcW w:w="5000" w:type="pct"/>
            <w:gridSpan w:val="2"/>
            <w:shd w:val="clear" w:color="auto" w:fill="FFDC6D"/>
            <w:vAlign w:val="center"/>
          </w:tcPr>
          <w:p w:rsidR="00A31C81" w:rsidRPr="0066447C" w:rsidRDefault="00A31C81" w:rsidP="001E20F8">
            <w:pPr>
              <w:spacing w:after="0" w:line="240" w:lineRule="auto"/>
              <w:jc w:val="center"/>
              <w:rPr>
                <w:rFonts w:ascii="Times New Roman" w:hAnsi="Times New Roman"/>
                <w:b/>
                <w:bCs/>
                <w:color w:val="auto"/>
                <w:sz w:val="18"/>
                <w:szCs w:val="24"/>
              </w:rPr>
            </w:pPr>
            <w:r w:rsidRPr="0066447C">
              <w:rPr>
                <w:rFonts w:ascii="Times New Roman" w:hAnsi="Times New Roman"/>
                <w:b/>
                <w:color w:val="auto"/>
                <w:sz w:val="18"/>
                <w:szCs w:val="24"/>
              </w:rPr>
              <w:t>Bioactividades do Hidroxitirosol</w:t>
            </w:r>
            <w:r>
              <w:rPr>
                <w:rFonts w:ascii="Times New Roman" w:hAnsi="Times New Roman"/>
                <w:b/>
                <w:color w:val="auto"/>
                <w:sz w:val="18"/>
                <w:szCs w:val="24"/>
              </w:rPr>
              <w:t>:</w:t>
            </w:r>
          </w:p>
        </w:tc>
      </w:tr>
      <w:tr w:rsidR="00A31C81" w:rsidRPr="0066447C" w:rsidTr="001E20F8">
        <w:trPr>
          <w:cnfStyle w:val="000000100000"/>
          <w:trHeight w:val="527"/>
          <w:jc w:val="center"/>
        </w:trPr>
        <w:tc>
          <w:tcPr>
            <w:cnfStyle w:val="001000000000"/>
            <w:tcW w:w="1415" w:type="pct"/>
            <w:vAlign w:val="center"/>
          </w:tcPr>
          <w:p w:rsidR="00A31C81" w:rsidRPr="0066447C" w:rsidRDefault="00A31C81" w:rsidP="001E20F8">
            <w:pPr>
              <w:spacing w:after="0" w:line="240" w:lineRule="auto"/>
              <w:jc w:val="center"/>
              <w:rPr>
                <w:rFonts w:ascii="Times New Roman" w:hAnsi="Times New Roman"/>
                <w:b/>
                <w:color w:val="009AD0"/>
                <w:sz w:val="20"/>
                <w:szCs w:val="24"/>
                <w:u w:val="single"/>
              </w:rPr>
            </w:pPr>
            <w:r w:rsidRPr="0066447C">
              <w:rPr>
                <w:rFonts w:ascii="Times New Roman" w:hAnsi="Times New Roman"/>
                <w:b/>
                <w:color w:val="009AD0"/>
                <w:sz w:val="20"/>
                <w:szCs w:val="24"/>
                <w:u w:val="single"/>
              </w:rPr>
              <w:t>Antioxidante:</w:t>
            </w:r>
          </w:p>
        </w:tc>
        <w:tc>
          <w:tcPr>
            <w:tcW w:w="3585" w:type="pct"/>
            <w:vAlign w:val="center"/>
          </w:tcPr>
          <w:p w:rsidR="00A31C81" w:rsidRPr="00DE2C38" w:rsidRDefault="00A31C81" w:rsidP="001E20F8">
            <w:pPr>
              <w:pStyle w:val="PargrafodaLista"/>
              <w:numPr>
                <w:ilvl w:val="0"/>
                <w:numId w:val="12"/>
              </w:numPr>
              <w:spacing w:after="0" w:line="240" w:lineRule="auto"/>
              <w:ind w:left="187" w:hanging="283"/>
              <w:jc w:val="both"/>
              <w:cnfStyle w:val="000000100000"/>
              <w:rPr>
                <w:rFonts w:ascii="Times New Roman" w:hAnsi="Times New Roman"/>
                <w:sz w:val="18"/>
                <w:szCs w:val="24"/>
              </w:rPr>
            </w:pPr>
            <w:r>
              <w:rPr>
                <w:rFonts w:ascii="Times New Roman" w:hAnsi="Times New Roman"/>
                <w:sz w:val="18"/>
                <w:szCs w:val="24"/>
              </w:rPr>
              <w:t>Capacidade de captação e redução de diferentes espécies de radicais livres</w:t>
            </w:r>
            <w:r w:rsidRPr="00DE2C38">
              <w:rPr>
                <w:rFonts w:ascii="Times New Roman" w:hAnsi="Times New Roman"/>
                <w:sz w:val="18"/>
                <w:szCs w:val="24"/>
              </w:rPr>
              <w:t xml:space="preserve"> em estudos </w:t>
            </w:r>
            <w:r w:rsidRPr="00DE2C38">
              <w:rPr>
                <w:rFonts w:ascii="Times New Roman" w:hAnsi="Times New Roman"/>
                <w:i/>
                <w:sz w:val="18"/>
                <w:szCs w:val="24"/>
              </w:rPr>
              <w:t>in vivo</w:t>
            </w:r>
            <w:r w:rsidRPr="00DE2C38">
              <w:rPr>
                <w:rFonts w:ascii="Times New Roman" w:hAnsi="Times New Roman"/>
                <w:sz w:val="18"/>
                <w:szCs w:val="24"/>
              </w:rPr>
              <w:t xml:space="preserve"> e </w:t>
            </w:r>
            <w:r w:rsidRPr="00DE2C38">
              <w:rPr>
                <w:rFonts w:ascii="Times New Roman" w:hAnsi="Times New Roman"/>
                <w:i/>
                <w:sz w:val="18"/>
                <w:szCs w:val="24"/>
              </w:rPr>
              <w:t>in vitro</w:t>
            </w:r>
            <w:r w:rsidRPr="00DE2C38">
              <w:rPr>
                <w:rFonts w:ascii="Times New Roman" w:hAnsi="Times New Roman"/>
                <w:sz w:val="18"/>
                <w:szCs w:val="24"/>
              </w:rPr>
              <w:t>;</w:t>
            </w:r>
          </w:p>
          <w:p w:rsidR="00A31C81" w:rsidRPr="00DE2C38" w:rsidRDefault="00A31C81" w:rsidP="001E20F8">
            <w:pPr>
              <w:pStyle w:val="PargrafodaLista"/>
              <w:numPr>
                <w:ilvl w:val="0"/>
                <w:numId w:val="12"/>
              </w:numPr>
              <w:spacing w:after="0" w:line="240" w:lineRule="auto"/>
              <w:ind w:left="187" w:hanging="283"/>
              <w:jc w:val="both"/>
              <w:cnfStyle w:val="000000100000"/>
              <w:rPr>
                <w:rFonts w:ascii="Times New Roman" w:hAnsi="Times New Roman"/>
                <w:sz w:val="18"/>
                <w:szCs w:val="24"/>
              </w:rPr>
            </w:pPr>
            <w:r w:rsidRPr="00DE2C38">
              <w:rPr>
                <w:rFonts w:ascii="Times New Roman" w:hAnsi="Times New Roman"/>
                <w:sz w:val="18"/>
                <w:szCs w:val="24"/>
              </w:rPr>
              <w:t xml:space="preserve">Isolado a partir de “águas russas” da extracção de azeite, exerce efeito antioxidante no plasma e no fígado de rato; </w:t>
            </w:r>
          </w:p>
          <w:p w:rsidR="00A31C81" w:rsidRPr="00EB0959" w:rsidRDefault="00A31C81" w:rsidP="001E20F8">
            <w:pPr>
              <w:pStyle w:val="PargrafodaLista"/>
              <w:numPr>
                <w:ilvl w:val="0"/>
                <w:numId w:val="12"/>
              </w:numPr>
              <w:spacing w:after="0" w:line="240" w:lineRule="auto"/>
              <w:ind w:left="187" w:hanging="283"/>
              <w:jc w:val="both"/>
              <w:cnfStyle w:val="000000100000"/>
              <w:rPr>
                <w:rFonts w:ascii="Times New Roman" w:hAnsi="Times New Roman"/>
                <w:b/>
                <w:bCs/>
                <w:color w:val="31849B" w:themeColor="accent5" w:themeShade="BF"/>
                <w:sz w:val="18"/>
                <w:szCs w:val="24"/>
              </w:rPr>
            </w:pPr>
            <w:r w:rsidRPr="00DE2C38">
              <w:rPr>
                <w:rFonts w:ascii="Times New Roman" w:hAnsi="Times New Roman"/>
                <w:sz w:val="18"/>
                <w:szCs w:val="24"/>
              </w:rPr>
              <w:t>Protecção de tecido vascular contra o stresse oxidativo</w:t>
            </w:r>
            <w:r>
              <w:rPr>
                <w:rFonts w:ascii="Times New Roman" w:hAnsi="Times New Roman"/>
                <w:sz w:val="18"/>
                <w:szCs w:val="24"/>
              </w:rPr>
              <w:t>;</w:t>
            </w:r>
          </w:p>
        </w:tc>
      </w:tr>
      <w:tr w:rsidR="00A31C81" w:rsidRPr="0066447C" w:rsidTr="001E20F8">
        <w:trPr>
          <w:trHeight w:val="771"/>
          <w:jc w:val="center"/>
        </w:trPr>
        <w:tc>
          <w:tcPr>
            <w:cnfStyle w:val="001000000000"/>
            <w:tcW w:w="1415" w:type="pct"/>
            <w:vAlign w:val="center"/>
          </w:tcPr>
          <w:p w:rsidR="00A31C81" w:rsidRPr="0066447C" w:rsidRDefault="00A31C81" w:rsidP="001E20F8">
            <w:pPr>
              <w:spacing w:after="0" w:line="240" w:lineRule="auto"/>
              <w:jc w:val="center"/>
              <w:rPr>
                <w:rFonts w:ascii="Times New Roman" w:hAnsi="Times New Roman"/>
                <w:b/>
                <w:color w:val="009AD0"/>
                <w:sz w:val="20"/>
                <w:szCs w:val="24"/>
                <w:u w:val="single"/>
              </w:rPr>
            </w:pPr>
            <w:r w:rsidRPr="0066447C">
              <w:rPr>
                <w:rFonts w:ascii="Times New Roman" w:hAnsi="Times New Roman"/>
                <w:b/>
                <w:color w:val="009AD0"/>
                <w:sz w:val="20"/>
                <w:szCs w:val="24"/>
                <w:u w:val="single"/>
              </w:rPr>
              <w:t>Cardioprotectivo e antiaterogénico:</w:t>
            </w:r>
          </w:p>
        </w:tc>
        <w:tc>
          <w:tcPr>
            <w:tcW w:w="3585" w:type="pct"/>
            <w:vAlign w:val="center"/>
          </w:tcPr>
          <w:p w:rsidR="00A31C81" w:rsidRPr="00DE2C38" w:rsidRDefault="00A31C81" w:rsidP="001E20F8">
            <w:pPr>
              <w:pStyle w:val="PargrafodaLista"/>
              <w:numPr>
                <w:ilvl w:val="0"/>
                <w:numId w:val="13"/>
              </w:numPr>
              <w:tabs>
                <w:tab w:val="left" w:pos="187"/>
              </w:tabs>
              <w:spacing w:after="0" w:line="240" w:lineRule="auto"/>
              <w:ind w:left="187" w:hanging="283"/>
              <w:jc w:val="both"/>
              <w:cnfStyle w:val="000000000000"/>
              <w:rPr>
                <w:rFonts w:ascii="Times New Roman" w:hAnsi="Times New Roman"/>
                <w:bCs/>
                <w:sz w:val="18"/>
                <w:szCs w:val="24"/>
              </w:rPr>
            </w:pPr>
            <w:r w:rsidRPr="00DE2C38">
              <w:rPr>
                <w:rFonts w:ascii="Times New Roman" w:hAnsi="Times New Roman"/>
                <w:bCs/>
                <w:sz w:val="18"/>
                <w:szCs w:val="24"/>
              </w:rPr>
              <w:t>Revelou proteger os eritrócitos humanos co</w:t>
            </w:r>
            <w:r>
              <w:rPr>
                <w:rFonts w:ascii="Times New Roman" w:hAnsi="Times New Roman"/>
                <w:bCs/>
                <w:sz w:val="18"/>
                <w:szCs w:val="24"/>
              </w:rPr>
              <w:t>ntra danos causados pelo stress</w:t>
            </w:r>
            <w:r w:rsidRPr="00DE2C38">
              <w:rPr>
                <w:rFonts w:ascii="Times New Roman" w:hAnsi="Times New Roman"/>
                <w:bCs/>
                <w:sz w:val="18"/>
                <w:szCs w:val="24"/>
              </w:rPr>
              <w:t xml:space="preserve"> oxidativo</w:t>
            </w:r>
            <w:r>
              <w:rPr>
                <w:rFonts w:ascii="Times New Roman" w:hAnsi="Times New Roman"/>
                <w:bCs/>
                <w:sz w:val="18"/>
                <w:szCs w:val="24"/>
              </w:rPr>
              <w:t>;</w:t>
            </w:r>
          </w:p>
          <w:p w:rsidR="00A31C81" w:rsidRPr="00DE2C38" w:rsidRDefault="00A31C81" w:rsidP="001E20F8">
            <w:pPr>
              <w:pStyle w:val="PargrafodaLista"/>
              <w:numPr>
                <w:ilvl w:val="0"/>
                <w:numId w:val="13"/>
              </w:numPr>
              <w:tabs>
                <w:tab w:val="left" w:pos="187"/>
              </w:tabs>
              <w:spacing w:after="0" w:line="240" w:lineRule="auto"/>
              <w:ind w:left="187" w:hanging="283"/>
              <w:jc w:val="both"/>
              <w:cnfStyle w:val="000000000000"/>
              <w:rPr>
                <w:rFonts w:ascii="Times New Roman" w:hAnsi="Times New Roman"/>
                <w:sz w:val="18"/>
                <w:szCs w:val="24"/>
              </w:rPr>
            </w:pPr>
            <w:r w:rsidRPr="00DE2C38">
              <w:rPr>
                <w:rFonts w:ascii="Times New Roman" w:hAnsi="Times New Roman"/>
                <w:bCs/>
                <w:sz w:val="18"/>
                <w:szCs w:val="24"/>
              </w:rPr>
              <w:t xml:space="preserve">Capacidade de redução da produção do anião superóxido em </w:t>
            </w:r>
            <w:r w:rsidR="007B5FD7">
              <w:rPr>
                <w:rFonts w:ascii="Times New Roman" w:hAnsi="Times New Roman"/>
                <w:bCs/>
                <w:color w:val="auto"/>
                <w:sz w:val="18"/>
                <w:szCs w:val="24"/>
              </w:rPr>
              <w:t>promonó</w:t>
            </w:r>
            <w:r w:rsidR="007B5FD7" w:rsidRPr="007B5FD7">
              <w:rPr>
                <w:rFonts w:ascii="Times New Roman" w:hAnsi="Times New Roman"/>
                <w:bCs/>
                <w:color w:val="auto"/>
                <w:sz w:val="18"/>
                <w:szCs w:val="24"/>
              </w:rPr>
              <w:t>ci</w:t>
            </w:r>
            <w:r w:rsidRPr="007B5FD7">
              <w:rPr>
                <w:rFonts w:ascii="Times New Roman" w:hAnsi="Times New Roman"/>
                <w:bCs/>
                <w:color w:val="auto"/>
                <w:sz w:val="18"/>
                <w:szCs w:val="24"/>
              </w:rPr>
              <w:t>t</w:t>
            </w:r>
            <w:r w:rsidR="007B5FD7" w:rsidRPr="007B5FD7">
              <w:rPr>
                <w:rFonts w:ascii="Times New Roman" w:hAnsi="Times New Roman"/>
                <w:bCs/>
                <w:color w:val="auto"/>
                <w:sz w:val="18"/>
                <w:szCs w:val="24"/>
              </w:rPr>
              <w:t xml:space="preserve">os </w:t>
            </w:r>
            <w:r w:rsidR="007B5FD7">
              <w:rPr>
                <w:rFonts w:ascii="Times New Roman" w:hAnsi="Times New Roman"/>
                <w:bCs/>
                <w:sz w:val="18"/>
                <w:szCs w:val="24"/>
              </w:rPr>
              <w:t>humano</w:t>
            </w:r>
            <w:r w:rsidRPr="00DE2C38">
              <w:rPr>
                <w:rFonts w:ascii="Times New Roman" w:hAnsi="Times New Roman"/>
                <w:bCs/>
                <w:sz w:val="18"/>
                <w:szCs w:val="24"/>
              </w:rPr>
              <w:t>s;</w:t>
            </w:r>
            <w:r w:rsidRPr="00DE2C38">
              <w:rPr>
                <w:rFonts w:ascii="Times New Roman" w:hAnsi="Times New Roman"/>
                <w:sz w:val="18"/>
                <w:szCs w:val="24"/>
              </w:rPr>
              <w:t xml:space="preserve"> </w:t>
            </w:r>
          </w:p>
          <w:p w:rsidR="00A31C81" w:rsidRDefault="00A31C81" w:rsidP="001E20F8">
            <w:pPr>
              <w:pStyle w:val="PargrafodaLista"/>
              <w:numPr>
                <w:ilvl w:val="0"/>
                <w:numId w:val="13"/>
              </w:numPr>
              <w:tabs>
                <w:tab w:val="left" w:pos="187"/>
              </w:tabs>
              <w:spacing w:after="0" w:line="240" w:lineRule="auto"/>
              <w:ind w:left="187" w:hanging="283"/>
              <w:jc w:val="both"/>
              <w:cnfStyle w:val="000000000000"/>
              <w:rPr>
                <w:rFonts w:ascii="Times New Roman" w:hAnsi="Times New Roman"/>
                <w:bCs/>
                <w:sz w:val="18"/>
                <w:szCs w:val="24"/>
              </w:rPr>
            </w:pPr>
            <w:r w:rsidRPr="00DE2C38">
              <w:rPr>
                <w:rFonts w:ascii="Times New Roman" w:hAnsi="Times New Roman"/>
                <w:bCs/>
                <w:sz w:val="18"/>
                <w:szCs w:val="24"/>
              </w:rPr>
              <w:lastRenderedPageBreak/>
              <w:t xml:space="preserve">Prevenção da agregação plaquetária; </w:t>
            </w:r>
          </w:p>
          <w:p w:rsidR="00A31C81" w:rsidRPr="00DE2C38" w:rsidRDefault="00A31C81" w:rsidP="001E20F8">
            <w:pPr>
              <w:pStyle w:val="PargrafodaLista"/>
              <w:numPr>
                <w:ilvl w:val="0"/>
                <w:numId w:val="13"/>
              </w:numPr>
              <w:tabs>
                <w:tab w:val="left" w:pos="187"/>
              </w:tabs>
              <w:spacing w:after="0" w:line="240" w:lineRule="auto"/>
              <w:ind w:left="187" w:hanging="283"/>
              <w:jc w:val="both"/>
              <w:cnfStyle w:val="000000000000"/>
              <w:rPr>
                <w:rFonts w:ascii="Times New Roman" w:hAnsi="Times New Roman"/>
                <w:bCs/>
                <w:sz w:val="18"/>
                <w:szCs w:val="24"/>
              </w:rPr>
            </w:pPr>
            <w:r>
              <w:rPr>
                <w:rFonts w:ascii="Times New Roman" w:hAnsi="Times New Roman"/>
                <w:bCs/>
                <w:sz w:val="18"/>
                <w:szCs w:val="24"/>
              </w:rPr>
              <w:t>I</w:t>
            </w:r>
            <w:r w:rsidRPr="00DE2C38">
              <w:rPr>
                <w:rFonts w:ascii="Times New Roman" w:hAnsi="Times New Roman"/>
                <w:bCs/>
                <w:sz w:val="18"/>
                <w:szCs w:val="24"/>
              </w:rPr>
              <w:t>nibição da oxidação das lipoproteínas de baixa densidade (LDL);</w:t>
            </w:r>
          </w:p>
          <w:p w:rsidR="00A31C81" w:rsidRPr="00DE2C38" w:rsidRDefault="00A31C81" w:rsidP="001E20F8">
            <w:pPr>
              <w:pStyle w:val="PargrafodaLista"/>
              <w:numPr>
                <w:ilvl w:val="0"/>
                <w:numId w:val="13"/>
              </w:numPr>
              <w:tabs>
                <w:tab w:val="left" w:pos="187"/>
              </w:tabs>
              <w:spacing w:after="0" w:line="240" w:lineRule="auto"/>
              <w:ind w:left="187" w:hanging="283"/>
              <w:jc w:val="both"/>
              <w:cnfStyle w:val="000000000000"/>
              <w:rPr>
                <w:rFonts w:ascii="Times New Roman" w:hAnsi="Times New Roman"/>
                <w:bCs/>
                <w:sz w:val="18"/>
                <w:szCs w:val="24"/>
              </w:rPr>
            </w:pPr>
            <w:r w:rsidRPr="00DE2C38">
              <w:rPr>
                <w:rFonts w:ascii="Times New Roman" w:hAnsi="Times New Roman"/>
                <w:bCs/>
                <w:sz w:val="18"/>
                <w:szCs w:val="24"/>
              </w:rPr>
              <w:t xml:space="preserve">Protecção de tecido aórtico </w:t>
            </w:r>
            <w:r>
              <w:rPr>
                <w:rFonts w:ascii="Times New Roman" w:hAnsi="Times New Roman"/>
                <w:bCs/>
                <w:sz w:val="18"/>
                <w:szCs w:val="24"/>
              </w:rPr>
              <w:t>isolado de rato contra o stress</w:t>
            </w:r>
            <w:r w:rsidRPr="00DE2C38">
              <w:rPr>
                <w:rFonts w:ascii="Times New Roman" w:hAnsi="Times New Roman"/>
                <w:bCs/>
                <w:sz w:val="18"/>
                <w:szCs w:val="24"/>
              </w:rPr>
              <w:t xml:space="preserve"> oxidativo induzido pelo radical óxido nítrico</w:t>
            </w:r>
            <w:r>
              <w:rPr>
                <w:rFonts w:ascii="Times New Roman" w:hAnsi="Times New Roman"/>
                <w:bCs/>
                <w:sz w:val="18"/>
                <w:szCs w:val="24"/>
              </w:rPr>
              <w:t>;</w:t>
            </w:r>
          </w:p>
        </w:tc>
      </w:tr>
      <w:tr w:rsidR="00A31C81" w:rsidRPr="0066447C" w:rsidTr="001E20F8">
        <w:trPr>
          <w:cnfStyle w:val="000000100000"/>
          <w:jc w:val="center"/>
        </w:trPr>
        <w:tc>
          <w:tcPr>
            <w:cnfStyle w:val="001000000000"/>
            <w:tcW w:w="1415" w:type="pct"/>
            <w:vAlign w:val="center"/>
          </w:tcPr>
          <w:p w:rsidR="00A31C81" w:rsidRPr="0066447C" w:rsidRDefault="00A31C81" w:rsidP="001E20F8">
            <w:pPr>
              <w:spacing w:after="0" w:line="240" w:lineRule="auto"/>
              <w:jc w:val="center"/>
              <w:rPr>
                <w:rFonts w:ascii="Times New Roman" w:hAnsi="Times New Roman"/>
                <w:b/>
                <w:color w:val="009AD0"/>
                <w:sz w:val="20"/>
                <w:szCs w:val="24"/>
                <w:u w:val="single"/>
              </w:rPr>
            </w:pPr>
            <w:r w:rsidRPr="0066447C">
              <w:rPr>
                <w:rFonts w:ascii="Times New Roman" w:hAnsi="Times New Roman"/>
                <w:b/>
                <w:color w:val="009AD0"/>
                <w:sz w:val="20"/>
                <w:szCs w:val="24"/>
                <w:u w:val="single"/>
              </w:rPr>
              <w:lastRenderedPageBreak/>
              <w:t>Quimiopreventivo:</w:t>
            </w:r>
          </w:p>
        </w:tc>
        <w:tc>
          <w:tcPr>
            <w:tcW w:w="3585" w:type="pct"/>
            <w:vAlign w:val="center"/>
          </w:tcPr>
          <w:p w:rsidR="00A31C81" w:rsidRPr="00DE2C38" w:rsidRDefault="00A31C81" w:rsidP="001E20F8">
            <w:pPr>
              <w:pStyle w:val="PargrafodaLista"/>
              <w:numPr>
                <w:ilvl w:val="0"/>
                <w:numId w:val="13"/>
              </w:numPr>
              <w:tabs>
                <w:tab w:val="left" w:pos="187"/>
              </w:tabs>
              <w:spacing w:after="0" w:line="240" w:lineRule="auto"/>
              <w:ind w:left="187" w:hanging="283"/>
              <w:jc w:val="both"/>
              <w:cnfStyle w:val="000000100000"/>
              <w:rPr>
                <w:rFonts w:ascii="Times New Roman" w:hAnsi="Times New Roman"/>
                <w:bCs/>
                <w:sz w:val="18"/>
                <w:szCs w:val="24"/>
              </w:rPr>
            </w:pPr>
            <w:r w:rsidRPr="00DE2C38">
              <w:rPr>
                <w:rFonts w:ascii="Times New Roman" w:hAnsi="Times New Roman"/>
                <w:bCs/>
                <w:sz w:val="18"/>
                <w:szCs w:val="24"/>
              </w:rPr>
              <w:t xml:space="preserve">Efeito inibidor de danos no </w:t>
            </w:r>
            <w:r>
              <w:rPr>
                <w:rFonts w:ascii="Times New Roman" w:hAnsi="Times New Roman"/>
                <w:bCs/>
                <w:sz w:val="18"/>
                <w:szCs w:val="24"/>
              </w:rPr>
              <w:t>ADN</w:t>
            </w:r>
            <w:r w:rsidRPr="00DE2C38">
              <w:rPr>
                <w:rFonts w:ascii="Times New Roman" w:hAnsi="Times New Roman"/>
                <w:bCs/>
                <w:sz w:val="18"/>
                <w:szCs w:val="24"/>
              </w:rPr>
              <w:t xml:space="preserve"> dependentes de peroxinitritos;</w:t>
            </w:r>
          </w:p>
          <w:p w:rsidR="00A31C81" w:rsidRPr="00DE2C38"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Pr>
                <w:rFonts w:ascii="Times New Roman" w:hAnsi="Times New Roman"/>
                <w:bCs/>
                <w:sz w:val="18"/>
                <w:szCs w:val="24"/>
              </w:rPr>
              <w:t>I</w:t>
            </w:r>
            <w:r w:rsidRPr="00DE2C38">
              <w:rPr>
                <w:rFonts w:ascii="Times New Roman" w:hAnsi="Times New Roman"/>
                <w:bCs/>
                <w:sz w:val="18"/>
                <w:szCs w:val="24"/>
              </w:rPr>
              <w:t>ndução de apoptose dependente do citocromo C;</w:t>
            </w:r>
          </w:p>
        </w:tc>
      </w:tr>
      <w:tr w:rsidR="00A31C81" w:rsidRPr="0066447C" w:rsidTr="001E20F8">
        <w:trPr>
          <w:trHeight w:val="20"/>
          <w:jc w:val="center"/>
        </w:trPr>
        <w:tc>
          <w:tcPr>
            <w:cnfStyle w:val="001000000000"/>
            <w:tcW w:w="1415" w:type="pct"/>
            <w:vAlign w:val="center"/>
          </w:tcPr>
          <w:p w:rsidR="00A31C81" w:rsidRPr="0066447C" w:rsidRDefault="00A31C81" w:rsidP="001E20F8">
            <w:pPr>
              <w:spacing w:line="240" w:lineRule="auto"/>
              <w:jc w:val="center"/>
              <w:rPr>
                <w:rFonts w:ascii="Times New Roman" w:hAnsi="Times New Roman"/>
                <w:b/>
                <w:color w:val="009AD0"/>
                <w:sz w:val="20"/>
                <w:szCs w:val="24"/>
                <w:u w:val="single"/>
              </w:rPr>
            </w:pPr>
            <w:r w:rsidRPr="0066447C">
              <w:rPr>
                <w:rFonts w:ascii="Times New Roman" w:hAnsi="Times New Roman"/>
                <w:b/>
                <w:color w:val="009AD0"/>
                <w:sz w:val="20"/>
                <w:szCs w:val="24"/>
                <w:u w:val="single"/>
              </w:rPr>
              <w:t>A</w:t>
            </w:r>
            <w:r>
              <w:rPr>
                <w:rFonts w:ascii="Times New Roman" w:hAnsi="Times New Roman"/>
                <w:b/>
                <w:color w:val="009AD0"/>
                <w:sz w:val="20"/>
                <w:szCs w:val="24"/>
                <w:u w:val="single"/>
              </w:rPr>
              <w:t>ntiviral, antibacteriana e antifúngica</w:t>
            </w:r>
            <w:r w:rsidRPr="0066447C">
              <w:rPr>
                <w:rFonts w:ascii="Times New Roman" w:hAnsi="Times New Roman"/>
                <w:b/>
                <w:color w:val="009AD0"/>
                <w:sz w:val="20"/>
                <w:szCs w:val="24"/>
                <w:u w:val="single"/>
              </w:rPr>
              <w:t>:</w:t>
            </w:r>
          </w:p>
        </w:tc>
        <w:tc>
          <w:tcPr>
            <w:tcW w:w="3585" w:type="pct"/>
            <w:vAlign w:val="center"/>
          </w:tcPr>
          <w:p w:rsidR="00A31C81" w:rsidRDefault="00A31C81" w:rsidP="001E20F8">
            <w:pPr>
              <w:pStyle w:val="PargrafodaLista"/>
              <w:numPr>
                <w:ilvl w:val="0"/>
                <w:numId w:val="14"/>
              </w:numPr>
              <w:spacing w:after="0" w:line="240" w:lineRule="auto"/>
              <w:ind w:left="187" w:hanging="283"/>
              <w:jc w:val="both"/>
              <w:cnfStyle w:val="000000000000"/>
              <w:rPr>
                <w:rFonts w:ascii="Times New Roman" w:hAnsi="Times New Roman"/>
                <w:bCs/>
                <w:sz w:val="18"/>
                <w:szCs w:val="24"/>
              </w:rPr>
            </w:pPr>
            <w:r w:rsidRPr="00DE2C38">
              <w:rPr>
                <w:rFonts w:ascii="Times New Roman" w:hAnsi="Times New Roman"/>
                <w:bCs/>
                <w:sz w:val="18"/>
                <w:szCs w:val="24"/>
              </w:rPr>
              <w:t>Acção antimicrobiana em agentes patogénicos humanos, e em bactérias patogénicas agrícolas</w:t>
            </w:r>
            <w:r>
              <w:rPr>
                <w:rFonts w:ascii="Times New Roman" w:hAnsi="Times New Roman"/>
                <w:bCs/>
                <w:sz w:val="18"/>
                <w:szCs w:val="24"/>
              </w:rPr>
              <w:t>;</w:t>
            </w:r>
          </w:p>
          <w:p w:rsidR="00A31C81" w:rsidRPr="00497DAB" w:rsidRDefault="00A31C81" w:rsidP="001E20F8">
            <w:pPr>
              <w:pStyle w:val="PargrafodaLista"/>
              <w:numPr>
                <w:ilvl w:val="0"/>
                <w:numId w:val="14"/>
              </w:numPr>
              <w:spacing w:after="0" w:line="240" w:lineRule="auto"/>
              <w:ind w:left="187" w:hanging="283"/>
              <w:jc w:val="both"/>
              <w:cnfStyle w:val="000000000000"/>
              <w:rPr>
                <w:rFonts w:ascii="Times New Roman" w:hAnsi="Times New Roman"/>
                <w:bCs/>
                <w:sz w:val="18"/>
                <w:szCs w:val="24"/>
              </w:rPr>
            </w:pPr>
            <w:r w:rsidRPr="00301840">
              <w:rPr>
                <w:rFonts w:ascii="Times New Roman" w:hAnsi="Times New Roman"/>
                <w:bCs/>
                <w:sz w:val="18"/>
                <w:szCs w:val="24"/>
              </w:rPr>
              <w:t xml:space="preserve">Actividade antimicoplasmática contra </w:t>
            </w:r>
            <w:r w:rsidRPr="00301840">
              <w:rPr>
                <w:rFonts w:ascii="Times New Roman" w:hAnsi="Times New Roman" w:cs="Times New Roman"/>
                <w:i/>
                <w:iCs/>
                <w:sz w:val="18"/>
                <w:szCs w:val="20"/>
                <w:lang w:eastAsia="pt-PT"/>
              </w:rPr>
              <w:t>Mycoplasma pneumoniae</w:t>
            </w:r>
            <w:r w:rsidRPr="00301840">
              <w:rPr>
                <w:rFonts w:ascii="Times New Roman" w:hAnsi="Times New Roman" w:cs="Times New Roman"/>
                <w:sz w:val="18"/>
                <w:szCs w:val="20"/>
                <w:lang w:eastAsia="pt-PT"/>
              </w:rPr>
              <w:t xml:space="preserve">, </w:t>
            </w:r>
            <w:r w:rsidRPr="00301840">
              <w:rPr>
                <w:rFonts w:ascii="Times New Roman" w:hAnsi="Times New Roman" w:cs="Times New Roman"/>
                <w:i/>
                <w:iCs/>
                <w:sz w:val="18"/>
                <w:szCs w:val="20"/>
                <w:lang w:eastAsia="pt-PT"/>
              </w:rPr>
              <w:t>Mycoplasma hominis</w:t>
            </w:r>
            <w:r w:rsidRPr="00301840">
              <w:rPr>
                <w:rFonts w:ascii="Times New Roman" w:hAnsi="Times New Roman" w:cs="Times New Roman"/>
                <w:sz w:val="18"/>
                <w:szCs w:val="20"/>
                <w:lang w:eastAsia="pt-PT"/>
              </w:rPr>
              <w:t>, e</w:t>
            </w:r>
            <w:r>
              <w:rPr>
                <w:rFonts w:ascii="Times New Roman" w:hAnsi="Times New Roman" w:cs="Times New Roman"/>
                <w:sz w:val="18"/>
                <w:szCs w:val="20"/>
                <w:lang w:eastAsia="pt-PT"/>
              </w:rPr>
              <w:t xml:space="preserve"> </w:t>
            </w:r>
            <w:r w:rsidRPr="00301840">
              <w:rPr>
                <w:rFonts w:ascii="Times New Roman" w:hAnsi="Times New Roman" w:cs="Times New Roman"/>
                <w:i/>
                <w:iCs/>
                <w:sz w:val="18"/>
                <w:szCs w:val="20"/>
                <w:lang w:eastAsia="pt-PT"/>
              </w:rPr>
              <w:t xml:space="preserve">Mycoplasma </w:t>
            </w:r>
            <w:r w:rsidRPr="00301840">
              <w:rPr>
                <w:rFonts w:ascii="Times New Roman" w:hAnsi="Times New Roman"/>
                <w:i/>
                <w:iCs/>
                <w:sz w:val="18"/>
                <w:szCs w:val="20"/>
                <w:lang w:eastAsia="pt-PT"/>
              </w:rPr>
              <w:t>fermentans</w:t>
            </w:r>
            <w:r w:rsidRPr="00301840">
              <w:rPr>
                <w:rFonts w:ascii="Times New Roman" w:hAnsi="Times New Roman"/>
                <w:iCs/>
                <w:sz w:val="18"/>
                <w:szCs w:val="20"/>
                <w:lang w:eastAsia="pt-PT"/>
              </w:rPr>
              <w:t>;</w:t>
            </w:r>
          </w:p>
        </w:tc>
      </w:tr>
      <w:tr w:rsidR="00A31C81" w:rsidRPr="0066447C" w:rsidTr="001E20F8">
        <w:trPr>
          <w:cnfStyle w:val="000000100000"/>
          <w:trHeight w:val="416"/>
          <w:jc w:val="center"/>
        </w:trPr>
        <w:tc>
          <w:tcPr>
            <w:cnfStyle w:val="001000000000"/>
            <w:tcW w:w="1415" w:type="pct"/>
            <w:vAlign w:val="center"/>
          </w:tcPr>
          <w:p w:rsidR="00A31C81" w:rsidRPr="0066447C" w:rsidRDefault="00A31C81" w:rsidP="001E20F8">
            <w:pPr>
              <w:spacing w:after="0" w:line="240" w:lineRule="auto"/>
              <w:jc w:val="center"/>
              <w:rPr>
                <w:rFonts w:ascii="Times New Roman" w:hAnsi="Times New Roman"/>
                <w:b/>
                <w:color w:val="009AD0"/>
                <w:sz w:val="20"/>
                <w:szCs w:val="24"/>
                <w:u w:val="single"/>
              </w:rPr>
            </w:pPr>
            <w:r w:rsidRPr="0066447C">
              <w:rPr>
                <w:rFonts w:ascii="Times New Roman" w:hAnsi="Times New Roman"/>
                <w:b/>
                <w:color w:val="009AD0"/>
                <w:sz w:val="20"/>
                <w:szCs w:val="24"/>
                <w:u w:val="single"/>
              </w:rPr>
              <w:t>Antiproliferativo:</w:t>
            </w:r>
          </w:p>
        </w:tc>
        <w:tc>
          <w:tcPr>
            <w:tcW w:w="3585" w:type="pct"/>
            <w:vAlign w:val="center"/>
          </w:tcPr>
          <w:p w:rsidR="00A31C81"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sidRPr="00DE2C38">
              <w:rPr>
                <w:rFonts w:ascii="Times New Roman" w:hAnsi="Times New Roman"/>
                <w:bCs/>
                <w:sz w:val="18"/>
                <w:szCs w:val="24"/>
              </w:rPr>
              <w:t>Indução de apoptose em células HL-60</w:t>
            </w:r>
            <w:r w:rsidR="00B52ED5">
              <w:rPr>
                <w:rFonts w:ascii="Times New Roman" w:hAnsi="Times New Roman"/>
                <w:bCs/>
                <w:sz w:val="18"/>
                <w:szCs w:val="24"/>
              </w:rPr>
              <w:t xml:space="preserve"> (l</w:t>
            </w:r>
            <w:r w:rsidR="00B52ED5" w:rsidRPr="00B52ED5">
              <w:rPr>
                <w:rFonts w:ascii="Times New Roman" w:hAnsi="Times New Roman"/>
                <w:bCs/>
                <w:sz w:val="18"/>
                <w:szCs w:val="24"/>
              </w:rPr>
              <w:t>inha celular leucémica promielocítica humana</w:t>
            </w:r>
            <w:r w:rsidR="00B52ED5">
              <w:rPr>
                <w:rFonts w:ascii="Times New Roman" w:hAnsi="Times New Roman"/>
                <w:bCs/>
                <w:sz w:val="18"/>
                <w:szCs w:val="24"/>
              </w:rPr>
              <w:t>)</w:t>
            </w:r>
            <w:r w:rsidRPr="00DE2C38">
              <w:rPr>
                <w:rFonts w:ascii="Times New Roman" w:hAnsi="Times New Roman"/>
                <w:bCs/>
                <w:sz w:val="18"/>
                <w:szCs w:val="24"/>
              </w:rPr>
              <w:t xml:space="preserve"> por interrupção das fases G0/G1 do ciclo celular</w:t>
            </w:r>
            <w:r>
              <w:rPr>
                <w:rFonts w:ascii="Times New Roman" w:hAnsi="Times New Roman"/>
                <w:bCs/>
                <w:sz w:val="18"/>
                <w:szCs w:val="24"/>
              </w:rPr>
              <w:t>;</w:t>
            </w:r>
          </w:p>
          <w:p w:rsidR="00A31C81"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sidRPr="00497DAB">
              <w:rPr>
                <w:rFonts w:ascii="Times New Roman" w:hAnsi="Times New Roman"/>
                <w:bCs/>
                <w:sz w:val="18"/>
                <w:szCs w:val="24"/>
              </w:rPr>
              <w:t xml:space="preserve">Inibição de diferentes ciclos celulares em diferentes fases celulares: G1,S, S/G2, </w:t>
            </w:r>
            <w:r>
              <w:rPr>
                <w:rFonts w:ascii="Times New Roman" w:hAnsi="Times New Roman"/>
                <w:bCs/>
                <w:sz w:val="18"/>
                <w:szCs w:val="24"/>
              </w:rPr>
              <w:t>e</w:t>
            </w:r>
            <w:r w:rsidRPr="00497DAB">
              <w:rPr>
                <w:rFonts w:ascii="Times New Roman" w:hAnsi="Times New Roman"/>
                <w:bCs/>
                <w:sz w:val="18"/>
                <w:szCs w:val="24"/>
              </w:rPr>
              <w:t xml:space="preserve"> G2</w:t>
            </w:r>
            <w:r>
              <w:rPr>
                <w:rFonts w:ascii="Times New Roman" w:hAnsi="Times New Roman"/>
                <w:bCs/>
                <w:sz w:val="18"/>
                <w:szCs w:val="24"/>
              </w:rPr>
              <w:t>;</w:t>
            </w:r>
          </w:p>
          <w:p w:rsidR="00A31C81" w:rsidRPr="00497DAB"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Pr>
                <w:rFonts w:ascii="Times New Roman" w:hAnsi="Times New Roman"/>
                <w:bCs/>
                <w:sz w:val="18"/>
                <w:szCs w:val="24"/>
              </w:rPr>
              <w:t>Efeito directo ou indirecto na interrupção do ciclo celular, e consequente indução de apoptose envolvendo as proteínas p53, Bcl-2 e a família das caspases;</w:t>
            </w:r>
          </w:p>
          <w:p w:rsidR="00A31C81"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sidRPr="00DE2C38">
              <w:rPr>
                <w:rFonts w:ascii="Times New Roman" w:hAnsi="Times New Roman"/>
                <w:bCs/>
                <w:sz w:val="18"/>
                <w:szCs w:val="24"/>
              </w:rPr>
              <w:t>Inibição da proliferação de células humanas de adenocarcinoma do cólon Caco-2;</w:t>
            </w:r>
          </w:p>
          <w:p w:rsidR="00A31C81" w:rsidRPr="00DE2C38"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Pr>
                <w:rFonts w:ascii="Times New Roman" w:hAnsi="Times New Roman"/>
                <w:bCs/>
                <w:sz w:val="18"/>
                <w:szCs w:val="24"/>
              </w:rPr>
              <w:t>No tratamento de células humanas de carcinoma hepatocelular HepG2 uma concentração na ordem dos micromolar de hidroxitirosol previne o aumento da actividade da glutationo peroxidase (GPx) induzida pelo stress oxidativo nestas células;</w:t>
            </w:r>
          </w:p>
          <w:p w:rsidR="00A31C81"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sidRPr="00DE2C38">
              <w:rPr>
                <w:rFonts w:ascii="Times New Roman" w:hAnsi="Times New Roman"/>
                <w:bCs/>
                <w:sz w:val="18"/>
                <w:szCs w:val="24"/>
              </w:rPr>
              <w:t>Inibição da proliferação de células humanas de cancro da mama MCF-7</w:t>
            </w:r>
            <w:r>
              <w:rPr>
                <w:rFonts w:ascii="Times New Roman" w:hAnsi="Times New Roman"/>
                <w:bCs/>
                <w:sz w:val="18"/>
                <w:szCs w:val="24"/>
              </w:rPr>
              <w:t>;</w:t>
            </w:r>
          </w:p>
          <w:p w:rsidR="00A31C81" w:rsidRPr="00DE2C38"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Pr>
                <w:rFonts w:ascii="Times New Roman" w:hAnsi="Times New Roman"/>
                <w:bCs/>
                <w:sz w:val="18"/>
                <w:szCs w:val="24"/>
              </w:rPr>
              <w:t xml:space="preserve">Inibição </w:t>
            </w:r>
            <w:r w:rsidRPr="00AF6598">
              <w:rPr>
                <w:rFonts w:ascii="Times New Roman" w:hAnsi="Times New Roman"/>
                <w:bCs/>
                <w:i/>
                <w:sz w:val="18"/>
                <w:szCs w:val="24"/>
              </w:rPr>
              <w:t>in vivo</w:t>
            </w:r>
            <w:r>
              <w:rPr>
                <w:rFonts w:ascii="Times New Roman" w:hAnsi="Times New Roman"/>
                <w:bCs/>
                <w:sz w:val="18"/>
                <w:szCs w:val="24"/>
              </w:rPr>
              <w:t xml:space="preserve"> do crescimento tumoral mamário em ratos, similar à doxorrubicina (DOX);</w:t>
            </w:r>
          </w:p>
        </w:tc>
      </w:tr>
      <w:tr w:rsidR="00A31C81" w:rsidRPr="0066447C" w:rsidTr="001E20F8">
        <w:trPr>
          <w:trHeight w:val="416"/>
          <w:jc w:val="center"/>
        </w:trPr>
        <w:tc>
          <w:tcPr>
            <w:cnfStyle w:val="001000000000"/>
            <w:tcW w:w="1415" w:type="pct"/>
            <w:vAlign w:val="center"/>
          </w:tcPr>
          <w:p w:rsidR="00A31C81" w:rsidRPr="0066447C" w:rsidRDefault="00A31C81" w:rsidP="001E20F8">
            <w:pPr>
              <w:spacing w:after="0" w:line="240" w:lineRule="auto"/>
              <w:jc w:val="center"/>
              <w:rPr>
                <w:rFonts w:ascii="Times New Roman" w:hAnsi="Times New Roman"/>
                <w:b/>
                <w:color w:val="009AD0"/>
                <w:sz w:val="20"/>
                <w:szCs w:val="24"/>
                <w:u w:val="single"/>
              </w:rPr>
            </w:pPr>
            <w:r>
              <w:rPr>
                <w:rFonts w:ascii="Times New Roman" w:hAnsi="Times New Roman"/>
                <w:b/>
                <w:color w:val="009AD0"/>
                <w:sz w:val="20"/>
                <w:szCs w:val="24"/>
                <w:u w:val="single"/>
              </w:rPr>
              <w:t>Melhoramento das funções imunológicas:</w:t>
            </w:r>
          </w:p>
        </w:tc>
        <w:tc>
          <w:tcPr>
            <w:tcW w:w="3585" w:type="pct"/>
            <w:vAlign w:val="center"/>
          </w:tcPr>
          <w:p w:rsidR="00A31C81" w:rsidRPr="00CA0451" w:rsidRDefault="00A31C81" w:rsidP="001E20F8">
            <w:pPr>
              <w:pStyle w:val="PargrafodaLista"/>
              <w:numPr>
                <w:ilvl w:val="0"/>
                <w:numId w:val="14"/>
              </w:numPr>
              <w:spacing w:after="0" w:line="240" w:lineRule="auto"/>
              <w:ind w:left="187" w:hanging="283"/>
              <w:jc w:val="both"/>
              <w:cnfStyle w:val="000000000000"/>
              <w:rPr>
                <w:rFonts w:ascii="Times New Roman" w:hAnsi="Times New Roman"/>
                <w:bCs/>
                <w:sz w:val="18"/>
                <w:szCs w:val="24"/>
              </w:rPr>
            </w:pPr>
            <w:r>
              <w:rPr>
                <w:rFonts w:ascii="Times New Roman" w:hAnsi="Times New Roman"/>
                <w:bCs/>
                <w:sz w:val="18"/>
                <w:szCs w:val="24"/>
              </w:rPr>
              <w:t xml:space="preserve">Supressão da produção da citoquina pró-inflamatória e do factor de crescimento da maioria </w:t>
            </w:r>
            <w:r w:rsidRPr="00CA0451">
              <w:rPr>
                <w:rFonts w:ascii="Times New Roman" w:hAnsi="Times New Roman"/>
                <w:bCs/>
                <w:sz w:val="18"/>
                <w:szCs w:val="24"/>
              </w:rPr>
              <w:t>dos tumores, o TNF;</w:t>
            </w:r>
          </w:p>
          <w:p w:rsidR="00A31C81" w:rsidRPr="00DE2C38" w:rsidRDefault="00A31C81" w:rsidP="001E20F8">
            <w:pPr>
              <w:pStyle w:val="PargrafodaLista"/>
              <w:numPr>
                <w:ilvl w:val="0"/>
                <w:numId w:val="14"/>
              </w:numPr>
              <w:spacing w:after="0" w:line="240" w:lineRule="auto"/>
              <w:ind w:left="187" w:hanging="283"/>
              <w:jc w:val="both"/>
              <w:cnfStyle w:val="000000000000"/>
              <w:rPr>
                <w:rFonts w:ascii="Times New Roman" w:hAnsi="Times New Roman"/>
                <w:bCs/>
                <w:sz w:val="18"/>
                <w:szCs w:val="24"/>
              </w:rPr>
            </w:pPr>
            <w:r>
              <w:rPr>
                <w:rFonts w:ascii="Times New Roman" w:hAnsi="Times New Roman"/>
                <w:bCs/>
                <w:sz w:val="18"/>
                <w:szCs w:val="24"/>
              </w:rPr>
              <w:t xml:space="preserve">Supressão das lipoxigenases (LOXs), das quimiocinas </w:t>
            </w:r>
            <w:r w:rsidRPr="00CA0451">
              <w:rPr>
                <w:rFonts w:ascii="Times New Roman" w:hAnsi="Times New Roman"/>
                <w:bCs/>
                <w:i/>
                <w:sz w:val="18"/>
                <w:szCs w:val="24"/>
              </w:rPr>
              <w:t>inducible nitric oxide synthase</w:t>
            </w:r>
            <w:r>
              <w:rPr>
                <w:rFonts w:ascii="Times New Roman" w:hAnsi="Times New Roman"/>
                <w:bCs/>
                <w:sz w:val="18"/>
                <w:szCs w:val="24"/>
              </w:rPr>
              <w:t xml:space="preserve"> (iNOS), e de outras moléculas inflamatórias;</w:t>
            </w:r>
          </w:p>
        </w:tc>
      </w:tr>
      <w:tr w:rsidR="00A31C81" w:rsidRPr="0066447C" w:rsidTr="001E20F8">
        <w:trPr>
          <w:cnfStyle w:val="000000100000"/>
          <w:trHeight w:val="416"/>
          <w:jc w:val="center"/>
        </w:trPr>
        <w:tc>
          <w:tcPr>
            <w:cnfStyle w:val="001000000000"/>
            <w:tcW w:w="1415" w:type="pct"/>
            <w:vAlign w:val="center"/>
          </w:tcPr>
          <w:p w:rsidR="00A31C81" w:rsidRDefault="00A31C81" w:rsidP="001E20F8">
            <w:pPr>
              <w:spacing w:after="0" w:line="240" w:lineRule="auto"/>
              <w:jc w:val="center"/>
              <w:rPr>
                <w:rFonts w:ascii="Times New Roman" w:hAnsi="Times New Roman"/>
                <w:b/>
                <w:color w:val="009AD0"/>
                <w:sz w:val="20"/>
                <w:szCs w:val="24"/>
                <w:u w:val="single"/>
              </w:rPr>
            </w:pPr>
            <w:r>
              <w:rPr>
                <w:rFonts w:ascii="Times New Roman" w:hAnsi="Times New Roman"/>
                <w:b/>
                <w:color w:val="009AD0"/>
                <w:sz w:val="20"/>
                <w:szCs w:val="24"/>
                <w:u w:val="single"/>
              </w:rPr>
              <w:t>Inibição enzimática:</w:t>
            </w:r>
          </w:p>
        </w:tc>
        <w:tc>
          <w:tcPr>
            <w:tcW w:w="3585" w:type="pct"/>
            <w:vAlign w:val="center"/>
          </w:tcPr>
          <w:p w:rsidR="00A31C81"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Pr>
                <w:rFonts w:ascii="Times New Roman" w:hAnsi="Times New Roman"/>
                <w:bCs/>
                <w:sz w:val="18"/>
                <w:szCs w:val="24"/>
              </w:rPr>
              <w:t>Bloqueio da activação da carcinogénese pela inibição da cicloxigenase-2 (COX-2);</w:t>
            </w:r>
          </w:p>
          <w:p w:rsidR="00A31C81"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Pr>
                <w:rFonts w:ascii="Times New Roman" w:hAnsi="Times New Roman"/>
                <w:bCs/>
                <w:sz w:val="18"/>
                <w:szCs w:val="24"/>
              </w:rPr>
              <w:t>Inibição de enzimas de transdução de sinal como a proteína cinase C (PKC) e proteína tirosina cinase (PTK);</w:t>
            </w:r>
          </w:p>
          <w:p w:rsidR="00A31C81" w:rsidRDefault="00A31C81" w:rsidP="001E20F8">
            <w:pPr>
              <w:pStyle w:val="PargrafodaLista"/>
              <w:numPr>
                <w:ilvl w:val="0"/>
                <w:numId w:val="14"/>
              </w:numPr>
              <w:spacing w:after="0" w:line="240" w:lineRule="auto"/>
              <w:ind w:left="187" w:hanging="283"/>
              <w:jc w:val="both"/>
              <w:cnfStyle w:val="000000100000"/>
              <w:rPr>
                <w:rFonts w:ascii="Times New Roman" w:hAnsi="Times New Roman"/>
                <w:bCs/>
                <w:sz w:val="18"/>
                <w:szCs w:val="24"/>
              </w:rPr>
            </w:pPr>
            <w:r>
              <w:rPr>
                <w:rFonts w:ascii="Times New Roman" w:hAnsi="Times New Roman"/>
                <w:bCs/>
                <w:sz w:val="18"/>
                <w:szCs w:val="24"/>
              </w:rPr>
              <w:t>Inibição: da topoisomerase I e II, da xantina oxidase (XO), da telomerase, urease, lipase, da enzima de conversão da angiotensina I, e da ADN metiltransferase com consequente reactivação do supressor tumoral chave p16;</w:t>
            </w:r>
          </w:p>
        </w:tc>
      </w:tr>
      <w:tr w:rsidR="00A31C81" w:rsidRPr="0066447C" w:rsidTr="001E20F8">
        <w:trPr>
          <w:trHeight w:val="416"/>
          <w:jc w:val="center"/>
        </w:trPr>
        <w:tc>
          <w:tcPr>
            <w:cnfStyle w:val="001000000000"/>
            <w:tcW w:w="1415" w:type="pct"/>
            <w:vAlign w:val="center"/>
          </w:tcPr>
          <w:p w:rsidR="00A31C81" w:rsidRDefault="00A31C81" w:rsidP="001E20F8">
            <w:pPr>
              <w:spacing w:after="0" w:line="240" w:lineRule="auto"/>
              <w:jc w:val="center"/>
              <w:rPr>
                <w:rFonts w:ascii="Times New Roman" w:hAnsi="Times New Roman"/>
                <w:b/>
                <w:color w:val="009AD0"/>
                <w:sz w:val="20"/>
                <w:szCs w:val="24"/>
                <w:u w:val="single"/>
              </w:rPr>
            </w:pPr>
            <w:r>
              <w:rPr>
                <w:rFonts w:ascii="Times New Roman" w:hAnsi="Times New Roman"/>
                <w:b/>
                <w:color w:val="009AD0"/>
                <w:sz w:val="20"/>
                <w:szCs w:val="24"/>
                <w:u w:val="single"/>
              </w:rPr>
              <w:t xml:space="preserve">Inibição da adesão e invasão celular: </w:t>
            </w:r>
          </w:p>
        </w:tc>
        <w:tc>
          <w:tcPr>
            <w:tcW w:w="3585" w:type="pct"/>
            <w:vAlign w:val="center"/>
          </w:tcPr>
          <w:p w:rsidR="00A31C81" w:rsidRDefault="00A31C81" w:rsidP="001E20F8">
            <w:pPr>
              <w:pStyle w:val="PargrafodaLista"/>
              <w:numPr>
                <w:ilvl w:val="0"/>
                <w:numId w:val="14"/>
              </w:numPr>
              <w:spacing w:after="0" w:line="240" w:lineRule="auto"/>
              <w:ind w:left="187" w:hanging="283"/>
              <w:jc w:val="both"/>
              <w:cnfStyle w:val="000000000000"/>
              <w:rPr>
                <w:rFonts w:ascii="Times New Roman" w:hAnsi="Times New Roman"/>
                <w:bCs/>
                <w:sz w:val="18"/>
                <w:szCs w:val="24"/>
              </w:rPr>
            </w:pPr>
            <w:r>
              <w:rPr>
                <w:rFonts w:ascii="Times New Roman" w:hAnsi="Times New Roman"/>
                <w:bCs/>
                <w:sz w:val="18"/>
                <w:szCs w:val="24"/>
              </w:rPr>
              <w:t>Inibição da expressão das moléculas de adesão celular, molécula 1 de adesão intercelular (</w:t>
            </w:r>
            <w:r w:rsidRPr="002130D9">
              <w:rPr>
                <w:rFonts w:ascii="Times New Roman" w:hAnsi="Times New Roman"/>
                <w:bCs/>
                <w:sz w:val="18"/>
                <w:szCs w:val="24"/>
              </w:rPr>
              <w:t>ICAM-1</w:t>
            </w:r>
            <w:r>
              <w:rPr>
                <w:rFonts w:ascii="Times New Roman" w:hAnsi="Times New Roman"/>
                <w:bCs/>
                <w:sz w:val="18"/>
                <w:szCs w:val="24"/>
              </w:rPr>
              <w:t>)</w:t>
            </w:r>
            <w:r w:rsidRPr="002130D9">
              <w:rPr>
                <w:rFonts w:ascii="Times New Roman" w:hAnsi="Times New Roman"/>
                <w:bCs/>
                <w:sz w:val="18"/>
                <w:szCs w:val="24"/>
              </w:rPr>
              <w:t xml:space="preserve"> </w:t>
            </w:r>
            <w:r>
              <w:rPr>
                <w:rFonts w:ascii="Times New Roman" w:hAnsi="Times New Roman"/>
                <w:bCs/>
                <w:sz w:val="18"/>
                <w:szCs w:val="24"/>
              </w:rPr>
              <w:t>e molécula 1 de adesão celular vascular</w:t>
            </w:r>
            <w:r w:rsidRPr="002130D9">
              <w:rPr>
                <w:rFonts w:ascii="Times New Roman" w:hAnsi="Times New Roman"/>
                <w:bCs/>
                <w:sz w:val="18"/>
                <w:szCs w:val="24"/>
              </w:rPr>
              <w:t xml:space="preserve"> </w:t>
            </w:r>
            <w:r>
              <w:rPr>
                <w:rFonts w:ascii="Times New Roman" w:hAnsi="Times New Roman"/>
                <w:bCs/>
                <w:sz w:val="18"/>
                <w:szCs w:val="24"/>
              </w:rPr>
              <w:t>(</w:t>
            </w:r>
            <w:r w:rsidRPr="002130D9">
              <w:rPr>
                <w:rFonts w:ascii="Times New Roman" w:hAnsi="Times New Roman"/>
                <w:bCs/>
                <w:sz w:val="18"/>
                <w:szCs w:val="24"/>
              </w:rPr>
              <w:t>VCAM-1</w:t>
            </w:r>
            <w:r>
              <w:rPr>
                <w:rFonts w:ascii="Times New Roman" w:hAnsi="Times New Roman"/>
                <w:bCs/>
                <w:sz w:val="18"/>
                <w:szCs w:val="24"/>
              </w:rPr>
              <w:t>);</w:t>
            </w:r>
          </w:p>
          <w:p w:rsidR="00A31C81" w:rsidRDefault="00A31C81" w:rsidP="001E20F8">
            <w:pPr>
              <w:pStyle w:val="PargrafodaLista"/>
              <w:numPr>
                <w:ilvl w:val="0"/>
                <w:numId w:val="14"/>
              </w:numPr>
              <w:spacing w:after="0" w:line="240" w:lineRule="auto"/>
              <w:ind w:left="187" w:hanging="283"/>
              <w:jc w:val="both"/>
              <w:cnfStyle w:val="000000000000"/>
              <w:rPr>
                <w:rFonts w:ascii="Times New Roman" w:hAnsi="Times New Roman"/>
                <w:bCs/>
                <w:sz w:val="18"/>
                <w:szCs w:val="24"/>
              </w:rPr>
            </w:pPr>
            <w:r>
              <w:rPr>
                <w:rFonts w:ascii="Times New Roman" w:hAnsi="Times New Roman"/>
                <w:bCs/>
                <w:sz w:val="18"/>
                <w:szCs w:val="24"/>
              </w:rPr>
              <w:t>Inibição da invasão tumoral, da migração e proliferação celular;</w:t>
            </w:r>
          </w:p>
        </w:tc>
      </w:tr>
    </w:tbl>
    <w:p w:rsidR="00A31C81" w:rsidRPr="00CA0451" w:rsidRDefault="00A31C81" w:rsidP="00A31C81">
      <w:pPr>
        <w:spacing w:after="0"/>
        <w:jc w:val="both"/>
        <w:rPr>
          <w:rFonts w:ascii="Times New Roman" w:hAnsi="Times New Roman"/>
          <w:sz w:val="24"/>
          <w:szCs w:val="24"/>
        </w:rPr>
      </w:pPr>
    </w:p>
    <w:p w:rsidR="00343C2B" w:rsidRPr="00343C2B" w:rsidRDefault="00343C2B" w:rsidP="00343C2B">
      <w:pPr>
        <w:spacing w:after="0"/>
        <w:rPr>
          <w:rFonts w:ascii="Times New Roman" w:hAnsi="Times New Roman"/>
          <w:b/>
          <w:sz w:val="28"/>
          <w:szCs w:val="28"/>
        </w:rPr>
      </w:pPr>
    </w:p>
    <w:p w:rsidR="00071950" w:rsidRPr="00BF57D0" w:rsidRDefault="00071950" w:rsidP="00A33698">
      <w:pPr>
        <w:pStyle w:val="PargrafodaLista"/>
        <w:numPr>
          <w:ilvl w:val="1"/>
          <w:numId w:val="38"/>
        </w:numPr>
        <w:spacing w:after="0"/>
        <w:rPr>
          <w:rFonts w:ascii="Times New Roman" w:hAnsi="Times New Roman"/>
          <w:b/>
          <w:sz w:val="28"/>
          <w:szCs w:val="28"/>
        </w:rPr>
      </w:pPr>
      <w:r w:rsidRPr="00BF57D0">
        <w:rPr>
          <w:rFonts w:ascii="Times New Roman" w:hAnsi="Times New Roman"/>
          <w:b/>
          <w:sz w:val="28"/>
          <w:szCs w:val="28"/>
        </w:rPr>
        <w:t>Sistemas de extracção de azeite e seus subprodutos</w:t>
      </w:r>
    </w:p>
    <w:p w:rsidR="00071950" w:rsidRDefault="00071950" w:rsidP="00AD77AF">
      <w:pPr>
        <w:jc w:val="both"/>
        <w:rPr>
          <w:rFonts w:ascii="Times New Roman" w:hAnsi="Times New Roman"/>
          <w:sz w:val="24"/>
          <w:szCs w:val="24"/>
        </w:rPr>
      </w:pPr>
    </w:p>
    <w:p w:rsidR="005B03A2" w:rsidRDefault="00071950" w:rsidP="00AD77AF">
      <w:pPr>
        <w:jc w:val="both"/>
        <w:rPr>
          <w:rFonts w:ascii="Times New Roman" w:hAnsi="Times New Roman"/>
          <w:sz w:val="24"/>
          <w:szCs w:val="24"/>
        </w:rPr>
      </w:pPr>
      <w:r>
        <w:rPr>
          <w:rFonts w:ascii="Times New Roman" w:hAnsi="Times New Roman"/>
          <w:sz w:val="24"/>
          <w:szCs w:val="24"/>
        </w:rPr>
        <w:tab/>
      </w:r>
      <w:r w:rsidR="005B03A2">
        <w:rPr>
          <w:rFonts w:ascii="Times New Roman" w:hAnsi="Times New Roman"/>
          <w:sz w:val="24"/>
          <w:szCs w:val="24"/>
        </w:rPr>
        <w:t xml:space="preserve">A indústria do azeite assume uma grande importância nos países Mediterrânicos </w:t>
      </w:r>
      <w:r w:rsidR="003E68ED">
        <w:rPr>
          <w:rFonts w:ascii="Times New Roman" w:hAnsi="Times New Roman"/>
          <w:sz w:val="24"/>
          <w:szCs w:val="24"/>
        </w:rPr>
        <w:t>tanto em termos tradicionais como económicos, no entanto estas áreas são especialmente afectadas pelos resíduos resultantes desta produção.</w:t>
      </w:r>
      <w:r w:rsidR="00725ADB">
        <w:rPr>
          <w:rFonts w:ascii="Times New Roman" w:hAnsi="Times New Roman"/>
          <w:sz w:val="24"/>
          <w:szCs w:val="24"/>
        </w:rPr>
        <w:t xml:space="preserve"> A</w:t>
      </w:r>
      <w:r w:rsidR="003E68ED">
        <w:rPr>
          <w:rFonts w:ascii="Times New Roman" w:hAnsi="Times New Roman"/>
          <w:sz w:val="24"/>
          <w:szCs w:val="24"/>
        </w:rPr>
        <w:t xml:space="preserve"> extracção do azeite gera </w:t>
      </w:r>
      <w:r w:rsidR="008D362B">
        <w:rPr>
          <w:rFonts w:ascii="Times New Roman" w:hAnsi="Times New Roman"/>
          <w:sz w:val="24"/>
          <w:szCs w:val="24"/>
        </w:rPr>
        <w:t xml:space="preserve">enormes quantidades de resíduos, </w:t>
      </w:r>
      <w:r w:rsidR="00725ADB">
        <w:rPr>
          <w:rFonts w:ascii="Times New Roman" w:hAnsi="Times New Roman"/>
          <w:sz w:val="24"/>
          <w:szCs w:val="24"/>
        </w:rPr>
        <w:t>em curtos períodos de tempo,</w:t>
      </w:r>
      <w:r w:rsidR="008D362B" w:rsidRPr="008D362B">
        <w:rPr>
          <w:rFonts w:ascii="Times New Roman" w:hAnsi="Times New Roman"/>
          <w:sz w:val="24"/>
          <w:szCs w:val="24"/>
        </w:rPr>
        <w:t xml:space="preserve"> </w:t>
      </w:r>
      <w:r w:rsidR="008D362B">
        <w:rPr>
          <w:rFonts w:ascii="Times New Roman" w:hAnsi="Times New Roman"/>
          <w:sz w:val="24"/>
          <w:szCs w:val="24"/>
        </w:rPr>
        <w:t>nomeadamente as “águas russas”</w:t>
      </w:r>
      <w:r w:rsidR="00D33C01">
        <w:rPr>
          <w:rFonts w:ascii="Times New Roman" w:hAnsi="Times New Roman"/>
          <w:sz w:val="24"/>
          <w:szCs w:val="24"/>
        </w:rPr>
        <w:t>. Este tipo de resíduo caracteriza-se pela sua riqueza em ácidos orgânicos, lípidos, álcoois e polifenóis</w:t>
      </w:r>
      <w:r w:rsidR="008D362B">
        <w:rPr>
          <w:rFonts w:ascii="Times New Roman" w:hAnsi="Times New Roman"/>
          <w:sz w:val="24"/>
          <w:szCs w:val="24"/>
        </w:rPr>
        <w:t>,</w:t>
      </w:r>
      <w:r w:rsidR="00725ADB">
        <w:rPr>
          <w:rFonts w:ascii="Times New Roman" w:hAnsi="Times New Roman"/>
          <w:sz w:val="24"/>
          <w:szCs w:val="24"/>
        </w:rPr>
        <w:t xml:space="preserve"> </w:t>
      </w:r>
      <w:r w:rsidR="00D33C01">
        <w:rPr>
          <w:rFonts w:ascii="Times New Roman" w:hAnsi="Times New Roman"/>
          <w:sz w:val="24"/>
          <w:szCs w:val="24"/>
        </w:rPr>
        <w:t>que tornam as “águas russ</w:t>
      </w:r>
      <w:r w:rsidR="00FC3202">
        <w:rPr>
          <w:rFonts w:ascii="Times New Roman" w:hAnsi="Times New Roman"/>
          <w:sz w:val="24"/>
          <w:szCs w:val="24"/>
        </w:rPr>
        <w:t>as” materiais com elevada fitoto</w:t>
      </w:r>
      <w:r w:rsidR="00D33C01">
        <w:rPr>
          <w:rFonts w:ascii="Times New Roman" w:hAnsi="Times New Roman"/>
          <w:sz w:val="24"/>
          <w:szCs w:val="24"/>
        </w:rPr>
        <w:t xml:space="preserve">xicidade, e </w:t>
      </w:r>
      <w:r w:rsidR="00725ADB">
        <w:rPr>
          <w:rFonts w:ascii="Times New Roman" w:hAnsi="Times New Roman"/>
          <w:sz w:val="24"/>
          <w:szCs w:val="24"/>
        </w:rPr>
        <w:t>com grande impacto nos</w:t>
      </w:r>
      <w:r w:rsidR="003E68ED">
        <w:rPr>
          <w:rFonts w:ascii="Times New Roman" w:hAnsi="Times New Roman"/>
          <w:sz w:val="24"/>
          <w:szCs w:val="24"/>
        </w:rPr>
        <w:t xml:space="preserve"> solos e ecossistemas aquáticos, </w:t>
      </w:r>
      <w:r w:rsidR="00307F09">
        <w:rPr>
          <w:rFonts w:ascii="Times New Roman" w:hAnsi="Times New Roman"/>
          <w:sz w:val="24"/>
          <w:szCs w:val="24"/>
        </w:rPr>
        <w:t>incidindo</w:t>
      </w:r>
      <w:r w:rsidR="003E68ED">
        <w:rPr>
          <w:rFonts w:ascii="Times New Roman" w:hAnsi="Times New Roman"/>
          <w:sz w:val="24"/>
          <w:szCs w:val="24"/>
        </w:rPr>
        <w:t xml:space="preserve"> negativamente na população microbiana dos solos</w:t>
      </w:r>
      <w:r w:rsidR="00AF2BD9">
        <w:rPr>
          <w:rFonts w:ascii="Times New Roman" w:hAnsi="Times New Roman"/>
          <w:sz w:val="24"/>
          <w:szCs w:val="24"/>
        </w:rPr>
        <w:t xml:space="preserve"> (Sampedro </w:t>
      </w:r>
      <w:r w:rsidR="00AF2BD9" w:rsidRPr="005B03A2">
        <w:rPr>
          <w:rFonts w:ascii="Times New Roman" w:hAnsi="Times New Roman"/>
          <w:i/>
          <w:sz w:val="24"/>
          <w:szCs w:val="24"/>
        </w:rPr>
        <w:t>et al</w:t>
      </w:r>
      <w:r w:rsidR="00AF2BD9">
        <w:rPr>
          <w:rFonts w:ascii="Times New Roman" w:hAnsi="Times New Roman"/>
          <w:sz w:val="24"/>
          <w:szCs w:val="24"/>
        </w:rPr>
        <w:t xml:space="preserve">., 2004; Roig </w:t>
      </w:r>
      <w:r w:rsidR="00AF2BD9" w:rsidRPr="005B03A2">
        <w:rPr>
          <w:rFonts w:ascii="Times New Roman" w:hAnsi="Times New Roman"/>
          <w:i/>
          <w:sz w:val="24"/>
          <w:szCs w:val="24"/>
        </w:rPr>
        <w:t>et al</w:t>
      </w:r>
      <w:r w:rsidR="00AF2BD9">
        <w:rPr>
          <w:rFonts w:ascii="Times New Roman" w:hAnsi="Times New Roman"/>
          <w:sz w:val="24"/>
          <w:szCs w:val="24"/>
        </w:rPr>
        <w:t xml:space="preserve">., 2006). </w:t>
      </w:r>
      <w:r w:rsidR="003E68ED">
        <w:rPr>
          <w:rFonts w:ascii="Times New Roman" w:hAnsi="Times New Roman"/>
          <w:sz w:val="24"/>
          <w:szCs w:val="24"/>
        </w:rPr>
        <w:t xml:space="preserve">Neste sentido, têm sido desenvolvidas tecnologias para </w:t>
      </w:r>
      <w:r w:rsidR="003E68ED">
        <w:rPr>
          <w:rFonts w:ascii="Times New Roman" w:hAnsi="Times New Roman"/>
          <w:sz w:val="24"/>
          <w:szCs w:val="24"/>
        </w:rPr>
        <w:lastRenderedPageBreak/>
        <w:t xml:space="preserve">uma gestão mais ecológica dos resíduos da indústria do azeite de modo a minimizar o seu impacto no ambiente, e a dar </w:t>
      </w:r>
      <w:r w:rsidR="00725ADB">
        <w:rPr>
          <w:rFonts w:ascii="Times New Roman" w:hAnsi="Times New Roman"/>
          <w:sz w:val="24"/>
          <w:szCs w:val="24"/>
        </w:rPr>
        <w:t xml:space="preserve">uma </w:t>
      </w:r>
      <w:r w:rsidR="003E68ED">
        <w:rPr>
          <w:rFonts w:ascii="Times New Roman" w:hAnsi="Times New Roman"/>
          <w:sz w:val="24"/>
          <w:szCs w:val="24"/>
        </w:rPr>
        <w:t>resposta sustentável a es</w:t>
      </w:r>
      <w:r w:rsidR="00725ADB">
        <w:rPr>
          <w:rFonts w:ascii="Times New Roman" w:hAnsi="Times New Roman"/>
          <w:sz w:val="24"/>
          <w:szCs w:val="24"/>
        </w:rPr>
        <w:t xml:space="preserve">te tipo de </w:t>
      </w:r>
      <w:r w:rsidR="003E68ED">
        <w:rPr>
          <w:rFonts w:ascii="Times New Roman" w:hAnsi="Times New Roman"/>
          <w:sz w:val="24"/>
          <w:szCs w:val="24"/>
        </w:rPr>
        <w:t>resíduos</w:t>
      </w:r>
      <w:r w:rsidR="003E17B5">
        <w:rPr>
          <w:rFonts w:ascii="Times New Roman" w:hAnsi="Times New Roman"/>
          <w:sz w:val="24"/>
          <w:szCs w:val="24"/>
        </w:rPr>
        <w:t xml:space="preserve"> (Roig </w:t>
      </w:r>
      <w:r w:rsidR="003E17B5" w:rsidRPr="005B03A2">
        <w:rPr>
          <w:rFonts w:ascii="Times New Roman" w:hAnsi="Times New Roman"/>
          <w:i/>
          <w:sz w:val="24"/>
          <w:szCs w:val="24"/>
        </w:rPr>
        <w:t>et al</w:t>
      </w:r>
      <w:r w:rsidR="003E17B5">
        <w:rPr>
          <w:rFonts w:ascii="Times New Roman" w:hAnsi="Times New Roman"/>
          <w:sz w:val="24"/>
          <w:szCs w:val="24"/>
        </w:rPr>
        <w:t>.</w:t>
      </w:r>
      <w:r w:rsidR="0021030E">
        <w:rPr>
          <w:rFonts w:ascii="Times New Roman" w:hAnsi="Times New Roman"/>
          <w:sz w:val="24"/>
          <w:szCs w:val="24"/>
        </w:rPr>
        <w:t>, 2006</w:t>
      </w:r>
      <w:r w:rsidR="003E17B5">
        <w:rPr>
          <w:rFonts w:ascii="Times New Roman" w:hAnsi="Times New Roman"/>
          <w:sz w:val="24"/>
          <w:szCs w:val="24"/>
        </w:rPr>
        <w:t>)</w:t>
      </w:r>
      <w:r w:rsidR="003E68ED">
        <w:rPr>
          <w:rFonts w:ascii="Times New Roman" w:hAnsi="Times New Roman"/>
          <w:sz w:val="24"/>
          <w:szCs w:val="24"/>
        </w:rPr>
        <w:t xml:space="preserve">. </w:t>
      </w:r>
    </w:p>
    <w:p w:rsidR="00307F09" w:rsidRDefault="00AA1A14" w:rsidP="00BF527E">
      <w:pPr>
        <w:jc w:val="both"/>
        <w:rPr>
          <w:rFonts w:ascii="Times New Roman" w:hAnsi="Times New Roman"/>
          <w:sz w:val="24"/>
          <w:szCs w:val="24"/>
        </w:rPr>
      </w:pPr>
      <w:r>
        <w:rPr>
          <w:rFonts w:ascii="Times New Roman" w:hAnsi="Times New Roman"/>
          <w:sz w:val="24"/>
          <w:szCs w:val="24"/>
        </w:rPr>
        <w:tab/>
      </w:r>
      <w:r w:rsidR="00BF527E">
        <w:rPr>
          <w:rFonts w:ascii="Times New Roman" w:hAnsi="Times New Roman"/>
          <w:sz w:val="24"/>
          <w:szCs w:val="24"/>
        </w:rPr>
        <w:t>A extracção de azeite engloba diferentes processamentos como lavagem, moagem, batedura</w:t>
      </w:r>
      <w:r w:rsidR="00ED7981">
        <w:rPr>
          <w:rFonts w:ascii="Times New Roman" w:hAnsi="Times New Roman"/>
          <w:sz w:val="24"/>
          <w:szCs w:val="24"/>
        </w:rPr>
        <w:t xml:space="preserve"> e esmagamento</w:t>
      </w:r>
      <w:r w:rsidR="00C52204">
        <w:rPr>
          <w:rFonts w:ascii="Times New Roman" w:hAnsi="Times New Roman"/>
          <w:sz w:val="24"/>
          <w:szCs w:val="24"/>
        </w:rPr>
        <w:t xml:space="preserve"> e prensa</w:t>
      </w:r>
      <w:r w:rsidR="00BF527E">
        <w:rPr>
          <w:rFonts w:ascii="Times New Roman" w:hAnsi="Times New Roman"/>
          <w:sz w:val="24"/>
          <w:szCs w:val="24"/>
        </w:rPr>
        <w:t>, e a própria extracção em si, que constitui a bas</w:t>
      </w:r>
      <w:r w:rsidR="00ED7981">
        <w:rPr>
          <w:rFonts w:ascii="Times New Roman" w:hAnsi="Times New Roman"/>
          <w:sz w:val="24"/>
          <w:szCs w:val="24"/>
        </w:rPr>
        <w:t>e de todo processo. A natureza,</w:t>
      </w:r>
      <w:r w:rsidR="00BF527E">
        <w:rPr>
          <w:rFonts w:ascii="Times New Roman" w:hAnsi="Times New Roman"/>
          <w:sz w:val="24"/>
          <w:szCs w:val="24"/>
        </w:rPr>
        <w:t xml:space="preserve"> quantidade, </w:t>
      </w:r>
      <w:r w:rsidR="00ED7981">
        <w:rPr>
          <w:rFonts w:ascii="Times New Roman" w:hAnsi="Times New Roman"/>
          <w:sz w:val="24"/>
          <w:szCs w:val="24"/>
        </w:rPr>
        <w:t>e</w:t>
      </w:r>
      <w:r w:rsidR="00A42153">
        <w:rPr>
          <w:rFonts w:ascii="Times New Roman" w:hAnsi="Times New Roman"/>
          <w:sz w:val="24"/>
          <w:szCs w:val="24"/>
        </w:rPr>
        <w:t xml:space="preserve"> </w:t>
      </w:r>
      <w:r w:rsidR="00BF527E">
        <w:rPr>
          <w:rFonts w:ascii="Times New Roman" w:hAnsi="Times New Roman"/>
          <w:sz w:val="24"/>
          <w:szCs w:val="24"/>
        </w:rPr>
        <w:t>propriedades físico-químicas dos re</w:t>
      </w:r>
      <w:r w:rsidR="003E17B5">
        <w:rPr>
          <w:rFonts w:ascii="Times New Roman" w:hAnsi="Times New Roman"/>
          <w:sz w:val="24"/>
          <w:szCs w:val="24"/>
        </w:rPr>
        <w:t>síduos produzidos</w:t>
      </w:r>
      <w:r w:rsidR="00ED7981">
        <w:rPr>
          <w:rFonts w:ascii="Times New Roman" w:hAnsi="Times New Roman"/>
          <w:sz w:val="24"/>
          <w:szCs w:val="24"/>
        </w:rPr>
        <w:t>,</w:t>
      </w:r>
      <w:r w:rsidR="003E17B5">
        <w:rPr>
          <w:rFonts w:ascii="Times New Roman" w:hAnsi="Times New Roman"/>
          <w:sz w:val="24"/>
          <w:szCs w:val="24"/>
        </w:rPr>
        <w:t xml:space="preserve"> </w:t>
      </w:r>
      <w:r w:rsidR="00A42153">
        <w:rPr>
          <w:rFonts w:ascii="Times New Roman" w:hAnsi="Times New Roman"/>
          <w:sz w:val="24"/>
          <w:szCs w:val="24"/>
        </w:rPr>
        <w:t>dependem</w:t>
      </w:r>
      <w:r w:rsidR="003E17B5">
        <w:rPr>
          <w:rFonts w:ascii="Times New Roman" w:hAnsi="Times New Roman"/>
          <w:sz w:val="24"/>
          <w:szCs w:val="24"/>
        </w:rPr>
        <w:t xml:space="preserve"> da esc</w:t>
      </w:r>
      <w:r w:rsidR="00BF527E">
        <w:rPr>
          <w:rFonts w:ascii="Times New Roman" w:hAnsi="Times New Roman"/>
          <w:sz w:val="24"/>
          <w:szCs w:val="24"/>
        </w:rPr>
        <w:t>olha do método de extracção.</w:t>
      </w:r>
      <w:r w:rsidR="00A42153">
        <w:rPr>
          <w:rFonts w:ascii="Times New Roman" w:hAnsi="Times New Roman"/>
          <w:sz w:val="24"/>
          <w:szCs w:val="24"/>
        </w:rPr>
        <w:t xml:space="preserve"> Existem dois métodos de extracção de azeite: o esmagamento tradicional</w:t>
      </w:r>
      <w:r w:rsidR="00C52204">
        <w:rPr>
          <w:rFonts w:ascii="Times New Roman" w:hAnsi="Times New Roman"/>
          <w:sz w:val="24"/>
          <w:szCs w:val="24"/>
        </w:rPr>
        <w:t xml:space="preserve"> ou prensa</w:t>
      </w:r>
      <w:r w:rsidR="00A42153">
        <w:rPr>
          <w:rFonts w:ascii="Times New Roman" w:hAnsi="Times New Roman"/>
          <w:sz w:val="24"/>
          <w:szCs w:val="24"/>
        </w:rPr>
        <w:t>, utilizado por muitos séculos com apenas pequenas modificações, e a centrifugação, utilizada nas últimas décadas como método preferencial. Existem ainda dois sistemas de centrifugação denominados de sistema de três fases e sistema de duas fases</w:t>
      </w:r>
      <w:r w:rsidR="00ED7981">
        <w:rPr>
          <w:rFonts w:ascii="Times New Roman" w:hAnsi="Times New Roman"/>
          <w:sz w:val="24"/>
          <w:szCs w:val="24"/>
        </w:rPr>
        <w:t xml:space="preserve"> (Figura </w:t>
      </w:r>
      <w:r w:rsidR="00D8395A">
        <w:rPr>
          <w:rFonts w:ascii="Times New Roman" w:hAnsi="Times New Roman"/>
          <w:sz w:val="24"/>
          <w:szCs w:val="24"/>
        </w:rPr>
        <w:t>6</w:t>
      </w:r>
      <w:r w:rsidR="00ED7981">
        <w:rPr>
          <w:rFonts w:ascii="Times New Roman" w:hAnsi="Times New Roman"/>
          <w:sz w:val="24"/>
          <w:szCs w:val="24"/>
        </w:rPr>
        <w:t>)</w:t>
      </w:r>
      <w:r w:rsidR="009C3EA0">
        <w:rPr>
          <w:rFonts w:ascii="Times New Roman" w:hAnsi="Times New Roman"/>
          <w:sz w:val="24"/>
          <w:szCs w:val="24"/>
        </w:rPr>
        <w:t xml:space="preserve"> (Moral </w:t>
      </w:r>
      <w:r w:rsidR="009C3EA0" w:rsidRPr="005B03A2">
        <w:rPr>
          <w:rFonts w:ascii="Times New Roman" w:hAnsi="Times New Roman"/>
          <w:i/>
          <w:sz w:val="24"/>
          <w:szCs w:val="24"/>
        </w:rPr>
        <w:t>et al</w:t>
      </w:r>
      <w:r w:rsidR="009C3EA0">
        <w:rPr>
          <w:rFonts w:ascii="Times New Roman" w:hAnsi="Times New Roman"/>
          <w:sz w:val="24"/>
          <w:szCs w:val="24"/>
        </w:rPr>
        <w:t xml:space="preserve">., 2006; Roig </w:t>
      </w:r>
      <w:r w:rsidR="009C3EA0" w:rsidRPr="005B03A2">
        <w:rPr>
          <w:rFonts w:ascii="Times New Roman" w:hAnsi="Times New Roman"/>
          <w:i/>
          <w:sz w:val="24"/>
          <w:szCs w:val="24"/>
        </w:rPr>
        <w:t>et al</w:t>
      </w:r>
      <w:r w:rsidR="009C3EA0">
        <w:rPr>
          <w:rFonts w:ascii="Times New Roman" w:hAnsi="Times New Roman"/>
          <w:sz w:val="24"/>
          <w:szCs w:val="24"/>
        </w:rPr>
        <w:t>., 2006)</w:t>
      </w:r>
      <w:r w:rsidR="00A42153">
        <w:rPr>
          <w:rFonts w:ascii="Times New Roman" w:hAnsi="Times New Roman"/>
          <w:sz w:val="24"/>
          <w:szCs w:val="24"/>
        </w:rPr>
        <w:t>.</w:t>
      </w:r>
      <w:r w:rsidR="007A258C">
        <w:rPr>
          <w:rFonts w:ascii="Times New Roman" w:hAnsi="Times New Roman"/>
          <w:sz w:val="24"/>
          <w:szCs w:val="24"/>
        </w:rPr>
        <w:t xml:space="preserve"> </w:t>
      </w:r>
    </w:p>
    <w:p w:rsidR="00AF2BD9" w:rsidRDefault="00307F09" w:rsidP="00575C17">
      <w:pPr>
        <w:jc w:val="both"/>
        <w:rPr>
          <w:rFonts w:ascii="Times New Roman" w:hAnsi="Times New Roman"/>
          <w:sz w:val="24"/>
          <w:szCs w:val="24"/>
        </w:rPr>
      </w:pPr>
      <w:r>
        <w:rPr>
          <w:rFonts w:ascii="Times New Roman" w:hAnsi="Times New Roman"/>
          <w:sz w:val="24"/>
          <w:szCs w:val="24"/>
        </w:rPr>
        <w:tab/>
      </w:r>
      <w:r w:rsidR="0021030E">
        <w:rPr>
          <w:rFonts w:ascii="Times New Roman" w:hAnsi="Times New Roman"/>
          <w:sz w:val="24"/>
          <w:szCs w:val="24"/>
        </w:rPr>
        <w:t xml:space="preserve">Embora </w:t>
      </w:r>
      <w:r w:rsidR="00A22ECF">
        <w:rPr>
          <w:rFonts w:ascii="Times New Roman" w:hAnsi="Times New Roman"/>
          <w:sz w:val="24"/>
          <w:szCs w:val="24"/>
        </w:rPr>
        <w:t>arcaica</w:t>
      </w:r>
      <w:r w:rsidR="0021030E">
        <w:rPr>
          <w:rFonts w:ascii="Times New Roman" w:hAnsi="Times New Roman"/>
          <w:sz w:val="24"/>
          <w:szCs w:val="24"/>
        </w:rPr>
        <w:t>, a técnica de esmagamento</w:t>
      </w:r>
      <w:r w:rsidR="006966E1">
        <w:rPr>
          <w:rFonts w:ascii="Times New Roman" w:hAnsi="Times New Roman"/>
          <w:sz w:val="24"/>
          <w:szCs w:val="24"/>
        </w:rPr>
        <w:t xml:space="preserve"> e prensa</w:t>
      </w:r>
      <w:r w:rsidR="0021030E">
        <w:rPr>
          <w:rFonts w:ascii="Times New Roman" w:hAnsi="Times New Roman"/>
          <w:sz w:val="24"/>
          <w:szCs w:val="24"/>
        </w:rPr>
        <w:t xml:space="preserve"> tradicional continua ainda a ser aplicada em países como Itália, Gr</w:t>
      </w:r>
      <w:r w:rsidR="00A22ECF">
        <w:rPr>
          <w:rFonts w:ascii="Times New Roman" w:hAnsi="Times New Roman"/>
          <w:sz w:val="24"/>
          <w:szCs w:val="24"/>
        </w:rPr>
        <w:t xml:space="preserve">écia, Croácia, Malta e Portugal. Neste método, </w:t>
      </w:r>
      <w:r w:rsidR="00071950">
        <w:rPr>
          <w:rFonts w:ascii="Times New Roman" w:hAnsi="Times New Roman"/>
          <w:sz w:val="24"/>
          <w:szCs w:val="24"/>
        </w:rPr>
        <w:t>a</w:t>
      </w:r>
      <w:r w:rsidR="0021030E">
        <w:rPr>
          <w:rFonts w:ascii="Times New Roman" w:hAnsi="Times New Roman"/>
          <w:sz w:val="24"/>
          <w:szCs w:val="24"/>
        </w:rPr>
        <w:t xml:space="preserve">pós a extracção de azeite é obtida uma fracção sólida, o bagaço de azeitona tido como subproduto, juntamente com uma emulsão </w:t>
      </w:r>
      <w:r w:rsidR="00071950">
        <w:rPr>
          <w:rFonts w:ascii="Times New Roman" w:hAnsi="Times New Roman"/>
          <w:sz w:val="24"/>
          <w:szCs w:val="24"/>
        </w:rPr>
        <w:t xml:space="preserve">que contém o azeite que é retirado por decantação das </w:t>
      </w:r>
      <w:r>
        <w:rPr>
          <w:rFonts w:ascii="Times New Roman" w:hAnsi="Times New Roman"/>
          <w:sz w:val="24"/>
          <w:szCs w:val="24"/>
        </w:rPr>
        <w:t>“</w:t>
      </w:r>
      <w:r w:rsidR="00071950">
        <w:rPr>
          <w:rFonts w:ascii="Times New Roman" w:hAnsi="Times New Roman"/>
          <w:sz w:val="24"/>
          <w:szCs w:val="24"/>
        </w:rPr>
        <w:t>águas russas</w:t>
      </w:r>
      <w:r>
        <w:rPr>
          <w:rFonts w:ascii="Times New Roman" w:hAnsi="Times New Roman"/>
          <w:sz w:val="24"/>
          <w:szCs w:val="24"/>
        </w:rPr>
        <w:t>”</w:t>
      </w:r>
      <w:r w:rsidR="00071950">
        <w:rPr>
          <w:rFonts w:ascii="Times New Roman" w:hAnsi="Times New Roman"/>
          <w:sz w:val="24"/>
          <w:szCs w:val="24"/>
        </w:rPr>
        <w:t xml:space="preserve"> residuais</w:t>
      </w:r>
      <w:r w:rsidR="009A0D79">
        <w:rPr>
          <w:rFonts w:ascii="Times New Roman" w:hAnsi="Times New Roman"/>
          <w:sz w:val="24"/>
          <w:szCs w:val="24"/>
        </w:rPr>
        <w:t xml:space="preserve"> (Figura 6)</w:t>
      </w:r>
      <w:r w:rsidR="00071950">
        <w:rPr>
          <w:rFonts w:ascii="Times New Roman" w:hAnsi="Times New Roman"/>
          <w:sz w:val="24"/>
          <w:szCs w:val="24"/>
        </w:rPr>
        <w:t xml:space="preserve">. </w:t>
      </w:r>
      <w:r w:rsidR="00A22ECF">
        <w:rPr>
          <w:rFonts w:ascii="Times New Roman" w:hAnsi="Times New Roman"/>
          <w:sz w:val="24"/>
          <w:szCs w:val="24"/>
        </w:rPr>
        <w:t>Já o</w:t>
      </w:r>
      <w:r w:rsidR="00910A0C">
        <w:rPr>
          <w:rFonts w:ascii="Times New Roman" w:hAnsi="Times New Roman"/>
          <w:sz w:val="24"/>
          <w:szCs w:val="24"/>
        </w:rPr>
        <w:t xml:space="preserve"> sistema de três fases gera três fracções no final do processo: uma sólida, </w:t>
      </w:r>
      <w:r w:rsidR="009C3EA0">
        <w:rPr>
          <w:rFonts w:ascii="Times New Roman" w:hAnsi="Times New Roman"/>
          <w:sz w:val="24"/>
          <w:szCs w:val="24"/>
        </w:rPr>
        <w:t>o</w:t>
      </w:r>
      <w:r w:rsidR="001154D3">
        <w:rPr>
          <w:rFonts w:ascii="Times New Roman" w:hAnsi="Times New Roman"/>
          <w:sz w:val="24"/>
          <w:szCs w:val="24"/>
        </w:rPr>
        <w:t xml:space="preserve"> </w:t>
      </w:r>
      <w:r w:rsidR="00910A0C">
        <w:rPr>
          <w:rFonts w:ascii="Times New Roman" w:hAnsi="Times New Roman"/>
          <w:sz w:val="24"/>
          <w:szCs w:val="24"/>
        </w:rPr>
        <w:t>bagaço de azeitona, e duas fra</w:t>
      </w:r>
      <w:r w:rsidR="00F73865">
        <w:rPr>
          <w:rFonts w:ascii="Times New Roman" w:hAnsi="Times New Roman"/>
          <w:sz w:val="24"/>
          <w:szCs w:val="24"/>
        </w:rPr>
        <w:t>c</w:t>
      </w:r>
      <w:r w:rsidR="00910A0C">
        <w:rPr>
          <w:rFonts w:ascii="Times New Roman" w:hAnsi="Times New Roman"/>
          <w:sz w:val="24"/>
          <w:szCs w:val="24"/>
        </w:rPr>
        <w:t>ções líquidas, o azeite e as “águas russas”</w:t>
      </w:r>
      <w:r w:rsidR="00B32931">
        <w:rPr>
          <w:rFonts w:ascii="Times New Roman" w:hAnsi="Times New Roman"/>
          <w:sz w:val="24"/>
          <w:szCs w:val="24"/>
        </w:rPr>
        <w:t xml:space="preserve"> (Figura </w:t>
      </w:r>
      <w:r w:rsidR="00F46F70">
        <w:rPr>
          <w:rFonts w:ascii="Times New Roman" w:hAnsi="Times New Roman"/>
          <w:sz w:val="24"/>
          <w:szCs w:val="24"/>
        </w:rPr>
        <w:t>6</w:t>
      </w:r>
      <w:r w:rsidR="00B32931">
        <w:rPr>
          <w:rFonts w:ascii="Times New Roman" w:hAnsi="Times New Roman"/>
          <w:sz w:val="24"/>
          <w:szCs w:val="24"/>
        </w:rPr>
        <w:t>)</w:t>
      </w:r>
      <w:r w:rsidR="00910A0C">
        <w:rPr>
          <w:rFonts w:ascii="Times New Roman" w:hAnsi="Times New Roman"/>
          <w:sz w:val="24"/>
          <w:szCs w:val="24"/>
        </w:rPr>
        <w:t xml:space="preserve">. </w:t>
      </w:r>
      <w:r w:rsidR="00F73865">
        <w:rPr>
          <w:rFonts w:ascii="Times New Roman" w:hAnsi="Times New Roman"/>
          <w:sz w:val="24"/>
          <w:szCs w:val="24"/>
        </w:rPr>
        <w:t xml:space="preserve">Apesar </w:t>
      </w:r>
      <w:r w:rsidR="008D362B">
        <w:rPr>
          <w:rFonts w:ascii="Times New Roman" w:hAnsi="Times New Roman"/>
          <w:sz w:val="24"/>
          <w:szCs w:val="24"/>
        </w:rPr>
        <w:t>das vantagens que apresenta</w:t>
      </w:r>
      <w:r w:rsidR="00F73865">
        <w:rPr>
          <w:rFonts w:ascii="Times New Roman" w:hAnsi="Times New Roman"/>
          <w:sz w:val="24"/>
          <w:szCs w:val="24"/>
        </w:rPr>
        <w:t>, nomeadamente automação completa, melhoramento da qua</w:t>
      </w:r>
      <w:r w:rsidR="008D362B">
        <w:rPr>
          <w:rFonts w:ascii="Times New Roman" w:hAnsi="Times New Roman"/>
          <w:sz w:val="24"/>
          <w:szCs w:val="24"/>
        </w:rPr>
        <w:t>l</w:t>
      </w:r>
      <w:r w:rsidR="00A22ECF">
        <w:rPr>
          <w:rFonts w:ascii="Times New Roman" w:hAnsi="Times New Roman"/>
          <w:sz w:val="24"/>
          <w:szCs w:val="24"/>
        </w:rPr>
        <w:t>idade do azeite e</w:t>
      </w:r>
      <w:r w:rsidR="00F73865">
        <w:rPr>
          <w:rFonts w:ascii="Times New Roman" w:hAnsi="Times New Roman"/>
          <w:sz w:val="24"/>
          <w:szCs w:val="24"/>
        </w:rPr>
        <w:t xml:space="preserve"> diminuição da área necessária, </w:t>
      </w:r>
      <w:r w:rsidR="008D362B">
        <w:rPr>
          <w:rFonts w:ascii="Times New Roman" w:hAnsi="Times New Roman"/>
          <w:sz w:val="24"/>
          <w:szCs w:val="24"/>
        </w:rPr>
        <w:t>o sistema de três fases também possui</w:t>
      </w:r>
      <w:r w:rsidR="00F73865">
        <w:rPr>
          <w:rFonts w:ascii="Times New Roman" w:hAnsi="Times New Roman"/>
          <w:sz w:val="24"/>
          <w:szCs w:val="24"/>
        </w:rPr>
        <w:t xml:space="preserve"> desvantagens tais como maior </w:t>
      </w:r>
      <w:r w:rsidR="008D362B">
        <w:rPr>
          <w:rFonts w:ascii="Times New Roman" w:hAnsi="Times New Roman"/>
          <w:sz w:val="24"/>
          <w:szCs w:val="24"/>
        </w:rPr>
        <w:t>quantidade de água e energia consumidas, maior quantidade de “águas russas” produzidas e instalações mais dispendiosas</w:t>
      </w:r>
      <w:r w:rsidR="009C3EA0">
        <w:rPr>
          <w:rFonts w:ascii="Times New Roman" w:hAnsi="Times New Roman"/>
          <w:sz w:val="24"/>
          <w:szCs w:val="24"/>
        </w:rPr>
        <w:t xml:space="preserve"> (</w:t>
      </w:r>
      <w:r w:rsidR="00DF0F68">
        <w:rPr>
          <w:rFonts w:ascii="Times New Roman" w:hAnsi="Times New Roman"/>
          <w:sz w:val="24"/>
          <w:szCs w:val="24"/>
        </w:rPr>
        <w:t xml:space="preserve">Sampedro </w:t>
      </w:r>
      <w:r w:rsidR="00DF0F68" w:rsidRPr="005B03A2">
        <w:rPr>
          <w:rFonts w:ascii="Times New Roman" w:hAnsi="Times New Roman"/>
          <w:i/>
          <w:sz w:val="24"/>
          <w:szCs w:val="24"/>
        </w:rPr>
        <w:t>et al</w:t>
      </w:r>
      <w:r w:rsidR="00DF0F68">
        <w:rPr>
          <w:rFonts w:ascii="Times New Roman" w:hAnsi="Times New Roman"/>
          <w:sz w:val="24"/>
          <w:szCs w:val="24"/>
        </w:rPr>
        <w:t xml:space="preserve">., 2004; </w:t>
      </w:r>
      <w:r w:rsidR="00DA5B59">
        <w:rPr>
          <w:rFonts w:ascii="Times New Roman" w:hAnsi="Times New Roman"/>
          <w:sz w:val="24"/>
          <w:szCs w:val="24"/>
        </w:rPr>
        <w:t xml:space="preserve">Moral </w:t>
      </w:r>
      <w:r w:rsidR="00DA5B59" w:rsidRPr="005B03A2">
        <w:rPr>
          <w:rFonts w:ascii="Times New Roman" w:hAnsi="Times New Roman"/>
          <w:i/>
          <w:sz w:val="24"/>
          <w:szCs w:val="24"/>
        </w:rPr>
        <w:t>et al</w:t>
      </w:r>
      <w:r w:rsidR="00DA5B59">
        <w:rPr>
          <w:rFonts w:ascii="Times New Roman" w:hAnsi="Times New Roman"/>
          <w:sz w:val="24"/>
          <w:szCs w:val="24"/>
        </w:rPr>
        <w:t xml:space="preserve">., 2006; </w:t>
      </w:r>
      <w:r w:rsidR="009C3EA0">
        <w:rPr>
          <w:rFonts w:ascii="Times New Roman" w:hAnsi="Times New Roman"/>
          <w:sz w:val="24"/>
          <w:szCs w:val="24"/>
        </w:rPr>
        <w:t xml:space="preserve">Roig </w:t>
      </w:r>
      <w:r w:rsidR="009C3EA0" w:rsidRPr="005B03A2">
        <w:rPr>
          <w:rFonts w:ascii="Times New Roman" w:hAnsi="Times New Roman"/>
          <w:i/>
          <w:sz w:val="24"/>
          <w:szCs w:val="24"/>
        </w:rPr>
        <w:t>et al</w:t>
      </w:r>
      <w:r w:rsidR="009C3EA0">
        <w:rPr>
          <w:rFonts w:ascii="Times New Roman" w:hAnsi="Times New Roman"/>
          <w:sz w:val="24"/>
          <w:szCs w:val="24"/>
        </w:rPr>
        <w:t>., 2006)</w:t>
      </w:r>
      <w:r w:rsidR="008D362B">
        <w:rPr>
          <w:rFonts w:ascii="Times New Roman" w:hAnsi="Times New Roman"/>
          <w:sz w:val="24"/>
          <w:szCs w:val="24"/>
        </w:rPr>
        <w:t>.</w:t>
      </w:r>
    </w:p>
    <w:p w:rsidR="00B2622A" w:rsidRDefault="00DF0F68" w:rsidP="00B2622A">
      <w:pPr>
        <w:keepNext/>
        <w:jc w:val="center"/>
      </w:pPr>
      <w:r w:rsidRPr="00DF0F68">
        <w:rPr>
          <w:rFonts w:ascii="Times New Roman" w:hAnsi="Times New Roman"/>
          <w:noProof/>
          <w:sz w:val="24"/>
          <w:szCs w:val="24"/>
          <w:lang w:eastAsia="pt-PT"/>
        </w:rPr>
        <w:drawing>
          <wp:inline distT="0" distB="0" distL="0" distR="0">
            <wp:extent cx="4468633" cy="2926080"/>
            <wp:effectExtent l="19050" t="0" r="8117" b="0"/>
            <wp:docPr id="12" name="Objec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960" cy="5616624"/>
                      <a:chOff x="-324544" y="260648"/>
                      <a:chExt cx="8640960" cy="5616624"/>
                    </a:xfrm>
                  </a:grpSpPr>
                  <a:grpSp>
                    <a:nvGrpSpPr>
                      <a:cNvPr id="65" name="Grupo 64"/>
                      <a:cNvGrpSpPr/>
                    </a:nvGrpSpPr>
                    <a:grpSpPr>
                      <a:xfrm>
                        <a:off x="-324544" y="260648"/>
                        <a:ext cx="8640960" cy="5616624"/>
                        <a:chOff x="-324544" y="260648"/>
                        <a:chExt cx="8640960" cy="5616624"/>
                      </a:xfrm>
                    </a:grpSpPr>
                    <a:grpSp>
                      <a:nvGrpSpPr>
                        <a:cNvPr id="3" name="Grupo 62"/>
                        <a:cNvGrpSpPr/>
                      </a:nvGrpSpPr>
                      <a:grpSpPr>
                        <a:xfrm>
                          <a:off x="-324544" y="260648"/>
                          <a:ext cx="8640960" cy="5616624"/>
                          <a:chOff x="-324544" y="260648"/>
                          <a:chExt cx="8640960" cy="5616624"/>
                        </a:xfrm>
                      </a:grpSpPr>
                      <a:cxnSp>
                        <a:nvCxnSpPr>
                          <a:cNvPr id="53" name="Conexão recta unidireccional 52"/>
                          <a:cNvCxnSpPr/>
                        </a:nvCxnSpPr>
                        <a:spPr>
                          <a:xfrm rot="5400000">
                            <a:off x="-107748" y="3932283"/>
                            <a:ext cx="720080" cy="1545"/>
                          </a:xfrm>
                          <a:prstGeom prst="straightConnector1">
                            <a:avLst/>
                          </a:prstGeom>
                          <a:ln w="12700">
                            <a:solidFill>
                              <a:schemeClr val="tx1"/>
                            </a:solidFill>
                            <a:prstDash val="sysDot"/>
                            <a:tailEnd type="arrow"/>
                          </a:ln>
                        </a:spPr>
                        <a:style>
                          <a:lnRef idx="1">
                            <a:schemeClr val="accent1"/>
                          </a:lnRef>
                          <a:fillRef idx="0">
                            <a:schemeClr val="accent1"/>
                          </a:fillRef>
                          <a:effectRef idx="0">
                            <a:schemeClr val="accent1"/>
                          </a:effectRef>
                          <a:fontRef idx="minor">
                            <a:schemeClr val="tx1"/>
                          </a:fontRef>
                        </a:style>
                      </a:cxnSp>
                      <a:cxnSp>
                        <a:nvCxnSpPr>
                          <a:cNvPr id="48" name="Conexão recta unidireccional 47"/>
                          <a:cNvCxnSpPr/>
                        </a:nvCxnSpPr>
                        <a:spPr>
                          <a:xfrm rot="10800000">
                            <a:off x="755576" y="3501008"/>
                            <a:ext cx="4320480" cy="1"/>
                          </a:xfrm>
                          <a:prstGeom prst="straightConnector1">
                            <a:avLst/>
                          </a:prstGeom>
                          <a:ln w="12700">
                            <a:solidFill>
                              <a:schemeClr val="tx1"/>
                            </a:solidFill>
                            <a:prstDash val="sysDot"/>
                            <a:tailEnd type="arrow"/>
                          </a:ln>
                        </a:spPr>
                        <a:style>
                          <a:lnRef idx="1">
                            <a:schemeClr val="accent1"/>
                          </a:lnRef>
                          <a:fillRef idx="0">
                            <a:schemeClr val="accent1"/>
                          </a:fillRef>
                          <a:effectRef idx="0">
                            <a:schemeClr val="accent1"/>
                          </a:effectRef>
                          <a:fontRef idx="minor">
                            <a:schemeClr val="tx1"/>
                          </a:fontRef>
                        </a:style>
                      </a:cxnSp>
                      <a:cxnSp>
                        <a:nvCxnSpPr>
                          <a:cNvPr id="39" name="Conexão recta unidireccional 38"/>
                          <a:cNvCxnSpPr/>
                        </a:nvCxnSpPr>
                        <a:spPr>
                          <a:xfrm rot="5400000">
                            <a:off x="1620445" y="5012404"/>
                            <a:ext cx="720080" cy="1545"/>
                          </a:xfrm>
                          <a:prstGeom prst="straightConnector1">
                            <a:avLst/>
                          </a:prstGeom>
                          <a:ln w="12700">
                            <a:solidFill>
                              <a:schemeClr val="tx1"/>
                            </a:solidFill>
                            <a:prstDash val="sysDot"/>
                            <a:tailEnd type="arrow"/>
                          </a:ln>
                        </a:spPr>
                        <a:style>
                          <a:lnRef idx="1">
                            <a:schemeClr val="accent1"/>
                          </a:lnRef>
                          <a:fillRef idx="0">
                            <a:schemeClr val="accent1"/>
                          </a:fillRef>
                          <a:effectRef idx="0">
                            <a:schemeClr val="accent1"/>
                          </a:effectRef>
                          <a:fontRef idx="minor">
                            <a:schemeClr val="tx1"/>
                          </a:fontRef>
                        </a:style>
                      </a:cxnSp>
                      <a:grpSp>
                        <a:nvGrpSpPr>
                          <a:cNvPr id="8" name="Grupo 43"/>
                          <a:cNvGrpSpPr/>
                        </a:nvGrpSpPr>
                        <a:grpSpPr>
                          <a:xfrm>
                            <a:off x="827584" y="260648"/>
                            <a:ext cx="7488832" cy="5328592"/>
                            <a:chOff x="827584" y="260648"/>
                            <a:chExt cx="7488832" cy="5328592"/>
                          </a:xfrm>
                        </a:grpSpPr>
                        <a:grpSp>
                          <a:nvGrpSpPr>
                            <a:cNvPr id="16" name="Grupo 41"/>
                            <a:cNvGrpSpPr/>
                          </a:nvGrpSpPr>
                          <a:grpSpPr>
                            <a:xfrm>
                              <a:off x="827584" y="260648"/>
                              <a:ext cx="7488832" cy="5328592"/>
                              <a:chOff x="827584" y="260648"/>
                              <a:chExt cx="7488832" cy="5328592"/>
                            </a:xfrm>
                          </a:grpSpPr>
                          <a:sp>
                            <a:nvSpPr>
                              <a:cNvPr id="40" name="Oval 113" descr="tanque"/>
                              <a:cNvSpPr>
                                <a:spLocks noChangeArrowheads="1"/>
                              </a:cNvSpPr>
                            </a:nvSpPr>
                            <a:spPr bwMode="auto">
                              <a:xfrm>
                                <a:off x="827584" y="2420888"/>
                                <a:ext cx="1008112" cy="956816"/>
                              </a:xfrm>
                              <a:prstGeom prst="ellipse">
                                <a:avLst/>
                              </a:prstGeom>
                              <a:blipFill dpi="0" rotWithShape="1">
                                <a:blip r:embed="rId13" cstate="print"/>
                                <a:srcRect/>
                                <a:stretch>
                                  <a:fillRect/>
                                </a:stretch>
                              </a:blipFill>
                              <a:ln w="9525">
                                <a:noFill/>
                                <a:round/>
                                <a:headEnd/>
                                <a:tailEnd/>
                              </a:ln>
                            </a:spPr>
                            <a:txSp>
                              <a:txBody>
                                <a:bodyPr wrap="none"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PT"/>
                                </a:p>
                              </a:txBody>
                              <a:useSpRect/>
                            </a:txSp>
                          </a:sp>
                          <a:grpSp>
                            <a:nvGrpSpPr>
                              <a:cNvPr id="19" name="Grupo 36"/>
                              <a:cNvGrpSpPr/>
                            </a:nvGrpSpPr>
                            <a:grpSpPr>
                              <a:xfrm>
                                <a:off x="1331640" y="260648"/>
                                <a:ext cx="6984776" cy="5328592"/>
                                <a:chOff x="395536" y="332656"/>
                                <a:chExt cx="6984776" cy="5328592"/>
                              </a:xfrm>
                            </a:grpSpPr>
                            <a:sp>
                              <a:nvSpPr>
                                <a:cNvPr id="5" name="Rectângulo arredondado 4"/>
                                <a:cNvSpPr/>
                              </a:nvSpPr>
                              <a:spPr>
                                <a:xfrm>
                                  <a:off x="2483768" y="764704"/>
                                  <a:ext cx="1584176" cy="576064"/>
                                </a:xfrm>
                                <a:prstGeom prst="roundRect">
                                  <a:avLst/>
                                </a:prstGeom>
                                <a:effectLst>
                                  <a:outerShdw blurRad="50800" dist="38100" dir="2700000" algn="tl" rotWithShape="0">
                                    <a:prstClr val="black">
                                      <a:alpha val="40000"/>
                                    </a:prstClr>
                                  </a:outerShdw>
                                </a:effectLst>
                                <a:scene3d>
                                  <a:camera prst="orthographicFront"/>
                                  <a:lightRig rig="threePt" dir="t"/>
                                </a:scene3d>
                                <a:sp3d>
                                  <a:bevelT prst="relaxedInset"/>
                                </a:sp3d>
                              </a:spPr>
                              <a:txSp>
                                <a:txBody>
                                  <a:bodyPr rtlCol="0" anchor="ctr"/>
                                  <a:lstStyle>
                                    <a:defPPr>
                                      <a:defRPr lang="pt-PT"/>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PT" sz="1600" b="1" dirty="0"/>
                                      <a:t>Centrifugação </a:t>
                                    </a:r>
                                  </a:p>
                                </a:txBody>
                                <a:useSpRect/>
                              </a:txSp>
                              <a:style>
                                <a:lnRef idx="2">
                                  <a:schemeClr val="accent1"/>
                                </a:lnRef>
                                <a:fillRef idx="1">
                                  <a:schemeClr val="lt1"/>
                                </a:fillRef>
                                <a:effectRef idx="0">
                                  <a:schemeClr val="accent1"/>
                                </a:effectRef>
                                <a:fontRef idx="minor">
                                  <a:schemeClr val="dk1"/>
                                </a:fontRef>
                              </a:style>
                            </a:sp>
                            <a:sp>
                              <a:nvSpPr>
                                <a:cNvPr id="6" name="Rectângulo arredondado 5"/>
                                <a:cNvSpPr/>
                              </a:nvSpPr>
                              <a:spPr>
                                <a:xfrm>
                                  <a:off x="611560" y="332656"/>
                                  <a:ext cx="3456384" cy="288032"/>
                                </a:xfrm>
                                <a:prstGeom prst="roundRect">
                                  <a:avLst/>
                                </a:prstGeom>
                                <a:solidFill>
                                  <a:srgbClr val="278163"/>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b="1" dirty="0" smtClean="0">
                                        <a:solidFill>
                                          <a:schemeClr val="bg1"/>
                                        </a:solidFill>
                                        <a:effectLst>
                                          <a:outerShdw blurRad="38100" dist="38100" dir="2700000" algn="tl">
                                            <a:srgbClr val="000000">
                                              <a:alpha val="43137"/>
                                            </a:srgbClr>
                                          </a:outerShdw>
                                        </a:effectLst>
                                      </a:rPr>
                                      <a:t>Métodos de extracção de azeite</a:t>
                                    </a:r>
                                    <a:endParaRPr lang="pt-PT" b="1" dirty="0">
                                      <a:solidFill>
                                        <a:schemeClr val="bg1"/>
                                      </a:solidFill>
                                      <a:effectLst>
                                        <a:outerShdw blurRad="38100" dist="38100" dir="2700000" algn="tl">
                                          <a:srgbClr val="000000">
                                            <a:alpha val="43137"/>
                                          </a:srgbClr>
                                        </a:outerShdw>
                                      </a:effectLst>
                                    </a:endParaRPr>
                                  </a:p>
                                </a:txBody>
                                <a:useSpRect/>
                              </a:txSp>
                              <a:style>
                                <a:lnRef idx="0">
                                  <a:schemeClr val="accent6"/>
                                </a:lnRef>
                                <a:fillRef idx="3">
                                  <a:schemeClr val="accent6"/>
                                </a:fillRef>
                                <a:effectRef idx="3">
                                  <a:schemeClr val="accent6"/>
                                </a:effectRef>
                                <a:fontRef idx="minor">
                                  <a:schemeClr val="lt1"/>
                                </a:fontRef>
                              </a:style>
                            </a:sp>
                            <a:sp>
                              <a:nvSpPr>
                                <a:cNvPr id="7" name="Hexágono 6"/>
                                <a:cNvSpPr/>
                              </a:nvSpPr>
                              <a:spPr>
                                <a:xfrm>
                                  <a:off x="1691680" y="1916832"/>
                                  <a:ext cx="1512168" cy="576064"/>
                                </a:xfrm>
                                <a:prstGeom prst="hexagon">
                                  <a:avLst/>
                                </a:prstGeom>
                                <a:ln>
                                  <a:solidFill>
                                    <a:srgbClr val="FF0000"/>
                                  </a:solidFill>
                                </a:ln>
                                <a:effectLst>
                                  <a:outerShdw blurRad="50800" dist="38100" dir="2700000" algn="tl" rotWithShape="0">
                                    <a:prstClr val="black">
                                      <a:alpha val="40000"/>
                                    </a:prstClr>
                                  </a:outerShdw>
                                </a:effectLst>
                                <a:scene3d>
                                  <a:camera prst="orthographicFront"/>
                                  <a:lightRig rig="threePt" dir="t"/>
                                </a:scene3d>
                                <a:sp3d>
                                  <a:bevelT prst="relaxedInset"/>
                                </a:sp3d>
                              </a:spPr>
                              <a:txSp>
                                <a:txBody>
                                  <a:bodyPr rtlCol="0" anchor="ctr"/>
                                  <a:lstStyle>
                                    <a:defPPr>
                                      <a:defRPr lang="pt-PT"/>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PT" sz="1600" b="1" dirty="0" smtClean="0">
                                        <a:solidFill>
                                          <a:schemeClr val="tx1"/>
                                        </a:solidFill>
                                      </a:rPr>
                                      <a:t>Sistema de </a:t>
                                    </a:r>
                                  </a:p>
                                  <a:p>
                                    <a:pPr algn="ctr"/>
                                    <a:r>
                                      <a:rPr lang="pt-PT" sz="1600" b="1" dirty="0" smtClean="0">
                                        <a:solidFill>
                                          <a:schemeClr val="tx1"/>
                                        </a:solidFill>
                                      </a:rPr>
                                      <a:t>Três fases</a:t>
                                    </a:r>
                                    <a:endParaRPr lang="pt-PT" sz="1600" b="1" dirty="0">
                                      <a:solidFill>
                                        <a:schemeClr val="tx1"/>
                                      </a:solidFill>
                                    </a:endParaRPr>
                                  </a:p>
                                </a:txBody>
                                <a:useSpRect/>
                              </a:txSp>
                              <a:style>
                                <a:lnRef idx="2">
                                  <a:schemeClr val="dk1"/>
                                </a:lnRef>
                                <a:fillRef idx="1">
                                  <a:schemeClr val="lt1"/>
                                </a:fillRef>
                                <a:effectRef idx="0">
                                  <a:schemeClr val="dk1"/>
                                </a:effectRef>
                                <a:fontRef idx="minor">
                                  <a:schemeClr val="dk1"/>
                                </a:fontRef>
                              </a:style>
                            </a:sp>
                            <a:sp>
                              <a:nvSpPr>
                                <a:cNvPr id="2" name="Hexágono 7"/>
                                <a:cNvSpPr/>
                              </a:nvSpPr>
                              <a:spPr>
                                <a:xfrm>
                                  <a:off x="3491880" y="1916832"/>
                                  <a:ext cx="1512168" cy="576064"/>
                                </a:xfrm>
                                <a:prstGeom prst="hexagon">
                                  <a:avLst/>
                                </a:prstGeom>
                                <a:ln>
                                  <a:solidFill>
                                    <a:srgbClr val="990033"/>
                                  </a:solidFill>
                                </a:ln>
                                <a:effectLst>
                                  <a:outerShdw blurRad="50800" dist="38100" dir="2700000" algn="tl" rotWithShape="0">
                                    <a:prstClr val="black">
                                      <a:alpha val="40000"/>
                                    </a:prstClr>
                                  </a:outerShdw>
                                </a:effectLst>
                                <a:scene3d>
                                  <a:camera prst="orthographicFront"/>
                                  <a:lightRig rig="threePt" dir="t"/>
                                </a:scene3d>
                                <a:sp3d>
                                  <a:bevelT prst="relaxedInset"/>
                                </a:sp3d>
                              </a:spPr>
                              <a:txSp>
                                <a:txBody>
                                  <a:bodyPr rtlCol="0" anchor="ctr"/>
                                  <a:lstStyle>
                                    <a:defPPr>
                                      <a:defRPr lang="pt-PT"/>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PT" sz="1600" b="1" dirty="0" smtClean="0">
                                        <a:solidFill>
                                          <a:schemeClr val="tx1"/>
                                        </a:solidFill>
                                      </a:rPr>
                                      <a:t>Sistema de </a:t>
                                    </a:r>
                                  </a:p>
                                  <a:p>
                                    <a:pPr algn="ctr"/>
                                    <a:r>
                                      <a:rPr lang="pt-PT" sz="1600" b="1" dirty="0" smtClean="0">
                                        <a:solidFill>
                                          <a:schemeClr val="tx1"/>
                                        </a:solidFill>
                                      </a:rPr>
                                      <a:t>Duas fases</a:t>
                                    </a:r>
                                    <a:endParaRPr lang="pt-PT" sz="1600" b="1" dirty="0">
                                      <a:solidFill>
                                        <a:schemeClr val="tx1"/>
                                      </a:solidFill>
                                    </a:endParaRPr>
                                  </a:p>
                                </a:txBody>
                                <a:useSpRect/>
                              </a:txSp>
                              <a:style>
                                <a:lnRef idx="2">
                                  <a:schemeClr val="dk1"/>
                                </a:lnRef>
                                <a:fillRef idx="1">
                                  <a:schemeClr val="lt1"/>
                                </a:fillRef>
                                <a:effectRef idx="0">
                                  <a:schemeClr val="dk1"/>
                                </a:effectRef>
                                <a:fontRef idx="minor">
                                  <a:schemeClr val="dk1"/>
                                </a:fontRef>
                              </a:style>
                            </a:sp>
                            <a:sp>
                              <a:nvSpPr>
                                <a:cNvPr id="9" name="Seta para baixo 8"/>
                                <a:cNvSpPr/>
                              </a:nvSpPr>
                              <a:spPr>
                                <a:xfrm rot="1187663">
                                  <a:off x="2678111" y="1463103"/>
                                  <a:ext cx="360040" cy="360040"/>
                                </a:xfrm>
                                <a:prstGeom prst="downArrow">
                                  <a:avLst/>
                                </a:prstGeom>
                                <a:solidFill>
                                  <a:schemeClr val="bg1">
                                    <a:lumMod val="75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1"/>
                                </a:lnRef>
                                <a:fillRef idx="3">
                                  <a:schemeClr val="accent1"/>
                                </a:fillRef>
                                <a:effectRef idx="3">
                                  <a:schemeClr val="accent1"/>
                                </a:effectRef>
                                <a:fontRef idx="minor">
                                  <a:schemeClr val="lt1"/>
                                </a:fontRef>
                              </a:style>
                            </a:sp>
                            <a:sp>
                              <a:nvSpPr>
                                <a:cNvPr id="10" name="Seta para baixo 9"/>
                                <a:cNvSpPr/>
                              </a:nvSpPr>
                              <a:spPr>
                                <a:xfrm rot="20381111">
                                  <a:off x="3543181" y="1464078"/>
                                  <a:ext cx="360040" cy="360040"/>
                                </a:xfrm>
                                <a:prstGeom prst="downArrow">
                                  <a:avLst/>
                                </a:prstGeom>
                                <a:solidFill>
                                  <a:schemeClr val="bg1">
                                    <a:lumMod val="75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1"/>
                                </a:lnRef>
                                <a:fillRef idx="3">
                                  <a:schemeClr val="accent1"/>
                                </a:fillRef>
                                <a:effectRef idx="3">
                                  <a:schemeClr val="accent1"/>
                                </a:effectRef>
                                <a:fontRef idx="minor">
                                  <a:schemeClr val="lt1"/>
                                </a:fontRef>
                              </a:style>
                            </a:sp>
                            <a:sp>
                              <a:nvSpPr>
                                <a:cNvPr id="11" name="Seta para baixo 10"/>
                                <a:cNvSpPr/>
                              </a:nvSpPr>
                              <a:spPr>
                                <a:xfrm>
                                  <a:off x="971600" y="1484784"/>
                                  <a:ext cx="216024" cy="1584176"/>
                                </a:xfrm>
                                <a:prstGeom prst="downArrow">
                                  <a:avLst/>
                                </a:prstGeom>
                                <a:solidFill>
                                  <a:schemeClr val="bg1">
                                    <a:lumMod val="75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3"/>
                                </a:lnRef>
                                <a:fillRef idx="3">
                                  <a:schemeClr val="accent3"/>
                                </a:fillRef>
                                <a:effectRef idx="3">
                                  <a:schemeClr val="accent3"/>
                                </a:effectRef>
                                <a:fontRef idx="minor">
                                  <a:schemeClr val="lt1"/>
                                </a:fontRef>
                              </a:style>
                            </a:sp>
                            <a:sp>
                              <a:nvSpPr>
                                <a:cNvPr id="15" name="Seta para baixo 14"/>
                                <a:cNvSpPr/>
                              </a:nvSpPr>
                              <a:spPr>
                                <a:xfrm flipH="1">
                                  <a:off x="2339752" y="2564904"/>
                                  <a:ext cx="216024" cy="576064"/>
                                </a:xfrm>
                                <a:prstGeom prst="downArrow">
                                  <a:avLst/>
                                </a:prstGeom>
                                <a:solidFill>
                                  <a:schemeClr val="bg1">
                                    <a:lumMod val="75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3"/>
                                </a:lnRef>
                                <a:fillRef idx="3">
                                  <a:schemeClr val="accent3"/>
                                </a:fillRef>
                                <a:effectRef idx="3">
                                  <a:schemeClr val="accent3"/>
                                </a:effectRef>
                                <a:fontRef idx="minor">
                                  <a:schemeClr val="lt1"/>
                                </a:fontRef>
                              </a:style>
                            </a:sp>
                            <a:sp>
                              <a:nvSpPr>
                                <a:cNvPr id="4" name="Rectângulo 15"/>
                                <a:cNvSpPr/>
                              </a:nvSpPr>
                              <a:spPr>
                                <a:xfrm>
                                  <a:off x="1979712" y="3212976"/>
                                  <a:ext cx="1152128" cy="720080"/>
                                </a:xfrm>
                                <a:prstGeom prst="rect">
                                  <a:avLst/>
                                </a:prstGeom>
                                <a:solidFill>
                                  <a:schemeClr val="accent4">
                                    <a:lumMod val="50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Bagaço de </a:t>
                                    </a:r>
                                    <a:r>
                                      <a:rPr lang="pt-PT" sz="1400" b="1" dirty="0" smtClean="0">
                                        <a:effectLst>
                                          <a:outerShdw blurRad="38100" dist="38100" dir="2700000" algn="tl">
                                            <a:srgbClr val="000000">
                                              <a:alpha val="43137"/>
                                            </a:srgbClr>
                                          </a:outerShdw>
                                        </a:effectLst>
                                      </a:rPr>
                                      <a:t>azeitona</a:t>
                                    </a:r>
                                    <a:endParaRPr lang="pt-PT" sz="1400" b="1" dirty="0">
                                      <a:effectLst>
                                        <a:outerShdw blurRad="38100" dist="38100" dir="2700000" algn="tl">
                                          <a:srgbClr val="000000">
                                            <a:alpha val="43137"/>
                                          </a:srgb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17" name="Rectângulo 16"/>
                                <a:cNvSpPr/>
                              </a:nvSpPr>
                              <a:spPr>
                                <a:xfrm>
                                  <a:off x="1979712" y="4509120"/>
                                  <a:ext cx="1152128" cy="504056"/>
                                </a:xfrm>
                                <a:prstGeom prst="rect">
                                  <a:avLst/>
                                </a:prstGeom>
                                <a:solidFill>
                                  <a:srgbClr val="866600"/>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Azeite Extra Virgem</a:t>
                                    </a:r>
                                    <a:endParaRPr lang="pt-PT" sz="1400" b="1" dirty="0">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18" name="Rectângulo 17"/>
                                <a:cNvSpPr/>
                              </a:nvSpPr>
                              <a:spPr>
                                <a:xfrm>
                                  <a:off x="1979712" y="4005064"/>
                                  <a:ext cx="1152128" cy="432048"/>
                                </a:xfrm>
                                <a:prstGeom prst="rect">
                                  <a:avLst/>
                                </a:prstGeom>
                                <a:solidFill>
                                  <a:schemeClr val="accent3">
                                    <a:lumMod val="50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Águas Russas</a:t>
                                    </a:r>
                                    <a:endParaRPr lang="pt-PT" sz="1400" b="1" dirty="0">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12" name="Rectângulo 18"/>
                                <a:cNvSpPr/>
                              </a:nvSpPr>
                              <a:spPr>
                                <a:xfrm>
                                  <a:off x="467544" y="3212976"/>
                                  <a:ext cx="1152128" cy="720080"/>
                                </a:xfrm>
                                <a:prstGeom prst="rect">
                                  <a:avLst/>
                                </a:prstGeom>
                                <a:solidFill>
                                  <a:schemeClr val="accent4">
                                    <a:lumMod val="50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Bagaço de </a:t>
                                    </a:r>
                                    <a:r>
                                      <a:rPr lang="pt-PT" sz="1400" b="1" dirty="0" smtClean="0">
                                        <a:effectLst>
                                          <a:outerShdw blurRad="38100" dist="38100" dir="2700000" algn="tl">
                                            <a:srgbClr val="000000">
                                              <a:alpha val="43137"/>
                                            </a:srgbClr>
                                          </a:outerShdw>
                                        </a:effectLst>
                                      </a:rPr>
                                      <a:t>azeitona</a:t>
                                    </a:r>
                                    <a:endParaRPr lang="pt-PT" sz="1400" b="1" dirty="0">
                                      <a:effectLst>
                                        <a:outerShdw blurRad="38100" dist="38100" dir="2700000" algn="tl">
                                          <a:srgbClr val="000000">
                                            <a:alpha val="43137"/>
                                          </a:srgb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20" name="Rectângulo 19"/>
                                <a:cNvSpPr/>
                              </a:nvSpPr>
                              <a:spPr>
                                <a:xfrm>
                                  <a:off x="395536" y="4005064"/>
                                  <a:ext cx="1296144" cy="720080"/>
                                </a:xfrm>
                                <a:prstGeom prst="rect">
                                  <a:avLst/>
                                </a:prstGeom>
                                <a:solidFill>
                                  <a:srgbClr val="191301"/>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Emulsão de Azeite e Águas Russas</a:t>
                                    </a:r>
                                    <a:endParaRPr lang="pt-PT" sz="1400" b="1" dirty="0">
                                      <a:effectLst>
                                        <a:outerShdw blurRad="38100" dist="38100" dir="2700000" algn="tl">
                                          <a:srgbClr val="000000">
                                            <a:alpha val="43137"/>
                                          </a:srgb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21" name="Seta para baixo 20"/>
                                <a:cNvSpPr/>
                              </a:nvSpPr>
                              <a:spPr>
                                <a:xfrm flipH="1">
                                  <a:off x="4067944" y="2564904"/>
                                  <a:ext cx="216024" cy="576064"/>
                                </a:xfrm>
                                <a:prstGeom prst="downArrow">
                                  <a:avLst/>
                                </a:prstGeom>
                                <a:solidFill>
                                  <a:schemeClr val="bg1">
                                    <a:lumMod val="75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3"/>
                                </a:lnRef>
                                <a:fillRef idx="3">
                                  <a:schemeClr val="accent3"/>
                                </a:fillRef>
                                <a:effectRef idx="3">
                                  <a:schemeClr val="accent3"/>
                                </a:effectRef>
                                <a:fontRef idx="minor">
                                  <a:schemeClr val="lt1"/>
                                </a:fontRef>
                              </a:style>
                            </a:sp>
                            <a:sp>
                              <a:nvSpPr>
                                <a:cNvPr id="22" name="Rectângulo 21"/>
                                <a:cNvSpPr/>
                              </a:nvSpPr>
                              <a:spPr>
                                <a:xfrm>
                                  <a:off x="3491880" y="3212976"/>
                                  <a:ext cx="1152128" cy="720080"/>
                                </a:xfrm>
                                <a:prstGeom prst="rect">
                                  <a:avLst/>
                                </a:prstGeom>
                                <a:solidFill>
                                  <a:schemeClr val="accent4">
                                    <a:lumMod val="50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Bagaço de azeitona húmido</a:t>
                                    </a:r>
                                    <a:endParaRPr lang="pt-PT" sz="1400" b="1" dirty="0">
                                      <a:effectLst>
                                        <a:outerShdw blurRad="38100" dist="38100" dir="2700000" algn="tl">
                                          <a:srgbClr val="000000">
                                            <a:alpha val="43137"/>
                                          </a:srgb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24" name="Seta de movimento para a direita 23"/>
                                <a:cNvSpPr/>
                              </a:nvSpPr>
                              <a:spPr>
                                <a:xfrm>
                                  <a:off x="4860032" y="3429000"/>
                                  <a:ext cx="360040" cy="288032"/>
                                </a:xfrm>
                                <a:prstGeom prst="stripedRightArrow">
                                  <a:avLst/>
                                </a:prstGeom>
                                <a:solidFill>
                                  <a:schemeClr val="bg1">
                                    <a:lumMod val="75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6"/>
                                </a:lnRef>
                                <a:fillRef idx="3">
                                  <a:schemeClr val="accent6"/>
                                </a:fillRef>
                                <a:effectRef idx="3">
                                  <a:schemeClr val="accent6"/>
                                </a:effectRef>
                                <a:fontRef idx="minor">
                                  <a:schemeClr val="lt1"/>
                                </a:fontRef>
                              </a:style>
                            </a:sp>
                            <a:grpSp>
                              <a:nvGrpSpPr>
                                <a:cNvPr id="36" name="Grupo 33"/>
                                <a:cNvGrpSpPr/>
                              </a:nvGrpSpPr>
                              <a:grpSpPr>
                                <a:xfrm>
                                  <a:off x="5292080" y="2924944"/>
                                  <a:ext cx="2088232" cy="2736304"/>
                                  <a:chOff x="5442637" y="2204864"/>
                                  <a:chExt cx="2151510" cy="2736304"/>
                                </a:xfrm>
                              </a:grpSpPr>
                              <a:sp>
                                <a:nvSpPr>
                                  <a:cNvPr id="25" name="CaixaDeTexto 24"/>
                                  <a:cNvSpPr txBox="1"/>
                                </a:nvSpPr>
                                <a:spPr>
                                  <a:xfrm>
                                    <a:off x="5591020" y="2420888"/>
                                    <a:ext cx="1861298" cy="307777"/>
                                  </a:xfrm>
                                  <a:prstGeom prst="rect">
                                    <a:avLst/>
                                  </a:prstGeom>
                                  <a:solidFill>
                                    <a:schemeClr val="bg1">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sz="1400" b="1" dirty="0" smtClean="0"/>
                                        <a:t>Secagem a 400-800ºC</a:t>
                                      </a:r>
                                      <a:endParaRPr lang="pt-PT" sz="1400" b="1" dirty="0"/>
                                    </a:p>
                                  </a:txBody>
                                  <a:useSpRect/>
                                </a:txSp>
                              </a:sp>
                              <a:cxnSp>
                                <a:nvCxnSpPr>
                                  <a:cNvPr id="30" name="Conexão recta unidireccional 29"/>
                                  <a:cNvCxnSpPr/>
                                </a:nvCxnSpPr>
                                <a:spPr>
                                  <a:xfrm rot="5400000">
                                    <a:off x="6410677" y="2924150"/>
                                    <a:ext cx="288032" cy="1588"/>
                                  </a:xfrm>
                                  <a:prstGeom prst="straightConnector1">
                                    <a:avLst/>
                                  </a:prstGeom>
                                  <a:ln w="12700">
                                    <a:solidFill>
                                      <a:schemeClr val="tx1"/>
                                    </a:solidFill>
                                    <a:prstDash val="sysDot"/>
                                    <a:tailEnd type="arrow"/>
                                  </a:ln>
                                </a:spPr>
                                <a:style>
                                  <a:lnRef idx="1">
                                    <a:schemeClr val="accent1"/>
                                  </a:lnRef>
                                  <a:fillRef idx="0">
                                    <a:schemeClr val="accent1"/>
                                  </a:fillRef>
                                  <a:effectRef idx="0">
                                    <a:schemeClr val="accent1"/>
                                  </a:effectRef>
                                  <a:fontRef idx="minor">
                                    <a:schemeClr val="tx1"/>
                                  </a:fontRef>
                                </a:style>
                              </a:cxnSp>
                              <a:sp>
                                <a:nvSpPr>
                                  <a:cNvPr id="32" name="CaixaDeTexto 31"/>
                                  <a:cNvSpPr txBox="1"/>
                                </a:nvSpPr>
                                <a:spPr>
                                  <a:xfrm>
                                    <a:off x="5516828" y="3121223"/>
                                    <a:ext cx="1928941" cy="307777"/>
                                  </a:xfrm>
                                  <a:prstGeom prst="rect">
                                    <a:avLst/>
                                  </a:prstGeom>
                                  <a:solidFill>
                                    <a:schemeClr val="bg1">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sz="1400" b="1" dirty="0" smtClean="0"/>
                                        <a:t>Extracção com </a:t>
                                      </a:r>
                                      <a:r>
                                        <a:rPr lang="pt-PT" sz="1400" b="1" dirty="0" err="1" smtClean="0"/>
                                        <a:t>Hexano</a:t>
                                      </a:r>
                                      <a:endParaRPr lang="pt-PT" sz="1400" b="1" dirty="0"/>
                                    </a:p>
                                  </a:txBody>
                                  <a:useSpRect/>
                                </a:txSp>
                              </a:sp>
                              <a:sp>
                                <a:nvSpPr>
                                  <a:cNvPr id="33" name="Rectângulo arredondado 32"/>
                                  <a:cNvSpPr/>
                                </a:nvSpPr>
                                <a:spPr>
                                  <a:xfrm>
                                    <a:off x="5442637" y="2204864"/>
                                    <a:ext cx="2151510" cy="2736304"/>
                                  </a:xfrm>
                                  <a:prstGeom prst="roundRect">
                                    <a:avLst/>
                                  </a:prstGeom>
                                  <a:noFill/>
                                  <a:ln>
                                    <a:solidFill>
                                      <a:srgbClr val="382A02"/>
                                    </a:solidFill>
                                    <a:prstDash val="sysDot"/>
                                  </a:ln>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5" name="Seta de movimento para a direita 34"/>
                                <a:cNvSpPr/>
                              </a:nvSpPr>
                              <a:spPr>
                                <a:xfrm rot="5400000">
                                  <a:off x="6192180" y="4257092"/>
                                  <a:ext cx="360040" cy="288032"/>
                                </a:xfrm>
                                <a:prstGeom prst="stripedRightArrow">
                                  <a:avLst/>
                                </a:prstGeom>
                                <a:solidFill>
                                  <a:schemeClr val="bg1">
                                    <a:lumMod val="75000"/>
                                  </a:schemeClr>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6"/>
                                </a:lnRef>
                                <a:fillRef idx="3">
                                  <a:schemeClr val="accent6"/>
                                </a:fillRef>
                                <a:effectRef idx="3">
                                  <a:schemeClr val="accent6"/>
                                </a:effectRef>
                                <a:fontRef idx="minor">
                                  <a:schemeClr val="lt1"/>
                                </a:fontRef>
                              </a:style>
                            </a:sp>
                            <a:sp>
                              <a:nvSpPr>
                                <a:cNvPr id="13" name="Bisel 35"/>
                                <a:cNvSpPr/>
                              </a:nvSpPr>
                              <a:spPr>
                                <a:xfrm>
                                  <a:off x="5652120" y="4653136"/>
                                  <a:ext cx="1368152" cy="792088"/>
                                </a:xfrm>
                                <a:prstGeom prst="bevel">
                                  <a:avLst/>
                                </a:prstGeom>
                                <a:solidFill>
                                  <a:schemeClr val="accent5">
                                    <a:lumMod val="75000"/>
                                  </a:schemeClr>
                                </a:solidFill>
                                <a:ln w="28575">
                                  <a:noFill/>
                                </a:ln>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solidFill>
                                          <a:schemeClr val="bg1"/>
                                        </a:solidFill>
                                        <a:effectLst>
                                          <a:outerShdw blurRad="38100" dist="38100" dir="2700000" algn="tl">
                                            <a:srgbClr val="000000">
                                              <a:alpha val="43137"/>
                                            </a:srgbClr>
                                          </a:outerShdw>
                                        </a:effectLst>
                                      </a:rPr>
                                      <a:t>Bagaço de Azeitona  </a:t>
                                    </a:r>
                                    <a:r>
                                      <a:rPr lang="pt-PT" sz="1400" b="1" dirty="0" err="1" smtClean="0">
                                        <a:solidFill>
                                          <a:schemeClr val="bg1"/>
                                        </a:solidFill>
                                        <a:effectLst>
                                          <a:outerShdw blurRad="38100" dist="38100" dir="2700000" algn="tl">
                                            <a:srgbClr val="000000">
                                              <a:alpha val="43137"/>
                                            </a:srgbClr>
                                          </a:outerShdw>
                                        </a:effectLst>
                                      </a:rPr>
                                      <a:t>Extractado</a:t>
                                    </a:r>
                                    <a:endParaRPr lang="pt-PT" sz="1400" b="1" dirty="0">
                                      <a:solidFill>
                                        <a:schemeClr val="bg1"/>
                                      </a:solidFill>
                                      <a:effectLst>
                                        <a:outerShdw blurRad="38100" dist="38100" dir="2700000" algn="tl">
                                          <a:srgbClr val="000000">
                                            <a:alpha val="43137"/>
                                          </a:srgbClr>
                                        </a:outerShdw>
                                      </a:effectLst>
                                    </a:endParaRPr>
                                  </a:p>
                                </a:txBody>
                                <a:useSpRect/>
                              </a:txSp>
                              <a:style>
                                <a:lnRef idx="0">
                                  <a:schemeClr val="accent4"/>
                                </a:lnRef>
                                <a:fillRef idx="3">
                                  <a:schemeClr val="accent4"/>
                                </a:fillRef>
                                <a:effectRef idx="3">
                                  <a:schemeClr val="accent4"/>
                                </a:effectRef>
                                <a:fontRef idx="minor">
                                  <a:schemeClr val="lt1"/>
                                </a:fontRef>
                              </a:style>
                            </a:sp>
                          </a:grpSp>
                        </a:grpSp>
                        <a:sp>
                          <a:nvSpPr>
                            <a:cNvPr id="43" name="Rectângulo arredondado 42"/>
                            <a:cNvSpPr/>
                          </a:nvSpPr>
                          <a:spPr>
                            <a:xfrm>
                              <a:off x="1547664" y="692696"/>
                              <a:ext cx="1584176" cy="576064"/>
                            </a:xfrm>
                            <a:prstGeom prst="roundRect">
                              <a:avLst/>
                            </a:prstGeom>
                            <a:ln>
                              <a:solidFill>
                                <a:srgbClr val="FFC000"/>
                              </a:solidFill>
                            </a:ln>
                            <a:effectLst>
                              <a:outerShdw blurRad="50800" dist="38100" dir="2700000" algn="tl" rotWithShape="0">
                                <a:prstClr val="black">
                                  <a:alpha val="40000"/>
                                </a:prstClr>
                              </a:outerShdw>
                            </a:effectLst>
                            <a:scene3d>
                              <a:camera prst="orthographicFront"/>
                              <a:lightRig rig="threePt" dir="t"/>
                            </a:scene3d>
                            <a:sp3d>
                              <a:bevelT prst="relaxedInset"/>
                            </a:sp3d>
                          </a:spPr>
                          <a:txSp>
                            <a:txBody>
                              <a:bodyPr rtlCol="0" anchor="ctr"/>
                              <a:lstStyle>
                                <a:defPPr>
                                  <a:defRPr lang="pt-PT"/>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PT" sz="1600" b="1" dirty="0" smtClean="0"/>
                                  <a:t>Esmagamento tradicional </a:t>
                                </a:r>
                                <a:endParaRPr lang="pt-PT" sz="1600" b="1" dirty="0"/>
                              </a:p>
                            </a:txBody>
                            <a:useSpRect/>
                          </a:txSp>
                          <a:style>
                            <a:lnRef idx="2">
                              <a:schemeClr val="accent1"/>
                            </a:lnRef>
                            <a:fillRef idx="1">
                              <a:schemeClr val="lt1"/>
                            </a:fillRef>
                            <a:effectRef idx="0">
                              <a:schemeClr val="accent1"/>
                            </a:effectRef>
                            <a:fontRef idx="minor">
                              <a:schemeClr val="dk1"/>
                            </a:fontRef>
                          </a:style>
                        </a:sp>
                      </a:grpSp>
                      <a:sp>
                        <a:nvSpPr>
                          <a:cNvPr id="38" name="CaixaDeTexto 37"/>
                          <a:cNvSpPr txBox="1"/>
                        </a:nvSpPr>
                        <a:spPr>
                          <a:xfrm>
                            <a:off x="1403648" y="4777407"/>
                            <a:ext cx="1152128" cy="307777"/>
                          </a:xfrm>
                          <a:prstGeom prst="rect">
                            <a:avLst/>
                          </a:prstGeom>
                          <a:solidFill>
                            <a:schemeClr val="bg1">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sz="1400" b="1" dirty="0" smtClean="0"/>
                                <a:t>Decantação</a:t>
                              </a:r>
                              <a:endParaRPr lang="pt-PT" sz="1400" b="1" dirty="0"/>
                            </a:p>
                          </a:txBody>
                          <a:useSpRect/>
                        </a:txSp>
                      </a:sp>
                      <a:sp>
                        <a:nvSpPr>
                          <a:cNvPr id="50" name="Rectângulo 49"/>
                          <a:cNvSpPr/>
                        </a:nvSpPr>
                        <a:spPr>
                          <a:xfrm>
                            <a:off x="4427984" y="3933056"/>
                            <a:ext cx="1152128" cy="504056"/>
                          </a:xfrm>
                          <a:prstGeom prst="rect">
                            <a:avLst/>
                          </a:prstGeom>
                          <a:solidFill>
                            <a:srgbClr val="866600"/>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Azeite Extra Virgem</a:t>
                              </a:r>
                              <a:endParaRPr lang="pt-PT" sz="1400" b="1" dirty="0">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51" name="Rectângulo 50"/>
                          <a:cNvSpPr/>
                        </a:nvSpPr>
                        <a:spPr>
                          <a:xfrm>
                            <a:off x="1403648" y="5373216"/>
                            <a:ext cx="1080120" cy="504056"/>
                          </a:xfrm>
                          <a:prstGeom prst="rect">
                            <a:avLst/>
                          </a:prstGeom>
                          <a:solidFill>
                            <a:srgbClr val="866600"/>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Azeite Extra Virgem</a:t>
                              </a:r>
                              <a:endParaRPr lang="pt-PT" sz="1400" b="1" dirty="0">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52" name="CaixaDeTexto 51"/>
                          <a:cNvSpPr txBox="1"/>
                        </a:nvSpPr>
                        <a:spPr>
                          <a:xfrm>
                            <a:off x="-324036" y="3356992"/>
                            <a:ext cx="1079612" cy="430887"/>
                          </a:xfrm>
                          <a:prstGeom prst="rect">
                            <a:avLst/>
                          </a:prstGeom>
                          <a:solidFill>
                            <a:schemeClr val="bg1">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sz="1100" b="1" dirty="0" smtClean="0"/>
                                <a:t>Novo processamento</a:t>
                              </a:r>
                              <a:endParaRPr lang="pt-PT" sz="1100" b="1" dirty="0"/>
                            </a:p>
                          </a:txBody>
                          <a:useSpRect/>
                        </a:txSp>
                      </a:sp>
                      <a:sp>
                        <a:nvSpPr>
                          <a:cNvPr id="54" name="Rectângulo 53"/>
                          <a:cNvSpPr/>
                        </a:nvSpPr>
                        <a:spPr>
                          <a:xfrm>
                            <a:off x="-324544" y="4365104"/>
                            <a:ext cx="1080120" cy="720080"/>
                          </a:xfrm>
                          <a:prstGeom prst="rect">
                            <a:avLst/>
                          </a:prstGeom>
                          <a:solidFill>
                            <a:srgbClr val="594203"/>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Azeite Virgem Refinado</a:t>
                              </a:r>
                              <a:endParaRPr lang="pt-PT" sz="1400" b="1" dirty="0">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cxnSp>
                        <a:nvCxnSpPr>
                          <a:cNvPr id="58" name="Conexão recta unidireccional 57"/>
                          <a:cNvCxnSpPr/>
                        </a:nvCxnSpPr>
                        <a:spPr>
                          <a:xfrm rot="5400000">
                            <a:off x="5940152" y="4293096"/>
                            <a:ext cx="792088" cy="504056"/>
                          </a:xfrm>
                          <a:prstGeom prst="straightConnector1">
                            <a:avLst/>
                          </a:prstGeom>
                          <a:ln w="12700">
                            <a:solidFill>
                              <a:schemeClr val="tx1"/>
                            </a:solidFill>
                            <a:prstDash val="sysDot"/>
                            <a:tailEnd type="arrow"/>
                          </a:ln>
                        </a:spPr>
                        <a:style>
                          <a:lnRef idx="1">
                            <a:schemeClr val="accent1"/>
                          </a:lnRef>
                          <a:fillRef idx="0">
                            <a:schemeClr val="accent1"/>
                          </a:fillRef>
                          <a:effectRef idx="0">
                            <a:schemeClr val="accent1"/>
                          </a:effectRef>
                          <a:fontRef idx="minor">
                            <a:schemeClr val="tx1"/>
                          </a:fontRef>
                        </a:style>
                      </a:cxnSp>
                      <a:sp>
                        <a:nvSpPr>
                          <a:cNvPr id="61" name="Rectângulo 60"/>
                          <a:cNvSpPr/>
                        </a:nvSpPr>
                        <a:spPr>
                          <a:xfrm>
                            <a:off x="4572000" y="5013176"/>
                            <a:ext cx="1584176" cy="576064"/>
                          </a:xfrm>
                          <a:prstGeom prst="rect">
                            <a:avLst/>
                          </a:prstGeom>
                          <a:solidFill>
                            <a:srgbClr val="594203"/>
                          </a:solidFill>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pt-PT" sz="1400" b="1" dirty="0" smtClean="0">
                                  <a:effectLst>
                                    <a:outerShdw blurRad="38100" dist="38100" dir="2700000" algn="tl">
                                      <a:srgbClr val="000000">
                                        <a:alpha val="43137"/>
                                      </a:srgbClr>
                                    </a:outerShdw>
                                  </a:effectLst>
                                </a:rPr>
                                <a:t>Óleo de Bagaço de Azeitona Refinado</a:t>
                              </a:r>
                              <a:endParaRPr lang="pt-PT" sz="1400" b="1" dirty="0">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grpSp>
                    <a:sp>
                      <a:nvSpPr>
                        <a:cNvPr id="64" name="Rectângulo arredondado 63"/>
                        <a:cNvSpPr/>
                      </a:nvSpPr>
                      <a:spPr>
                        <a:xfrm>
                          <a:off x="4283968" y="3068960"/>
                          <a:ext cx="1440160" cy="864096"/>
                        </a:xfrm>
                        <a:prstGeom prst="roundRect">
                          <a:avLst/>
                        </a:prstGeom>
                        <a:noFill/>
                        <a:ln>
                          <a:solidFill>
                            <a:srgbClr val="382A02"/>
                          </a:solidFill>
                          <a:prstDash val="sysDot"/>
                        </a:ln>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BF48A8" w:rsidRPr="00AF2BD9" w:rsidRDefault="00B2622A" w:rsidP="00B2622A">
      <w:pPr>
        <w:pStyle w:val="Legenda"/>
        <w:jc w:val="both"/>
        <w:rPr>
          <w:rFonts w:ascii="Times New Roman" w:hAnsi="Times New Roman"/>
          <w:sz w:val="24"/>
          <w:szCs w:val="24"/>
        </w:rPr>
      </w:pPr>
      <w:r w:rsidRPr="00B2622A">
        <w:rPr>
          <w:rFonts w:ascii="Times New Roman" w:hAnsi="Times New Roman"/>
          <w:sz w:val="20"/>
        </w:rPr>
        <w:t xml:space="preserve">Figura </w:t>
      </w:r>
      <w:r w:rsidR="00EC7637">
        <w:rPr>
          <w:rFonts w:ascii="Times New Roman" w:hAnsi="Times New Roman"/>
          <w:sz w:val="20"/>
        </w:rPr>
        <w:t>6</w:t>
      </w:r>
      <w:r w:rsidRPr="00B2622A">
        <w:rPr>
          <w:rFonts w:ascii="Times New Roman" w:hAnsi="Times New Roman"/>
          <w:sz w:val="20"/>
        </w:rPr>
        <w:t xml:space="preserve"> -</w:t>
      </w:r>
      <w:r w:rsidRPr="00B2622A">
        <w:rPr>
          <w:sz w:val="20"/>
        </w:rPr>
        <w:t xml:space="preserve"> </w:t>
      </w:r>
      <w:r w:rsidRPr="00B32931">
        <w:rPr>
          <w:rFonts w:ascii="Times New Roman" w:hAnsi="Times New Roman"/>
          <w:b w:val="0"/>
          <w:color w:val="000000" w:themeColor="text1"/>
          <w:sz w:val="20"/>
        </w:rPr>
        <w:t xml:space="preserve">Descrição dos diferentes métodos de extracção de azeite, com representação esquemática dos seus produtos e subprodutos resultantes. Destaque para o modo de obtenção do subproduto bagaço de </w:t>
      </w:r>
      <w:r w:rsidRPr="00B32931">
        <w:rPr>
          <w:rFonts w:ascii="Times New Roman" w:hAnsi="Times New Roman"/>
          <w:b w:val="0"/>
          <w:color w:val="000000" w:themeColor="text1"/>
          <w:sz w:val="20"/>
        </w:rPr>
        <w:lastRenderedPageBreak/>
        <w:t xml:space="preserve">azeitona extractado a partir do subproduto bagaço de azeitona húmido (adaptado de </w:t>
      </w:r>
      <w:r>
        <w:rPr>
          <w:rFonts w:ascii="Times New Roman" w:hAnsi="Times New Roman"/>
          <w:b w:val="0"/>
          <w:color w:val="000000" w:themeColor="text1"/>
          <w:sz w:val="20"/>
        </w:rPr>
        <w:t xml:space="preserve">Sampedro </w:t>
      </w:r>
      <w:r w:rsidRPr="00B32931">
        <w:rPr>
          <w:rFonts w:ascii="Times New Roman" w:hAnsi="Times New Roman"/>
          <w:b w:val="0"/>
          <w:i/>
          <w:color w:val="000000" w:themeColor="text1"/>
          <w:sz w:val="20"/>
        </w:rPr>
        <w:t>et al</w:t>
      </w:r>
      <w:r>
        <w:rPr>
          <w:rFonts w:ascii="Times New Roman" w:hAnsi="Times New Roman"/>
          <w:b w:val="0"/>
          <w:color w:val="000000" w:themeColor="text1"/>
          <w:sz w:val="20"/>
        </w:rPr>
        <w:t xml:space="preserve">., 2004; </w:t>
      </w:r>
      <w:r w:rsidRPr="00B32931">
        <w:rPr>
          <w:rFonts w:ascii="Times New Roman" w:hAnsi="Times New Roman"/>
          <w:b w:val="0"/>
          <w:color w:val="000000" w:themeColor="text1"/>
          <w:sz w:val="20"/>
        </w:rPr>
        <w:t xml:space="preserve">Moral </w:t>
      </w:r>
      <w:r w:rsidRPr="00B32931">
        <w:rPr>
          <w:rFonts w:ascii="Times New Roman" w:hAnsi="Times New Roman"/>
          <w:b w:val="0"/>
          <w:i/>
          <w:color w:val="000000" w:themeColor="text1"/>
          <w:sz w:val="20"/>
        </w:rPr>
        <w:t>et al</w:t>
      </w:r>
      <w:r>
        <w:rPr>
          <w:rFonts w:ascii="Times New Roman" w:hAnsi="Times New Roman"/>
          <w:b w:val="0"/>
          <w:color w:val="000000" w:themeColor="text1"/>
          <w:sz w:val="20"/>
        </w:rPr>
        <w:t>.,</w:t>
      </w:r>
      <w:r w:rsidRPr="00B32931">
        <w:rPr>
          <w:rFonts w:ascii="Times New Roman" w:hAnsi="Times New Roman"/>
          <w:b w:val="0"/>
          <w:color w:val="000000" w:themeColor="text1"/>
          <w:sz w:val="20"/>
        </w:rPr>
        <w:t xml:space="preserve"> 2006</w:t>
      </w:r>
      <w:r>
        <w:rPr>
          <w:rFonts w:ascii="Times New Roman" w:hAnsi="Times New Roman"/>
          <w:b w:val="0"/>
          <w:color w:val="000000" w:themeColor="text1"/>
          <w:sz w:val="20"/>
        </w:rPr>
        <w:t xml:space="preserve">; </w:t>
      </w:r>
      <w:r w:rsidRPr="00B32931">
        <w:rPr>
          <w:rFonts w:ascii="Times New Roman" w:hAnsi="Times New Roman"/>
          <w:b w:val="0"/>
          <w:color w:val="000000" w:themeColor="text1"/>
          <w:sz w:val="20"/>
        </w:rPr>
        <w:t xml:space="preserve">Roig, </w:t>
      </w:r>
      <w:r w:rsidRPr="00B32931">
        <w:rPr>
          <w:rFonts w:ascii="Times New Roman" w:hAnsi="Times New Roman"/>
          <w:b w:val="0"/>
          <w:i/>
          <w:color w:val="000000" w:themeColor="text1"/>
          <w:sz w:val="20"/>
        </w:rPr>
        <w:t>et al</w:t>
      </w:r>
      <w:r w:rsidRPr="00B32931">
        <w:rPr>
          <w:rFonts w:ascii="Times New Roman" w:hAnsi="Times New Roman"/>
          <w:b w:val="0"/>
          <w:color w:val="000000" w:themeColor="text1"/>
          <w:sz w:val="20"/>
        </w:rPr>
        <w:t>.; 2006).</w:t>
      </w:r>
    </w:p>
    <w:p w:rsidR="00B2622A" w:rsidRDefault="00B2622A" w:rsidP="00BF527E">
      <w:pPr>
        <w:jc w:val="both"/>
        <w:rPr>
          <w:rFonts w:ascii="Times New Roman" w:hAnsi="Times New Roman"/>
          <w:sz w:val="24"/>
          <w:szCs w:val="24"/>
        </w:rPr>
      </w:pPr>
    </w:p>
    <w:p w:rsidR="00C52204" w:rsidRDefault="008D362B" w:rsidP="00BF527E">
      <w:pPr>
        <w:jc w:val="both"/>
        <w:rPr>
          <w:rFonts w:ascii="Times New Roman" w:hAnsi="Times New Roman"/>
          <w:sz w:val="24"/>
          <w:szCs w:val="24"/>
        </w:rPr>
      </w:pPr>
      <w:r>
        <w:rPr>
          <w:rFonts w:ascii="Times New Roman" w:hAnsi="Times New Roman"/>
          <w:sz w:val="24"/>
          <w:szCs w:val="24"/>
        </w:rPr>
        <w:tab/>
        <w:t xml:space="preserve">Com vista a reduzir a quantidade de água gasta no processo de extracção, </w:t>
      </w:r>
      <w:r w:rsidR="006A5F6E">
        <w:rPr>
          <w:rFonts w:ascii="Times New Roman" w:hAnsi="Times New Roman"/>
          <w:sz w:val="24"/>
          <w:szCs w:val="24"/>
        </w:rPr>
        <w:t>e por conse</w:t>
      </w:r>
      <w:r w:rsidR="002F261D">
        <w:rPr>
          <w:rFonts w:ascii="Times New Roman" w:hAnsi="Times New Roman"/>
          <w:sz w:val="24"/>
          <w:szCs w:val="24"/>
        </w:rPr>
        <w:t>g</w:t>
      </w:r>
      <w:r w:rsidR="000E2ED3">
        <w:rPr>
          <w:rFonts w:ascii="Times New Roman" w:hAnsi="Times New Roman"/>
          <w:sz w:val="24"/>
          <w:szCs w:val="24"/>
        </w:rPr>
        <w:t>u</w:t>
      </w:r>
      <w:r w:rsidR="002F261D">
        <w:rPr>
          <w:rFonts w:ascii="Times New Roman" w:hAnsi="Times New Roman"/>
          <w:sz w:val="24"/>
          <w:szCs w:val="24"/>
        </w:rPr>
        <w:t>inte</w:t>
      </w:r>
      <w:r w:rsidR="006A5F6E">
        <w:rPr>
          <w:rFonts w:ascii="Times New Roman" w:hAnsi="Times New Roman"/>
          <w:sz w:val="24"/>
          <w:szCs w:val="24"/>
        </w:rPr>
        <w:t xml:space="preserve"> os resíduos resultantes desta, foi desenvolvido no início da década de 90 um novo sistema de centrifugação denominado </w:t>
      </w:r>
      <w:r w:rsidR="00A22ECF">
        <w:rPr>
          <w:rFonts w:ascii="Times New Roman" w:hAnsi="Times New Roman"/>
          <w:sz w:val="24"/>
          <w:szCs w:val="24"/>
        </w:rPr>
        <w:t xml:space="preserve">sistema </w:t>
      </w:r>
      <w:r w:rsidR="006A5F6E">
        <w:rPr>
          <w:rFonts w:ascii="Times New Roman" w:hAnsi="Times New Roman"/>
          <w:sz w:val="24"/>
          <w:szCs w:val="24"/>
        </w:rPr>
        <w:t>de duas fases</w:t>
      </w:r>
      <w:r w:rsidR="009A0D79">
        <w:rPr>
          <w:rFonts w:ascii="Times New Roman" w:hAnsi="Times New Roman"/>
          <w:sz w:val="24"/>
          <w:szCs w:val="24"/>
        </w:rPr>
        <w:t xml:space="preserve"> (Figura 6)</w:t>
      </w:r>
      <w:r w:rsidR="006A5F6E">
        <w:rPr>
          <w:rFonts w:ascii="Times New Roman" w:hAnsi="Times New Roman"/>
          <w:sz w:val="24"/>
          <w:szCs w:val="24"/>
        </w:rPr>
        <w:t xml:space="preserve">. Este sistema permitiu reduzir em 75% a quantidade de água gasta na extracção de azeite, e a produção de apenas duas fracções finais, uma </w:t>
      </w:r>
      <w:r w:rsidR="00E91A67">
        <w:rPr>
          <w:rFonts w:ascii="Times New Roman" w:hAnsi="Times New Roman"/>
          <w:sz w:val="24"/>
          <w:szCs w:val="24"/>
        </w:rPr>
        <w:t>semi-</w:t>
      </w:r>
      <w:r w:rsidR="006A5F6E">
        <w:rPr>
          <w:rFonts w:ascii="Times New Roman" w:hAnsi="Times New Roman"/>
          <w:sz w:val="24"/>
          <w:szCs w:val="24"/>
        </w:rPr>
        <w:t>sólida, o bagaço de azeitona húmido, e uma líquida,</w:t>
      </w:r>
      <w:r w:rsidR="00DB60A0">
        <w:rPr>
          <w:rFonts w:ascii="Times New Roman" w:hAnsi="Times New Roman"/>
          <w:sz w:val="24"/>
          <w:szCs w:val="24"/>
        </w:rPr>
        <w:t xml:space="preserve"> o azeite</w:t>
      </w:r>
      <w:r w:rsidR="009A0D79">
        <w:rPr>
          <w:rFonts w:ascii="Times New Roman" w:hAnsi="Times New Roman"/>
          <w:sz w:val="24"/>
          <w:szCs w:val="24"/>
        </w:rPr>
        <w:t xml:space="preserve"> (Figura 6)</w:t>
      </w:r>
      <w:r w:rsidR="00DB60A0">
        <w:rPr>
          <w:rFonts w:ascii="Times New Roman" w:hAnsi="Times New Roman"/>
          <w:sz w:val="24"/>
          <w:szCs w:val="24"/>
        </w:rPr>
        <w:t>.</w:t>
      </w:r>
      <w:r w:rsidR="006A5F6E">
        <w:rPr>
          <w:rFonts w:ascii="Times New Roman" w:hAnsi="Times New Roman"/>
          <w:sz w:val="24"/>
          <w:szCs w:val="24"/>
        </w:rPr>
        <w:t xml:space="preserve"> </w:t>
      </w:r>
      <w:r w:rsidR="001154D3">
        <w:rPr>
          <w:rFonts w:ascii="Times New Roman" w:hAnsi="Times New Roman"/>
          <w:sz w:val="24"/>
          <w:szCs w:val="24"/>
        </w:rPr>
        <w:t>O subproduto bagaço de azeitona húmido, contém uma elevada proporção de água</w:t>
      </w:r>
      <w:r w:rsidR="00DF0F68">
        <w:rPr>
          <w:rFonts w:ascii="Times New Roman" w:hAnsi="Times New Roman"/>
          <w:sz w:val="24"/>
          <w:szCs w:val="24"/>
        </w:rPr>
        <w:t xml:space="preserve"> maior que o bagaço de azeitona, e uma grande quantidade de lignina, celulose, hemicelulose, </w:t>
      </w:r>
      <w:r w:rsidR="00A444E2">
        <w:rPr>
          <w:rFonts w:ascii="Times New Roman" w:hAnsi="Times New Roman"/>
          <w:sz w:val="24"/>
          <w:szCs w:val="24"/>
        </w:rPr>
        <w:t xml:space="preserve">e compostos fenólicos (Sampedro </w:t>
      </w:r>
      <w:r w:rsidR="00A444E2" w:rsidRPr="005B03A2">
        <w:rPr>
          <w:rFonts w:ascii="Times New Roman" w:hAnsi="Times New Roman"/>
          <w:i/>
          <w:sz w:val="24"/>
          <w:szCs w:val="24"/>
        </w:rPr>
        <w:t>et al</w:t>
      </w:r>
      <w:r w:rsidR="00A444E2">
        <w:rPr>
          <w:rFonts w:ascii="Times New Roman" w:hAnsi="Times New Roman"/>
          <w:sz w:val="24"/>
          <w:szCs w:val="24"/>
        </w:rPr>
        <w:t xml:space="preserve">., 2004; Moral </w:t>
      </w:r>
      <w:r w:rsidR="00A444E2" w:rsidRPr="005B03A2">
        <w:rPr>
          <w:rFonts w:ascii="Times New Roman" w:hAnsi="Times New Roman"/>
          <w:i/>
          <w:sz w:val="24"/>
          <w:szCs w:val="24"/>
        </w:rPr>
        <w:t>et al</w:t>
      </w:r>
      <w:r w:rsidR="00A444E2">
        <w:rPr>
          <w:rFonts w:ascii="Times New Roman" w:hAnsi="Times New Roman"/>
          <w:sz w:val="24"/>
          <w:szCs w:val="24"/>
        </w:rPr>
        <w:t xml:space="preserve">., 2006; Roig </w:t>
      </w:r>
      <w:r w:rsidR="00A444E2" w:rsidRPr="005B03A2">
        <w:rPr>
          <w:rFonts w:ascii="Times New Roman" w:hAnsi="Times New Roman"/>
          <w:i/>
          <w:sz w:val="24"/>
          <w:szCs w:val="24"/>
        </w:rPr>
        <w:t>et al</w:t>
      </w:r>
      <w:r w:rsidR="00A444E2">
        <w:rPr>
          <w:rFonts w:ascii="Times New Roman" w:hAnsi="Times New Roman"/>
          <w:sz w:val="24"/>
          <w:szCs w:val="24"/>
        </w:rPr>
        <w:t>., 2006).</w:t>
      </w:r>
      <w:r w:rsidR="00DF0F68">
        <w:rPr>
          <w:rFonts w:ascii="Times New Roman" w:hAnsi="Times New Roman"/>
          <w:sz w:val="24"/>
          <w:szCs w:val="24"/>
        </w:rPr>
        <w:t xml:space="preserve"> </w:t>
      </w:r>
    </w:p>
    <w:p w:rsidR="0058032A" w:rsidRDefault="0058032A" w:rsidP="0058032A">
      <w:pPr>
        <w:ind w:firstLine="708"/>
        <w:jc w:val="both"/>
        <w:rPr>
          <w:rFonts w:ascii="Times New Roman" w:hAnsi="Times New Roman"/>
          <w:sz w:val="24"/>
          <w:szCs w:val="24"/>
        </w:rPr>
      </w:pPr>
      <w:r w:rsidRPr="001421FE">
        <w:rPr>
          <w:rFonts w:ascii="Times New Roman" w:hAnsi="Times New Roman"/>
          <w:sz w:val="24"/>
          <w:szCs w:val="24"/>
        </w:rPr>
        <w:t>É nas regiões do Alentejo e Trás os Montes</w:t>
      </w:r>
      <w:r w:rsidR="00F9362E">
        <w:rPr>
          <w:rFonts w:ascii="Times New Roman" w:hAnsi="Times New Roman"/>
          <w:sz w:val="24"/>
          <w:szCs w:val="24"/>
        </w:rPr>
        <w:t xml:space="preserve"> e Alto Douro</w:t>
      </w:r>
      <w:r w:rsidRPr="001421FE">
        <w:rPr>
          <w:rFonts w:ascii="Times New Roman" w:hAnsi="Times New Roman"/>
          <w:sz w:val="24"/>
          <w:szCs w:val="24"/>
        </w:rPr>
        <w:t xml:space="preserve"> que a problemática d</w:t>
      </w:r>
      <w:r>
        <w:rPr>
          <w:rFonts w:ascii="Times New Roman" w:hAnsi="Times New Roman"/>
          <w:sz w:val="24"/>
          <w:szCs w:val="24"/>
        </w:rPr>
        <w:t>a geração de</w:t>
      </w:r>
      <w:r w:rsidRPr="001421FE">
        <w:rPr>
          <w:rFonts w:ascii="Times New Roman" w:hAnsi="Times New Roman"/>
          <w:sz w:val="24"/>
          <w:szCs w:val="24"/>
        </w:rPr>
        <w:t xml:space="preserve"> bagaços húmidos se</w:t>
      </w:r>
      <w:r>
        <w:rPr>
          <w:rFonts w:ascii="Times New Roman" w:hAnsi="Times New Roman"/>
          <w:sz w:val="24"/>
          <w:szCs w:val="24"/>
        </w:rPr>
        <w:t xml:space="preserve"> </w:t>
      </w:r>
      <w:r w:rsidRPr="001421FE">
        <w:rPr>
          <w:rFonts w:ascii="Times New Roman" w:hAnsi="Times New Roman"/>
          <w:sz w:val="24"/>
          <w:szCs w:val="24"/>
        </w:rPr>
        <w:t>f</w:t>
      </w:r>
      <w:r>
        <w:rPr>
          <w:rFonts w:ascii="Times New Roman" w:hAnsi="Times New Roman"/>
          <w:sz w:val="24"/>
          <w:szCs w:val="24"/>
        </w:rPr>
        <w:t>a</w:t>
      </w:r>
      <w:r w:rsidRPr="001421FE">
        <w:rPr>
          <w:rFonts w:ascii="Times New Roman" w:hAnsi="Times New Roman"/>
          <w:sz w:val="24"/>
          <w:szCs w:val="24"/>
        </w:rPr>
        <w:t>z sentir com maior incidência dada a</w:t>
      </w:r>
      <w:r>
        <w:rPr>
          <w:rFonts w:ascii="Times New Roman" w:hAnsi="Times New Roman"/>
          <w:sz w:val="24"/>
          <w:szCs w:val="24"/>
        </w:rPr>
        <w:t xml:space="preserve"> relevância do azeite obtido em </w:t>
      </w:r>
      <w:r w:rsidRPr="001421FE">
        <w:rPr>
          <w:rFonts w:ascii="Times New Roman" w:hAnsi="Times New Roman"/>
          <w:sz w:val="24"/>
          <w:szCs w:val="24"/>
        </w:rPr>
        <w:t>sistemas de duas</w:t>
      </w:r>
      <w:r>
        <w:rPr>
          <w:rFonts w:ascii="Times New Roman" w:hAnsi="Times New Roman"/>
          <w:sz w:val="24"/>
          <w:szCs w:val="24"/>
        </w:rPr>
        <w:t xml:space="preserve"> </w:t>
      </w:r>
      <w:r w:rsidRPr="001421FE">
        <w:rPr>
          <w:rFonts w:ascii="Times New Roman" w:hAnsi="Times New Roman"/>
          <w:sz w:val="24"/>
          <w:szCs w:val="24"/>
        </w:rPr>
        <w:t>fases.</w:t>
      </w:r>
      <w:r>
        <w:rPr>
          <w:rFonts w:ascii="Times New Roman" w:hAnsi="Times New Roman"/>
          <w:sz w:val="24"/>
          <w:szCs w:val="24"/>
        </w:rPr>
        <w:t xml:space="preserve"> </w:t>
      </w:r>
      <w:r w:rsidRPr="001421FE">
        <w:rPr>
          <w:rFonts w:ascii="Times New Roman" w:hAnsi="Times New Roman"/>
          <w:sz w:val="24"/>
          <w:szCs w:val="24"/>
        </w:rPr>
        <w:t>Esta situação foi ultrapassada no Alentejo com a entrada em funcionamento em 2001 de</w:t>
      </w:r>
      <w:r>
        <w:rPr>
          <w:rFonts w:ascii="Times New Roman" w:hAnsi="Times New Roman"/>
          <w:sz w:val="24"/>
          <w:szCs w:val="24"/>
        </w:rPr>
        <w:t xml:space="preserve"> </w:t>
      </w:r>
      <w:r w:rsidRPr="001421FE">
        <w:rPr>
          <w:rFonts w:ascii="Times New Roman" w:hAnsi="Times New Roman"/>
          <w:sz w:val="24"/>
          <w:szCs w:val="24"/>
        </w:rPr>
        <w:t>uma grande unidade de secagem (UCASUL –</w:t>
      </w:r>
      <w:r>
        <w:rPr>
          <w:rFonts w:ascii="Times New Roman" w:hAnsi="Times New Roman"/>
          <w:sz w:val="24"/>
          <w:szCs w:val="24"/>
        </w:rPr>
        <w:t xml:space="preserve"> </w:t>
      </w:r>
      <w:r w:rsidRPr="001421FE">
        <w:rPr>
          <w:rFonts w:ascii="Times New Roman" w:hAnsi="Times New Roman"/>
          <w:sz w:val="24"/>
          <w:szCs w:val="24"/>
        </w:rPr>
        <w:t>União de Cooperativas do Sul, CRL) que</w:t>
      </w:r>
      <w:r>
        <w:rPr>
          <w:rFonts w:ascii="Times New Roman" w:hAnsi="Times New Roman"/>
          <w:sz w:val="24"/>
          <w:szCs w:val="24"/>
        </w:rPr>
        <w:t xml:space="preserve"> </w:t>
      </w:r>
      <w:r w:rsidRPr="001421FE">
        <w:rPr>
          <w:rFonts w:ascii="Times New Roman" w:hAnsi="Times New Roman"/>
          <w:sz w:val="24"/>
          <w:szCs w:val="24"/>
        </w:rPr>
        <w:t>processa os bagaços húmidos produzidos na região. Na região Norte existem também duas</w:t>
      </w:r>
      <w:r>
        <w:rPr>
          <w:rFonts w:ascii="Times New Roman" w:hAnsi="Times New Roman"/>
          <w:sz w:val="24"/>
          <w:szCs w:val="24"/>
        </w:rPr>
        <w:t xml:space="preserve"> </w:t>
      </w:r>
      <w:r w:rsidRPr="001421FE">
        <w:rPr>
          <w:rFonts w:ascii="Times New Roman" w:hAnsi="Times New Roman"/>
          <w:sz w:val="24"/>
          <w:szCs w:val="24"/>
        </w:rPr>
        <w:t>unidades de secagem que, praticamente, escoam os bagaços húmidos da região.</w:t>
      </w:r>
      <w:r>
        <w:rPr>
          <w:rFonts w:ascii="Times New Roman" w:hAnsi="Times New Roman"/>
          <w:sz w:val="24"/>
          <w:szCs w:val="24"/>
        </w:rPr>
        <w:t xml:space="preserve"> </w:t>
      </w:r>
      <w:r w:rsidRPr="001421FE">
        <w:rPr>
          <w:rFonts w:ascii="Times New Roman" w:hAnsi="Times New Roman"/>
          <w:sz w:val="24"/>
          <w:szCs w:val="24"/>
        </w:rPr>
        <w:t>A valorização conseguida para estes bagaços não chega a compensar os custos adicionais</w:t>
      </w:r>
      <w:r>
        <w:rPr>
          <w:rFonts w:ascii="Times New Roman" w:hAnsi="Times New Roman"/>
          <w:sz w:val="24"/>
          <w:szCs w:val="24"/>
        </w:rPr>
        <w:t xml:space="preserve"> </w:t>
      </w:r>
      <w:r w:rsidRPr="001421FE">
        <w:rPr>
          <w:rFonts w:ascii="Times New Roman" w:hAnsi="Times New Roman"/>
          <w:sz w:val="24"/>
          <w:szCs w:val="24"/>
        </w:rPr>
        <w:t>com a secagem, pelo que se têm tentado encontrar alternativas para a sua eliminação</w:t>
      </w:r>
      <w:r>
        <w:rPr>
          <w:rFonts w:ascii="Times New Roman" w:hAnsi="Times New Roman"/>
          <w:sz w:val="24"/>
          <w:szCs w:val="24"/>
        </w:rPr>
        <w:t xml:space="preserve">, surgindo </w:t>
      </w:r>
      <w:r w:rsidRPr="001421FE">
        <w:rPr>
          <w:rFonts w:ascii="Times New Roman" w:hAnsi="Times New Roman"/>
          <w:sz w:val="24"/>
          <w:szCs w:val="24"/>
        </w:rPr>
        <w:t>como alternativa possível a compostagem e a utilização</w:t>
      </w:r>
      <w:r>
        <w:rPr>
          <w:rFonts w:ascii="Times New Roman" w:hAnsi="Times New Roman"/>
          <w:sz w:val="24"/>
          <w:szCs w:val="24"/>
        </w:rPr>
        <w:t xml:space="preserve"> </w:t>
      </w:r>
      <w:r w:rsidRPr="001421FE">
        <w:rPr>
          <w:rFonts w:ascii="Times New Roman" w:hAnsi="Times New Roman"/>
          <w:sz w:val="24"/>
          <w:szCs w:val="24"/>
        </w:rPr>
        <w:t>directa nos solos agr</w:t>
      </w:r>
      <w:r>
        <w:rPr>
          <w:rFonts w:ascii="Times New Roman" w:hAnsi="Times New Roman"/>
          <w:sz w:val="24"/>
          <w:szCs w:val="24"/>
        </w:rPr>
        <w:t xml:space="preserve">ícolas </w:t>
      </w:r>
      <w:r w:rsidRPr="008766E0">
        <w:rPr>
          <w:rFonts w:ascii="Times New Roman" w:hAnsi="Times New Roman"/>
          <w:sz w:val="24"/>
          <w:szCs w:val="24"/>
        </w:rPr>
        <w:t>(MADRP, 2007).</w:t>
      </w:r>
      <w:r>
        <w:rPr>
          <w:rFonts w:ascii="Times New Roman" w:hAnsi="Times New Roman"/>
          <w:sz w:val="24"/>
          <w:szCs w:val="24"/>
        </w:rPr>
        <w:t xml:space="preserve"> </w:t>
      </w:r>
    </w:p>
    <w:p w:rsidR="00DB60A0" w:rsidRDefault="00E66047" w:rsidP="001421FE">
      <w:pPr>
        <w:ind w:firstLine="708"/>
        <w:jc w:val="both"/>
        <w:rPr>
          <w:rFonts w:ascii="Times New Roman" w:hAnsi="Times New Roman"/>
          <w:sz w:val="24"/>
          <w:szCs w:val="24"/>
        </w:rPr>
      </w:pPr>
      <w:r>
        <w:rPr>
          <w:rFonts w:ascii="Times New Roman" w:hAnsi="Times New Roman"/>
          <w:sz w:val="24"/>
          <w:szCs w:val="24"/>
        </w:rPr>
        <w:t>Enquanto</w:t>
      </w:r>
      <w:r w:rsidR="00C52204" w:rsidRPr="00C52204">
        <w:rPr>
          <w:rFonts w:ascii="Times New Roman" w:hAnsi="Times New Roman"/>
          <w:sz w:val="24"/>
          <w:szCs w:val="24"/>
        </w:rPr>
        <w:t xml:space="preserve"> nos lagares de prensas e </w:t>
      </w:r>
      <w:r w:rsidR="006966E1">
        <w:rPr>
          <w:rFonts w:ascii="Times New Roman" w:hAnsi="Times New Roman"/>
          <w:sz w:val="24"/>
          <w:szCs w:val="24"/>
        </w:rPr>
        <w:t xml:space="preserve">sistemas </w:t>
      </w:r>
      <w:r w:rsidR="00C52204" w:rsidRPr="00C52204">
        <w:rPr>
          <w:rFonts w:ascii="Times New Roman" w:hAnsi="Times New Roman"/>
          <w:sz w:val="24"/>
          <w:szCs w:val="24"/>
        </w:rPr>
        <w:t xml:space="preserve">de três fases, o bagaço </w:t>
      </w:r>
      <w:r w:rsidR="006966E1">
        <w:rPr>
          <w:rFonts w:ascii="Times New Roman" w:hAnsi="Times New Roman"/>
          <w:sz w:val="24"/>
          <w:szCs w:val="24"/>
        </w:rPr>
        <w:t xml:space="preserve">de azeitona </w:t>
      </w:r>
      <w:r w:rsidR="00C52204" w:rsidRPr="00C52204">
        <w:rPr>
          <w:rFonts w:ascii="Times New Roman" w:hAnsi="Times New Roman"/>
          <w:sz w:val="24"/>
          <w:szCs w:val="24"/>
        </w:rPr>
        <w:t>produzido ainda</w:t>
      </w:r>
      <w:r w:rsidR="006966E1">
        <w:rPr>
          <w:rFonts w:ascii="Times New Roman" w:hAnsi="Times New Roman"/>
          <w:sz w:val="24"/>
          <w:szCs w:val="24"/>
        </w:rPr>
        <w:t xml:space="preserve"> </w:t>
      </w:r>
      <w:r w:rsidR="00C52204" w:rsidRPr="00C52204">
        <w:rPr>
          <w:rFonts w:ascii="Times New Roman" w:hAnsi="Times New Roman"/>
          <w:sz w:val="24"/>
          <w:szCs w:val="24"/>
        </w:rPr>
        <w:t>representa uma mais valia em termos económicos, s</w:t>
      </w:r>
      <w:r w:rsidR="006966E1">
        <w:rPr>
          <w:rFonts w:ascii="Times New Roman" w:hAnsi="Times New Roman"/>
          <w:sz w:val="24"/>
          <w:szCs w:val="24"/>
        </w:rPr>
        <w:t xml:space="preserve">endo adquirido pelas fábricas de </w:t>
      </w:r>
      <w:r w:rsidR="00C52204" w:rsidRPr="00C52204">
        <w:rPr>
          <w:rFonts w:ascii="Times New Roman" w:hAnsi="Times New Roman"/>
          <w:sz w:val="24"/>
          <w:szCs w:val="24"/>
        </w:rPr>
        <w:t>extracção de óleo de bagaço, o bagaço húmido dos sistemas de duas fases, praticamente</w:t>
      </w:r>
      <w:r w:rsidR="006966E1">
        <w:rPr>
          <w:rFonts w:ascii="Times New Roman" w:hAnsi="Times New Roman"/>
          <w:sz w:val="24"/>
          <w:szCs w:val="24"/>
        </w:rPr>
        <w:t xml:space="preserve"> não te</w:t>
      </w:r>
      <w:r w:rsidR="00C52204" w:rsidRPr="00C52204">
        <w:rPr>
          <w:rFonts w:ascii="Times New Roman" w:hAnsi="Times New Roman"/>
          <w:sz w:val="24"/>
          <w:szCs w:val="24"/>
        </w:rPr>
        <w:t>m valor comercial, dadas as suas características de humidade e viscosidade que</w:t>
      </w:r>
      <w:r w:rsidR="006966E1">
        <w:rPr>
          <w:rFonts w:ascii="Times New Roman" w:hAnsi="Times New Roman"/>
          <w:sz w:val="24"/>
          <w:szCs w:val="24"/>
        </w:rPr>
        <w:t xml:space="preserve"> </w:t>
      </w:r>
      <w:r w:rsidR="00C52204" w:rsidRPr="00C52204">
        <w:rPr>
          <w:rFonts w:ascii="Times New Roman" w:hAnsi="Times New Roman"/>
          <w:sz w:val="24"/>
          <w:szCs w:val="24"/>
        </w:rPr>
        <w:t>tornam difícil o seu transporte, armazenagem e secagem. Tendo em vista a sua utilização</w:t>
      </w:r>
      <w:r w:rsidR="006966E1">
        <w:rPr>
          <w:rFonts w:ascii="Times New Roman" w:hAnsi="Times New Roman"/>
          <w:sz w:val="24"/>
          <w:szCs w:val="24"/>
        </w:rPr>
        <w:t xml:space="preserve"> </w:t>
      </w:r>
      <w:r w:rsidR="00C52204" w:rsidRPr="00C52204">
        <w:rPr>
          <w:rFonts w:ascii="Times New Roman" w:hAnsi="Times New Roman"/>
          <w:sz w:val="24"/>
          <w:szCs w:val="24"/>
        </w:rPr>
        <w:t>como subproduto torna-se necessário proceder a uma pré-secagem</w:t>
      </w:r>
      <w:r w:rsidR="001421FE">
        <w:rPr>
          <w:rFonts w:ascii="Times New Roman" w:hAnsi="Times New Roman"/>
          <w:sz w:val="24"/>
          <w:szCs w:val="24"/>
        </w:rPr>
        <w:t xml:space="preserve"> </w:t>
      </w:r>
      <w:r w:rsidR="001421FE" w:rsidRPr="008766E0">
        <w:rPr>
          <w:rFonts w:ascii="Times New Roman" w:hAnsi="Times New Roman"/>
          <w:sz w:val="24"/>
          <w:szCs w:val="24"/>
        </w:rPr>
        <w:t>(MADRP, 2007)</w:t>
      </w:r>
      <w:r w:rsidR="00C52204" w:rsidRPr="008766E0">
        <w:rPr>
          <w:rFonts w:ascii="Times New Roman" w:hAnsi="Times New Roman"/>
          <w:sz w:val="24"/>
          <w:szCs w:val="24"/>
        </w:rPr>
        <w:t>.</w:t>
      </w:r>
      <w:r w:rsidR="001421FE">
        <w:rPr>
          <w:rFonts w:ascii="Times New Roman" w:hAnsi="Times New Roman"/>
          <w:sz w:val="24"/>
          <w:szCs w:val="24"/>
        </w:rPr>
        <w:t xml:space="preserve"> </w:t>
      </w:r>
      <w:r w:rsidR="006966E1">
        <w:rPr>
          <w:rFonts w:ascii="Times New Roman" w:hAnsi="Times New Roman"/>
          <w:sz w:val="24"/>
          <w:szCs w:val="24"/>
        </w:rPr>
        <w:t>Assim o</w:t>
      </w:r>
      <w:r w:rsidR="006A5F6E">
        <w:rPr>
          <w:rFonts w:ascii="Times New Roman" w:hAnsi="Times New Roman"/>
          <w:sz w:val="24"/>
          <w:szCs w:val="24"/>
        </w:rPr>
        <w:t xml:space="preserve"> bagaço de azeitona húmido </w:t>
      </w:r>
      <w:r w:rsidR="008E2CD6">
        <w:rPr>
          <w:rFonts w:ascii="Times New Roman" w:hAnsi="Times New Roman"/>
          <w:sz w:val="24"/>
          <w:szCs w:val="24"/>
        </w:rPr>
        <w:t xml:space="preserve">pode sofrer um novo processamento para a recolha de óleo residual, ou alternativamente </w:t>
      </w:r>
      <w:r w:rsidR="00A22ECF">
        <w:rPr>
          <w:rFonts w:ascii="Times New Roman" w:hAnsi="Times New Roman"/>
          <w:sz w:val="24"/>
          <w:szCs w:val="24"/>
        </w:rPr>
        <w:t>sofre</w:t>
      </w:r>
      <w:r w:rsidR="008E2CD6">
        <w:rPr>
          <w:rFonts w:ascii="Times New Roman" w:hAnsi="Times New Roman"/>
          <w:sz w:val="24"/>
          <w:szCs w:val="24"/>
        </w:rPr>
        <w:t xml:space="preserve">r </w:t>
      </w:r>
      <w:r w:rsidR="0003186B">
        <w:rPr>
          <w:rFonts w:ascii="Times New Roman" w:hAnsi="Times New Roman"/>
          <w:sz w:val="24"/>
          <w:szCs w:val="24"/>
        </w:rPr>
        <w:t>uma secagem a 400-800ºC, e posteriormente u</w:t>
      </w:r>
      <w:r w:rsidR="00A22ECF">
        <w:rPr>
          <w:rFonts w:ascii="Times New Roman" w:hAnsi="Times New Roman"/>
          <w:sz w:val="24"/>
          <w:szCs w:val="24"/>
        </w:rPr>
        <w:t xml:space="preserve">ma segunda extracção </w:t>
      </w:r>
      <w:r w:rsidR="0003186B">
        <w:rPr>
          <w:rFonts w:ascii="Times New Roman" w:hAnsi="Times New Roman"/>
          <w:sz w:val="24"/>
          <w:szCs w:val="24"/>
        </w:rPr>
        <w:t xml:space="preserve">com solventes orgânicos, nomeadamente hexano, </w:t>
      </w:r>
      <w:r w:rsidR="00D12520">
        <w:rPr>
          <w:rFonts w:ascii="Times New Roman" w:hAnsi="Times New Roman"/>
          <w:sz w:val="24"/>
          <w:szCs w:val="24"/>
        </w:rPr>
        <w:t>com</w:t>
      </w:r>
      <w:r w:rsidR="008E2CD6">
        <w:rPr>
          <w:rFonts w:ascii="Times New Roman" w:hAnsi="Times New Roman"/>
          <w:sz w:val="24"/>
          <w:szCs w:val="24"/>
        </w:rPr>
        <w:t xml:space="preserve"> a obtenção de </w:t>
      </w:r>
      <w:r w:rsidR="00687F5F">
        <w:rPr>
          <w:rFonts w:ascii="Times New Roman" w:hAnsi="Times New Roman"/>
          <w:sz w:val="24"/>
          <w:szCs w:val="24"/>
        </w:rPr>
        <w:t xml:space="preserve">um óleo de bagaço de </w:t>
      </w:r>
      <w:r w:rsidR="00D12520">
        <w:rPr>
          <w:rFonts w:ascii="Times New Roman" w:hAnsi="Times New Roman"/>
          <w:sz w:val="24"/>
          <w:szCs w:val="24"/>
        </w:rPr>
        <w:t xml:space="preserve">azeitona refinado e de </w:t>
      </w:r>
      <w:r w:rsidR="008E2CD6">
        <w:rPr>
          <w:rFonts w:ascii="Times New Roman" w:hAnsi="Times New Roman"/>
          <w:sz w:val="24"/>
          <w:szCs w:val="24"/>
        </w:rPr>
        <w:t xml:space="preserve">um resíduo sólido. </w:t>
      </w:r>
      <w:r w:rsidR="00D12520">
        <w:rPr>
          <w:rFonts w:ascii="Times New Roman" w:hAnsi="Times New Roman"/>
          <w:sz w:val="24"/>
          <w:szCs w:val="24"/>
        </w:rPr>
        <w:t>A este</w:t>
      </w:r>
      <w:r w:rsidR="0003186B">
        <w:rPr>
          <w:rFonts w:ascii="Times New Roman" w:hAnsi="Times New Roman"/>
          <w:sz w:val="24"/>
          <w:szCs w:val="24"/>
        </w:rPr>
        <w:t xml:space="preserve"> subproduto resultante </w:t>
      </w:r>
      <w:r w:rsidR="008E2CD6">
        <w:rPr>
          <w:rFonts w:ascii="Times New Roman" w:hAnsi="Times New Roman"/>
          <w:sz w:val="24"/>
          <w:szCs w:val="24"/>
        </w:rPr>
        <w:t xml:space="preserve">deste processo </w:t>
      </w:r>
      <w:r w:rsidR="0003186B">
        <w:rPr>
          <w:rFonts w:ascii="Times New Roman" w:hAnsi="Times New Roman"/>
          <w:sz w:val="24"/>
          <w:szCs w:val="24"/>
        </w:rPr>
        <w:t>dá-se o nome de bagaço de azeitona extractado</w:t>
      </w:r>
      <w:r w:rsidR="00B32931">
        <w:rPr>
          <w:rFonts w:ascii="Times New Roman" w:hAnsi="Times New Roman"/>
          <w:sz w:val="24"/>
          <w:szCs w:val="24"/>
        </w:rPr>
        <w:t xml:space="preserve"> </w:t>
      </w:r>
      <w:r w:rsidR="00FC4455" w:rsidRPr="00FC4455">
        <w:rPr>
          <w:rFonts w:ascii="Times New Roman" w:hAnsi="Times New Roman"/>
          <w:b/>
          <w:sz w:val="24"/>
          <w:szCs w:val="24"/>
        </w:rPr>
        <w:t>(BAE)</w:t>
      </w:r>
      <w:r w:rsidR="00FC4455">
        <w:rPr>
          <w:rFonts w:ascii="Times New Roman" w:hAnsi="Times New Roman"/>
          <w:sz w:val="24"/>
          <w:szCs w:val="24"/>
        </w:rPr>
        <w:t xml:space="preserve"> </w:t>
      </w:r>
      <w:r w:rsidR="009A0D79">
        <w:rPr>
          <w:rFonts w:ascii="Times New Roman" w:hAnsi="Times New Roman"/>
          <w:sz w:val="24"/>
          <w:szCs w:val="24"/>
        </w:rPr>
        <w:t>(Figura 6)</w:t>
      </w:r>
      <w:r w:rsidR="00B32931">
        <w:rPr>
          <w:rFonts w:ascii="Times New Roman" w:hAnsi="Times New Roman"/>
          <w:sz w:val="24"/>
          <w:szCs w:val="24"/>
        </w:rPr>
        <w:t xml:space="preserve"> (</w:t>
      </w:r>
      <w:r w:rsidR="00687F5F">
        <w:rPr>
          <w:rFonts w:ascii="Times New Roman" w:hAnsi="Times New Roman"/>
          <w:sz w:val="24"/>
          <w:szCs w:val="24"/>
        </w:rPr>
        <w:t xml:space="preserve">Alburquerque </w:t>
      </w:r>
      <w:r w:rsidR="00687F5F" w:rsidRPr="005B03A2">
        <w:rPr>
          <w:rFonts w:ascii="Times New Roman" w:hAnsi="Times New Roman"/>
          <w:i/>
          <w:sz w:val="24"/>
          <w:szCs w:val="24"/>
        </w:rPr>
        <w:t>et al</w:t>
      </w:r>
      <w:r w:rsidR="00687F5F">
        <w:rPr>
          <w:rFonts w:ascii="Times New Roman" w:hAnsi="Times New Roman"/>
          <w:sz w:val="24"/>
          <w:szCs w:val="24"/>
        </w:rPr>
        <w:t xml:space="preserve">., 2004; </w:t>
      </w:r>
      <w:r w:rsidR="00E91A67">
        <w:rPr>
          <w:rFonts w:ascii="Times New Roman" w:hAnsi="Times New Roman"/>
          <w:sz w:val="24"/>
          <w:szCs w:val="24"/>
        </w:rPr>
        <w:t xml:space="preserve">Sampedro </w:t>
      </w:r>
      <w:r w:rsidR="00E91A67" w:rsidRPr="005B03A2">
        <w:rPr>
          <w:rFonts w:ascii="Times New Roman" w:hAnsi="Times New Roman"/>
          <w:i/>
          <w:sz w:val="24"/>
          <w:szCs w:val="24"/>
        </w:rPr>
        <w:t>et al</w:t>
      </w:r>
      <w:r w:rsidR="00E91A67">
        <w:rPr>
          <w:rFonts w:ascii="Times New Roman" w:hAnsi="Times New Roman"/>
          <w:sz w:val="24"/>
          <w:szCs w:val="24"/>
        </w:rPr>
        <w:t xml:space="preserve">., 2004; Obied </w:t>
      </w:r>
      <w:r w:rsidR="00E91A67" w:rsidRPr="005B03A2">
        <w:rPr>
          <w:rFonts w:ascii="Times New Roman" w:hAnsi="Times New Roman"/>
          <w:i/>
          <w:sz w:val="24"/>
          <w:szCs w:val="24"/>
        </w:rPr>
        <w:t>et al</w:t>
      </w:r>
      <w:r w:rsidR="00756527">
        <w:rPr>
          <w:rFonts w:ascii="Times New Roman" w:hAnsi="Times New Roman"/>
          <w:sz w:val="24"/>
          <w:szCs w:val="24"/>
        </w:rPr>
        <w:t>., 200</w:t>
      </w:r>
      <w:r w:rsidR="001E266E">
        <w:rPr>
          <w:rFonts w:ascii="Times New Roman" w:hAnsi="Times New Roman"/>
          <w:sz w:val="24"/>
          <w:szCs w:val="24"/>
        </w:rPr>
        <w:t>5</w:t>
      </w:r>
      <w:r w:rsidR="00E91A67">
        <w:rPr>
          <w:rFonts w:ascii="Times New Roman" w:hAnsi="Times New Roman"/>
          <w:sz w:val="24"/>
          <w:szCs w:val="24"/>
        </w:rPr>
        <w:t xml:space="preserve">; </w:t>
      </w:r>
      <w:r w:rsidR="00B32931">
        <w:rPr>
          <w:rFonts w:ascii="Times New Roman" w:hAnsi="Times New Roman"/>
          <w:sz w:val="24"/>
          <w:szCs w:val="24"/>
        </w:rPr>
        <w:t xml:space="preserve">Roig </w:t>
      </w:r>
      <w:r w:rsidR="00B32931" w:rsidRPr="005B03A2">
        <w:rPr>
          <w:rFonts w:ascii="Times New Roman" w:hAnsi="Times New Roman"/>
          <w:i/>
          <w:sz w:val="24"/>
          <w:szCs w:val="24"/>
        </w:rPr>
        <w:t>et al</w:t>
      </w:r>
      <w:r w:rsidR="00B32931">
        <w:rPr>
          <w:rFonts w:ascii="Times New Roman" w:hAnsi="Times New Roman"/>
          <w:sz w:val="24"/>
          <w:szCs w:val="24"/>
        </w:rPr>
        <w:t>., 2006).</w:t>
      </w:r>
      <w:r w:rsidR="002F261D">
        <w:rPr>
          <w:rFonts w:ascii="Times New Roman" w:hAnsi="Times New Roman"/>
          <w:sz w:val="24"/>
          <w:szCs w:val="24"/>
        </w:rPr>
        <w:t xml:space="preserve"> É comum ainda, os lagares possuírem sistemas de remoção de caroços de azeitona da polpa de azeite, permitindo este processo um aumento do rendimento da extracção de azeite (Roig </w:t>
      </w:r>
      <w:r w:rsidR="002F261D" w:rsidRPr="005B03A2">
        <w:rPr>
          <w:rFonts w:ascii="Times New Roman" w:hAnsi="Times New Roman"/>
          <w:i/>
          <w:sz w:val="24"/>
          <w:szCs w:val="24"/>
        </w:rPr>
        <w:t>et al</w:t>
      </w:r>
      <w:r w:rsidR="002F261D">
        <w:rPr>
          <w:rFonts w:ascii="Times New Roman" w:hAnsi="Times New Roman"/>
          <w:sz w:val="24"/>
          <w:szCs w:val="24"/>
        </w:rPr>
        <w:t>., 2006).</w:t>
      </w:r>
    </w:p>
    <w:p w:rsidR="00347104" w:rsidRDefault="00B32931" w:rsidP="00BF527E">
      <w:pPr>
        <w:jc w:val="both"/>
        <w:rPr>
          <w:rFonts w:ascii="Times New Roman" w:hAnsi="Times New Roman"/>
          <w:sz w:val="24"/>
          <w:szCs w:val="24"/>
        </w:rPr>
      </w:pPr>
      <w:r>
        <w:rPr>
          <w:rFonts w:ascii="Times New Roman" w:hAnsi="Times New Roman"/>
          <w:sz w:val="24"/>
          <w:szCs w:val="24"/>
        </w:rPr>
        <w:tab/>
        <w:t xml:space="preserve">O </w:t>
      </w:r>
      <w:r w:rsidR="00FC4455">
        <w:rPr>
          <w:rFonts w:ascii="Times New Roman" w:hAnsi="Times New Roman"/>
          <w:sz w:val="24"/>
          <w:szCs w:val="24"/>
        </w:rPr>
        <w:t>BAE</w:t>
      </w:r>
      <w:r>
        <w:rPr>
          <w:rFonts w:ascii="Times New Roman" w:hAnsi="Times New Roman"/>
          <w:sz w:val="24"/>
          <w:szCs w:val="24"/>
        </w:rPr>
        <w:t xml:space="preserve"> </w:t>
      </w:r>
      <w:r w:rsidR="00EE17FE">
        <w:rPr>
          <w:rFonts w:ascii="Times New Roman" w:hAnsi="Times New Roman"/>
          <w:sz w:val="24"/>
          <w:szCs w:val="24"/>
        </w:rPr>
        <w:t xml:space="preserve">é </w:t>
      </w:r>
      <w:r w:rsidR="000603A0">
        <w:rPr>
          <w:rFonts w:ascii="Times New Roman" w:hAnsi="Times New Roman"/>
          <w:sz w:val="24"/>
          <w:szCs w:val="24"/>
        </w:rPr>
        <w:t>um subproduto sólido da extracção de azeite</w:t>
      </w:r>
      <w:r w:rsidR="005412A5">
        <w:rPr>
          <w:rFonts w:ascii="Times New Roman" w:hAnsi="Times New Roman"/>
          <w:sz w:val="24"/>
          <w:szCs w:val="24"/>
        </w:rPr>
        <w:t xml:space="preserve"> utilizando hexano</w:t>
      </w:r>
      <w:r w:rsidR="00742E5B">
        <w:rPr>
          <w:rFonts w:ascii="Times New Roman" w:hAnsi="Times New Roman"/>
          <w:sz w:val="24"/>
          <w:szCs w:val="24"/>
        </w:rPr>
        <w:t>, resultante da valorização adicional do bagaço de azeitona húmido</w:t>
      </w:r>
      <w:r w:rsidR="000603A0">
        <w:rPr>
          <w:rFonts w:ascii="Times New Roman" w:hAnsi="Times New Roman"/>
          <w:sz w:val="24"/>
          <w:szCs w:val="24"/>
        </w:rPr>
        <w:t xml:space="preserve">, </w:t>
      </w:r>
      <w:r>
        <w:rPr>
          <w:rFonts w:ascii="Times New Roman" w:hAnsi="Times New Roman"/>
          <w:sz w:val="24"/>
          <w:szCs w:val="24"/>
        </w:rPr>
        <w:t xml:space="preserve">composto por </w:t>
      </w:r>
      <w:r w:rsidR="00EE17FE">
        <w:rPr>
          <w:rFonts w:ascii="Times New Roman" w:hAnsi="Times New Roman"/>
          <w:sz w:val="24"/>
          <w:szCs w:val="24"/>
        </w:rPr>
        <w:t>pele, polpa e</w:t>
      </w:r>
      <w:r w:rsidR="000603A0">
        <w:rPr>
          <w:rFonts w:ascii="Times New Roman" w:hAnsi="Times New Roman"/>
          <w:sz w:val="24"/>
          <w:szCs w:val="24"/>
        </w:rPr>
        <w:t xml:space="preserve"> caroços </w:t>
      </w:r>
      <w:r w:rsidR="00EE17FE">
        <w:rPr>
          <w:rFonts w:ascii="Times New Roman" w:hAnsi="Times New Roman"/>
          <w:sz w:val="24"/>
          <w:szCs w:val="24"/>
        </w:rPr>
        <w:t>d</w:t>
      </w:r>
      <w:r w:rsidR="000603A0">
        <w:rPr>
          <w:rFonts w:ascii="Times New Roman" w:hAnsi="Times New Roman"/>
          <w:sz w:val="24"/>
          <w:szCs w:val="24"/>
        </w:rPr>
        <w:t xml:space="preserve">e </w:t>
      </w:r>
      <w:r w:rsidR="00FC10E0">
        <w:rPr>
          <w:rFonts w:ascii="Times New Roman" w:hAnsi="Times New Roman"/>
          <w:sz w:val="24"/>
          <w:szCs w:val="24"/>
        </w:rPr>
        <w:t>azeitona.</w:t>
      </w:r>
      <w:r w:rsidR="00EE17FE">
        <w:rPr>
          <w:rFonts w:ascii="Times New Roman" w:hAnsi="Times New Roman"/>
          <w:sz w:val="24"/>
          <w:szCs w:val="24"/>
        </w:rPr>
        <w:t xml:space="preserve"> </w:t>
      </w:r>
      <w:r w:rsidR="00FC10E0">
        <w:rPr>
          <w:rFonts w:ascii="Times New Roman" w:hAnsi="Times New Roman"/>
          <w:sz w:val="24"/>
          <w:szCs w:val="24"/>
        </w:rPr>
        <w:t xml:space="preserve">Ao contrário do bagaço de azeitona húmido que apresenta um aspecto pastoso resultante do seu conteúdo em água, o </w:t>
      </w:r>
      <w:r w:rsidR="00742E5B">
        <w:rPr>
          <w:rFonts w:ascii="Times New Roman" w:hAnsi="Times New Roman"/>
          <w:sz w:val="24"/>
          <w:szCs w:val="24"/>
        </w:rPr>
        <w:t>BAE</w:t>
      </w:r>
      <w:r w:rsidR="00FC10E0">
        <w:rPr>
          <w:rFonts w:ascii="Times New Roman" w:hAnsi="Times New Roman"/>
          <w:sz w:val="24"/>
          <w:szCs w:val="24"/>
        </w:rPr>
        <w:t xml:space="preserve"> apresenta-se seco, </w:t>
      </w:r>
      <w:r w:rsidR="00EE17FE">
        <w:rPr>
          <w:rFonts w:ascii="Times New Roman" w:hAnsi="Times New Roman"/>
          <w:sz w:val="24"/>
          <w:szCs w:val="24"/>
        </w:rPr>
        <w:t xml:space="preserve">com </w:t>
      </w:r>
      <w:r w:rsidR="00E2313E">
        <w:rPr>
          <w:rFonts w:ascii="Times New Roman" w:hAnsi="Times New Roman"/>
          <w:sz w:val="24"/>
          <w:szCs w:val="24"/>
        </w:rPr>
        <w:lastRenderedPageBreak/>
        <w:t>pequena percentagem de humidade,</w:t>
      </w:r>
      <w:r w:rsidR="00EE17FE">
        <w:rPr>
          <w:rFonts w:ascii="Times New Roman" w:hAnsi="Times New Roman"/>
          <w:sz w:val="24"/>
          <w:szCs w:val="24"/>
        </w:rPr>
        <w:t xml:space="preserve"> cor castanha escura</w:t>
      </w:r>
      <w:r w:rsidR="00E2313E">
        <w:rPr>
          <w:rFonts w:ascii="Times New Roman" w:hAnsi="Times New Roman"/>
          <w:sz w:val="24"/>
          <w:szCs w:val="24"/>
        </w:rPr>
        <w:t xml:space="preserve"> e odor forte. </w:t>
      </w:r>
      <w:r w:rsidR="008A33B1">
        <w:rPr>
          <w:rFonts w:ascii="Times New Roman" w:hAnsi="Times New Roman"/>
          <w:sz w:val="24"/>
          <w:szCs w:val="24"/>
        </w:rPr>
        <w:t xml:space="preserve">Este subproduto é aproveitado </w:t>
      </w:r>
      <w:r w:rsidR="00ED7981">
        <w:rPr>
          <w:rFonts w:ascii="Times New Roman" w:hAnsi="Times New Roman"/>
          <w:sz w:val="24"/>
          <w:szCs w:val="24"/>
        </w:rPr>
        <w:t xml:space="preserve">pela indústria </w:t>
      </w:r>
      <w:r w:rsidR="008A33B1">
        <w:rPr>
          <w:rFonts w:ascii="Times New Roman" w:hAnsi="Times New Roman"/>
          <w:sz w:val="24"/>
          <w:szCs w:val="24"/>
        </w:rPr>
        <w:t xml:space="preserve">para </w:t>
      </w:r>
      <w:r w:rsidR="00F8248A">
        <w:rPr>
          <w:rFonts w:ascii="Times New Roman" w:hAnsi="Times New Roman"/>
          <w:sz w:val="24"/>
          <w:szCs w:val="24"/>
        </w:rPr>
        <w:t xml:space="preserve">obtenção de energia térmica ou eléctrica através da sua combustão. Este método é vulgarmente utilizado na indústria do azeite uma vez que o BAE contém um elevado poder calorífico (400 kcal/Kg) </w:t>
      </w:r>
      <w:r w:rsidR="00232AE0">
        <w:rPr>
          <w:rFonts w:ascii="Times New Roman" w:hAnsi="Times New Roman"/>
          <w:sz w:val="24"/>
          <w:szCs w:val="24"/>
        </w:rPr>
        <w:t>(</w:t>
      </w:r>
      <w:r w:rsidR="00DF0F68">
        <w:rPr>
          <w:rFonts w:ascii="Times New Roman" w:hAnsi="Times New Roman"/>
          <w:sz w:val="24"/>
          <w:szCs w:val="24"/>
        </w:rPr>
        <w:t xml:space="preserve">Sampedro </w:t>
      </w:r>
      <w:r w:rsidR="00DF0F68" w:rsidRPr="005B03A2">
        <w:rPr>
          <w:rFonts w:ascii="Times New Roman" w:hAnsi="Times New Roman"/>
          <w:i/>
          <w:sz w:val="24"/>
          <w:szCs w:val="24"/>
        </w:rPr>
        <w:t>et al</w:t>
      </w:r>
      <w:r w:rsidR="00DF0F68">
        <w:rPr>
          <w:rFonts w:ascii="Times New Roman" w:hAnsi="Times New Roman"/>
          <w:sz w:val="24"/>
          <w:szCs w:val="24"/>
        </w:rPr>
        <w:t xml:space="preserve">., 2004; </w:t>
      </w:r>
      <w:r w:rsidR="00232AE0">
        <w:rPr>
          <w:rFonts w:ascii="Times New Roman" w:hAnsi="Times New Roman"/>
          <w:sz w:val="24"/>
          <w:szCs w:val="24"/>
        </w:rPr>
        <w:t xml:space="preserve">Moral </w:t>
      </w:r>
      <w:r w:rsidR="00232AE0" w:rsidRPr="00232AE0">
        <w:rPr>
          <w:rFonts w:ascii="Times New Roman" w:hAnsi="Times New Roman"/>
          <w:i/>
          <w:sz w:val="24"/>
          <w:szCs w:val="24"/>
        </w:rPr>
        <w:t>et al</w:t>
      </w:r>
      <w:r w:rsidR="00232AE0">
        <w:rPr>
          <w:rFonts w:ascii="Times New Roman" w:hAnsi="Times New Roman"/>
          <w:sz w:val="24"/>
          <w:szCs w:val="24"/>
        </w:rPr>
        <w:t>., 2006</w:t>
      </w:r>
      <w:r w:rsidR="00F8248A">
        <w:rPr>
          <w:rFonts w:ascii="Times New Roman" w:hAnsi="Times New Roman"/>
          <w:sz w:val="24"/>
          <w:szCs w:val="24"/>
        </w:rPr>
        <w:t>;</w:t>
      </w:r>
      <w:r w:rsidR="00F8248A" w:rsidRPr="00F8248A">
        <w:rPr>
          <w:rFonts w:ascii="Times New Roman" w:hAnsi="Times New Roman"/>
          <w:sz w:val="24"/>
          <w:szCs w:val="24"/>
        </w:rPr>
        <w:t xml:space="preserve"> </w:t>
      </w:r>
      <w:r w:rsidR="00F8248A">
        <w:rPr>
          <w:rFonts w:ascii="Times New Roman" w:hAnsi="Times New Roman"/>
          <w:sz w:val="24"/>
          <w:szCs w:val="24"/>
        </w:rPr>
        <w:t xml:space="preserve">Roig </w:t>
      </w:r>
      <w:r w:rsidR="00F8248A" w:rsidRPr="005B03A2">
        <w:rPr>
          <w:rFonts w:ascii="Times New Roman" w:hAnsi="Times New Roman"/>
          <w:i/>
          <w:sz w:val="24"/>
          <w:szCs w:val="24"/>
        </w:rPr>
        <w:t>et al</w:t>
      </w:r>
      <w:r w:rsidR="00F8248A">
        <w:rPr>
          <w:rFonts w:ascii="Times New Roman" w:hAnsi="Times New Roman"/>
          <w:sz w:val="24"/>
          <w:szCs w:val="24"/>
        </w:rPr>
        <w:t>., 2006</w:t>
      </w:r>
      <w:r w:rsidR="00232AE0">
        <w:rPr>
          <w:rFonts w:ascii="Times New Roman" w:hAnsi="Times New Roman"/>
          <w:sz w:val="24"/>
          <w:szCs w:val="24"/>
        </w:rPr>
        <w:t>).</w:t>
      </w:r>
    </w:p>
    <w:p w:rsidR="00D321C0" w:rsidRPr="00D321C0" w:rsidRDefault="00D321C0" w:rsidP="00D321C0">
      <w:pPr>
        <w:jc w:val="both"/>
        <w:rPr>
          <w:rFonts w:ascii="Times New Roman" w:hAnsi="Times New Roman"/>
          <w:sz w:val="24"/>
          <w:szCs w:val="24"/>
        </w:rPr>
      </w:pPr>
      <w:r>
        <w:rPr>
          <w:rFonts w:ascii="Times New Roman" w:hAnsi="Times New Roman"/>
          <w:sz w:val="24"/>
          <w:szCs w:val="24"/>
        </w:rPr>
        <w:tab/>
        <w:t xml:space="preserve">A possibilidade de recuperação de compostos fenólicos com elevado potencial biológico, pela produção de extractos a partir de subprodutos da indústria do azeite como o bagaço de azeitona extractado, surge como uma oportunidade muito </w:t>
      </w:r>
      <w:r w:rsidR="00C15B44">
        <w:rPr>
          <w:rFonts w:ascii="Times New Roman" w:hAnsi="Times New Roman"/>
          <w:sz w:val="24"/>
          <w:szCs w:val="24"/>
        </w:rPr>
        <w:t>promissora com vantagens</w:t>
      </w:r>
      <w:r>
        <w:rPr>
          <w:rFonts w:ascii="Times New Roman" w:hAnsi="Times New Roman"/>
          <w:sz w:val="24"/>
          <w:szCs w:val="24"/>
        </w:rPr>
        <w:t xml:space="preserve"> para o ambiente, mas também para a indústria far</w:t>
      </w:r>
      <w:r w:rsidR="00661F4C">
        <w:rPr>
          <w:rFonts w:ascii="Times New Roman" w:hAnsi="Times New Roman"/>
          <w:sz w:val="24"/>
          <w:szCs w:val="24"/>
        </w:rPr>
        <w:t xml:space="preserve">macêutica e alimentar </w:t>
      </w:r>
      <w:r w:rsidRPr="00C85C7A">
        <w:rPr>
          <w:rFonts w:ascii="Times New Roman" w:hAnsi="Times New Roman"/>
          <w:sz w:val="24"/>
          <w:szCs w:val="24"/>
        </w:rPr>
        <w:t>(Rietjens, 2008)</w:t>
      </w:r>
      <w:r>
        <w:rPr>
          <w:rFonts w:ascii="Times New Roman" w:hAnsi="Times New Roman"/>
          <w:sz w:val="24"/>
          <w:szCs w:val="24"/>
        </w:rPr>
        <w:t xml:space="preserve">. </w:t>
      </w:r>
    </w:p>
    <w:p w:rsidR="001421FE" w:rsidRDefault="00D321C0" w:rsidP="00BF527E">
      <w:pPr>
        <w:jc w:val="both"/>
        <w:rPr>
          <w:rFonts w:ascii="Times New Roman" w:hAnsi="Times New Roman"/>
          <w:sz w:val="24"/>
          <w:szCs w:val="24"/>
        </w:rPr>
      </w:pPr>
      <w:r w:rsidRPr="00D321C0">
        <w:rPr>
          <w:rFonts w:ascii="Times New Roman" w:hAnsi="Times New Roman"/>
          <w:sz w:val="24"/>
          <w:szCs w:val="24"/>
        </w:rPr>
        <w:tab/>
      </w:r>
      <w:r w:rsidR="00FC4455">
        <w:rPr>
          <w:rFonts w:ascii="Times New Roman" w:hAnsi="Times New Roman"/>
          <w:sz w:val="24"/>
          <w:szCs w:val="24"/>
        </w:rPr>
        <w:t xml:space="preserve">Com base em resultados prévios do Grupo de Investigação de Compostos Bioactivos do Cebal: o bagaço de azeitona extractado apresenta um enorme potencial fitoterapêutico não só pela sua concentração apreciável em Hidroxitirosol, mas também pelas </w:t>
      </w:r>
      <w:r w:rsidR="00FC4455" w:rsidRPr="00FC4455">
        <w:rPr>
          <w:rFonts w:ascii="Times New Roman" w:hAnsi="Times New Roman"/>
          <w:sz w:val="24"/>
          <w:szCs w:val="24"/>
        </w:rPr>
        <w:t>actividades biológicas identificada</w:t>
      </w:r>
      <w:r w:rsidR="00FC4455">
        <w:rPr>
          <w:rFonts w:ascii="Times New Roman" w:hAnsi="Times New Roman"/>
          <w:sz w:val="24"/>
          <w:szCs w:val="24"/>
        </w:rPr>
        <w:t>s, nomeadamente capacidade anti</w:t>
      </w:r>
      <w:r w:rsidR="00FC4455" w:rsidRPr="00FC4455">
        <w:rPr>
          <w:rFonts w:ascii="Times New Roman" w:hAnsi="Times New Roman"/>
          <w:sz w:val="24"/>
          <w:szCs w:val="24"/>
        </w:rPr>
        <w:t>oxidante e anti-proliferativa em células humanas de cancro da mama</w:t>
      </w:r>
      <w:r w:rsidR="00FC4455">
        <w:rPr>
          <w:rFonts w:ascii="Times New Roman" w:hAnsi="Times New Roman"/>
          <w:sz w:val="24"/>
          <w:szCs w:val="24"/>
        </w:rPr>
        <w:t xml:space="preserve"> fenótipo triplo negativo MDA-MB-231</w:t>
      </w:r>
      <w:r w:rsidR="00713F12">
        <w:rPr>
          <w:rFonts w:ascii="Times New Roman" w:hAnsi="Times New Roman"/>
          <w:sz w:val="24"/>
          <w:szCs w:val="24"/>
        </w:rPr>
        <w:t xml:space="preserve"> (Ramos</w:t>
      </w:r>
      <w:r w:rsidR="00FC4455" w:rsidRPr="00FC4455">
        <w:rPr>
          <w:rFonts w:ascii="Times New Roman" w:hAnsi="Times New Roman"/>
          <w:sz w:val="24"/>
          <w:szCs w:val="24"/>
        </w:rPr>
        <w:t xml:space="preserve"> </w:t>
      </w:r>
      <w:r w:rsidR="00FC4455" w:rsidRPr="00FC4455">
        <w:rPr>
          <w:rFonts w:ascii="Times New Roman" w:hAnsi="Times New Roman"/>
          <w:i/>
          <w:iCs/>
          <w:sz w:val="24"/>
          <w:szCs w:val="24"/>
        </w:rPr>
        <w:t>et al</w:t>
      </w:r>
      <w:r w:rsidR="00FC4455">
        <w:rPr>
          <w:rFonts w:ascii="Times New Roman" w:hAnsi="Times New Roman"/>
          <w:i/>
          <w:iCs/>
          <w:sz w:val="24"/>
          <w:szCs w:val="24"/>
        </w:rPr>
        <w:t>.</w:t>
      </w:r>
      <w:r w:rsidR="00FC4455" w:rsidRPr="00FC4455">
        <w:rPr>
          <w:rFonts w:ascii="Times New Roman" w:hAnsi="Times New Roman"/>
          <w:sz w:val="24"/>
          <w:szCs w:val="24"/>
        </w:rPr>
        <w:t xml:space="preserve">, </w:t>
      </w:r>
      <w:r w:rsidR="00FC4455">
        <w:rPr>
          <w:rFonts w:ascii="Times New Roman" w:hAnsi="Times New Roman"/>
          <w:sz w:val="24"/>
          <w:szCs w:val="24"/>
        </w:rPr>
        <w:t>artigo submetido</w:t>
      </w:r>
      <w:r w:rsidR="00FC4455" w:rsidRPr="00FC4455">
        <w:rPr>
          <w:rFonts w:ascii="Times New Roman" w:hAnsi="Times New Roman"/>
          <w:sz w:val="24"/>
          <w:szCs w:val="24"/>
        </w:rPr>
        <w:t>).</w:t>
      </w:r>
    </w:p>
    <w:p w:rsidR="00C83FD1" w:rsidRPr="00C35489" w:rsidRDefault="00C83FD1" w:rsidP="00C83FD1">
      <w:pPr>
        <w:autoSpaceDE w:val="0"/>
        <w:autoSpaceDN w:val="0"/>
        <w:adjustRightInd w:val="0"/>
        <w:spacing w:after="0" w:line="240" w:lineRule="auto"/>
        <w:rPr>
          <w:rFonts w:ascii="Times-Roman" w:hAnsi="Times-Roman" w:cs="Times-Roman"/>
          <w:sz w:val="20"/>
          <w:szCs w:val="20"/>
          <w:lang w:eastAsia="pt-PT"/>
        </w:rPr>
      </w:pPr>
    </w:p>
    <w:p w:rsidR="00FD652B" w:rsidRPr="00FD652B" w:rsidRDefault="00FD652B" w:rsidP="00A33698">
      <w:pPr>
        <w:pStyle w:val="PargrafodaLista"/>
        <w:numPr>
          <w:ilvl w:val="0"/>
          <w:numId w:val="38"/>
        </w:numPr>
        <w:spacing w:after="0"/>
        <w:ind w:left="851" w:hanging="425"/>
        <w:jc w:val="both"/>
        <w:rPr>
          <w:rFonts w:ascii="Times New Roman" w:hAnsi="Times New Roman"/>
          <w:b/>
          <w:sz w:val="28"/>
          <w:szCs w:val="28"/>
        </w:rPr>
      </w:pPr>
      <w:r w:rsidRPr="00FD652B">
        <w:rPr>
          <w:rFonts w:ascii="Times New Roman" w:hAnsi="Times New Roman"/>
          <w:b/>
          <w:sz w:val="28"/>
          <w:szCs w:val="28"/>
        </w:rPr>
        <w:t>Tecnologias de Membranas</w:t>
      </w:r>
    </w:p>
    <w:p w:rsidR="00FD652B" w:rsidRPr="00465E64" w:rsidRDefault="00FD652B" w:rsidP="00FD652B">
      <w:pPr>
        <w:spacing w:after="0"/>
        <w:jc w:val="both"/>
        <w:rPr>
          <w:rFonts w:ascii="Times New Roman" w:hAnsi="Times New Roman"/>
          <w:sz w:val="24"/>
          <w:lang w:eastAsia="pt-PT"/>
        </w:rPr>
      </w:pPr>
    </w:p>
    <w:p w:rsidR="00FD652B" w:rsidRPr="00465E64" w:rsidRDefault="00FD652B" w:rsidP="00FD652B">
      <w:pPr>
        <w:ind w:firstLine="708"/>
        <w:jc w:val="both"/>
        <w:rPr>
          <w:rFonts w:ascii="Times New Roman" w:hAnsi="Times New Roman"/>
          <w:sz w:val="24"/>
          <w:lang w:eastAsia="pt-PT"/>
        </w:rPr>
      </w:pPr>
      <w:r>
        <w:rPr>
          <w:rFonts w:ascii="Times New Roman" w:hAnsi="Times New Roman"/>
          <w:sz w:val="24"/>
          <w:lang w:eastAsia="pt-PT"/>
        </w:rPr>
        <w:t xml:space="preserve">Nos últimos anos </w:t>
      </w:r>
      <w:r w:rsidRPr="00465E64">
        <w:rPr>
          <w:rFonts w:ascii="Times New Roman" w:hAnsi="Times New Roman"/>
          <w:sz w:val="24"/>
          <w:lang w:eastAsia="pt-PT"/>
        </w:rPr>
        <w:t>os estudos em torno dos compostos fenólicos com bioactividade p</w:t>
      </w:r>
      <w:r>
        <w:rPr>
          <w:rFonts w:ascii="Times New Roman" w:hAnsi="Times New Roman"/>
          <w:sz w:val="24"/>
          <w:lang w:eastAsia="pt-PT"/>
        </w:rPr>
        <w:t>resentes na</w:t>
      </w:r>
      <w:r w:rsidRPr="00465E64">
        <w:rPr>
          <w:rFonts w:ascii="Times New Roman" w:hAnsi="Times New Roman"/>
          <w:sz w:val="24"/>
          <w:lang w:eastAsia="pt-PT"/>
        </w:rPr>
        <w:t xml:space="preserve"> oliveira, conduziram os investigadores para o reconhecimento das suas propriedades biológicas, que se encontram também assoc</w:t>
      </w:r>
      <w:r>
        <w:rPr>
          <w:rFonts w:ascii="Times New Roman" w:hAnsi="Times New Roman"/>
          <w:sz w:val="24"/>
          <w:lang w:eastAsia="pt-PT"/>
        </w:rPr>
        <w:t xml:space="preserve">iadas aos benefícios </w:t>
      </w:r>
      <w:r w:rsidRPr="00465E64">
        <w:rPr>
          <w:rFonts w:ascii="Times New Roman" w:hAnsi="Times New Roman"/>
          <w:sz w:val="24"/>
          <w:lang w:eastAsia="pt-PT"/>
        </w:rPr>
        <w:t>do azeite para a saúde. Deste modo, os compostos bioactivos presentes na oliveira e no azeite foram reconhecidos como importantes apostas pelas indústrias alimentar e farmacêutica. No entanto, cerca de 98% destes compostos são perdidos durante o processo de extracção de azeite</w:t>
      </w:r>
      <w:r>
        <w:rPr>
          <w:rFonts w:ascii="Times New Roman" w:hAnsi="Times New Roman"/>
          <w:sz w:val="24"/>
          <w:lang w:eastAsia="pt-PT"/>
        </w:rPr>
        <w:t>,</w:t>
      </w:r>
      <w:r w:rsidRPr="00465E64">
        <w:rPr>
          <w:rFonts w:ascii="Times New Roman" w:hAnsi="Times New Roman"/>
          <w:sz w:val="24"/>
          <w:lang w:eastAsia="pt-PT"/>
        </w:rPr>
        <w:t xml:space="preserve"> ficando retidos nas águas russas, ou nos resíduos e subprodutos resultantes da produção de azeite</w:t>
      </w:r>
      <w:r>
        <w:rPr>
          <w:rFonts w:ascii="Times New Roman" w:hAnsi="Times New Roman"/>
          <w:sz w:val="24"/>
          <w:lang w:eastAsia="pt-PT"/>
        </w:rPr>
        <w:t xml:space="preserve"> (Nunes da Ponte </w:t>
      </w:r>
      <w:r w:rsidRPr="00317D0A">
        <w:rPr>
          <w:rFonts w:ascii="Times New Roman" w:hAnsi="Times New Roman"/>
          <w:i/>
          <w:sz w:val="24"/>
          <w:lang w:eastAsia="pt-PT"/>
        </w:rPr>
        <w:t>et al</w:t>
      </w:r>
      <w:r>
        <w:rPr>
          <w:rFonts w:ascii="Times New Roman" w:hAnsi="Times New Roman"/>
          <w:sz w:val="24"/>
          <w:lang w:eastAsia="pt-PT"/>
        </w:rPr>
        <w:t>., 2007)</w:t>
      </w:r>
      <w:r w:rsidRPr="00465E64">
        <w:rPr>
          <w:rFonts w:ascii="Times New Roman" w:hAnsi="Times New Roman"/>
          <w:sz w:val="24"/>
          <w:lang w:eastAsia="pt-PT"/>
        </w:rPr>
        <w:t xml:space="preserve">. </w:t>
      </w:r>
    </w:p>
    <w:p w:rsidR="00FD652B" w:rsidRDefault="00FD652B" w:rsidP="00FD652B">
      <w:pPr>
        <w:ind w:firstLine="708"/>
        <w:jc w:val="both"/>
        <w:rPr>
          <w:rFonts w:ascii="Times New Roman" w:hAnsi="Times New Roman"/>
          <w:sz w:val="24"/>
          <w:lang w:eastAsia="pt-PT"/>
        </w:rPr>
      </w:pPr>
      <w:r w:rsidRPr="00465E64">
        <w:rPr>
          <w:rFonts w:ascii="Times New Roman" w:hAnsi="Times New Roman"/>
          <w:sz w:val="24"/>
          <w:lang w:eastAsia="pt-PT"/>
        </w:rPr>
        <w:t xml:space="preserve">Muitos estudos apresentam diferentes métodos para a recuperação de compostos fenólicos a partir dos resíduos da extracção de azeite, nomeadamente: a execução de extracções pela utilização de solventes aquosos e/ou orgânicos por meio de colunas de adsorção para retenção </w:t>
      </w:r>
      <w:r>
        <w:rPr>
          <w:rFonts w:ascii="Times New Roman" w:hAnsi="Times New Roman"/>
          <w:sz w:val="24"/>
          <w:lang w:eastAsia="pt-PT"/>
        </w:rPr>
        <w:t>dos compostos de interesse;</w:t>
      </w:r>
      <w:r w:rsidRPr="00465E64">
        <w:rPr>
          <w:rFonts w:ascii="Times New Roman" w:hAnsi="Times New Roman"/>
          <w:sz w:val="24"/>
          <w:lang w:eastAsia="pt-PT"/>
        </w:rPr>
        <w:t xml:space="preserve"> a utilização de métodos cromatográficos para a recuperação de fenóis de interesse pelo uso de metanol ou água ou eluições de etanol </w:t>
      </w:r>
      <w:r>
        <w:rPr>
          <w:rFonts w:ascii="Times New Roman" w:hAnsi="Times New Roman"/>
          <w:sz w:val="24"/>
          <w:lang w:eastAsia="pt-PT"/>
        </w:rPr>
        <w:t>como solventes</w:t>
      </w:r>
      <w:r w:rsidRPr="00465E64">
        <w:rPr>
          <w:rFonts w:ascii="Times New Roman" w:hAnsi="Times New Roman"/>
          <w:sz w:val="24"/>
          <w:lang w:eastAsia="pt-PT"/>
        </w:rPr>
        <w:t xml:space="preserve"> de eluição; </w:t>
      </w:r>
      <w:r>
        <w:rPr>
          <w:rFonts w:ascii="Times New Roman" w:hAnsi="Times New Roman"/>
          <w:sz w:val="24"/>
          <w:lang w:eastAsia="pt-PT"/>
        </w:rPr>
        <w:t xml:space="preserve">e, </w:t>
      </w:r>
      <w:r w:rsidRPr="00465E64">
        <w:rPr>
          <w:rFonts w:ascii="Times New Roman" w:hAnsi="Times New Roman"/>
          <w:sz w:val="24"/>
          <w:lang w:eastAsia="pt-PT"/>
        </w:rPr>
        <w:t>a extracção de fenóis a partir de águas russas utilizando fluidos supercríticos como o dióxido de carbono e membranas porosas, em vez de colunas, em que em vez de ocorrer uma dispersão das fases, o líquido é colocado em fluxo contínuo através de membranas porosas de polipropileno num sistema pressurizado, enquanto que o dióxido de carbono circula contrariamente do lado oposto da membrana, dando-se a extracção pela diferença de concentração de gradiente e</w:t>
      </w:r>
      <w:r>
        <w:rPr>
          <w:rFonts w:ascii="Times New Roman" w:hAnsi="Times New Roman"/>
          <w:sz w:val="24"/>
          <w:lang w:eastAsia="pt-PT"/>
        </w:rPr>
        <w:t xml:space="preserve">ntre os dois lados da membrana (Nunes da Ponte </w:t>
      </w:r>
      <w:r w:rsidRPr="00317D0A">
        <w:rPr>
          <w:rFonts w:ascii="Times New Roman" w:hAnsi="Times New Roman"/>
          <w:i/>
          <w:sz w:val="24"/>
          <w:lang w:eastAsia="pt-PT"/>
        </w:rPr>
        <w:t>et al</w:t>
      </w:r>
      <w:r>
        <w:rPr>
          <w:rFonts w:ascii="Times New Roman" w:hAnsi="Times New Roman"/>
          <w:sz w:val="24"/>
          <w:lang w:eastAsia="pt-PT"/>
        </w:rPr>
        <w:t>., 2007).</w:t>
      </w:r>
    </w:p>
    <w:p w:rsidR="00FD652B" w:rsidRDefault="00FD652B" w:rsidP="00FD652B">
      <w:pPr>
        <w:ind w:firstLine="708"/>
        <w:jc w:val="both"/>
        <w:rPr>
          <w:rFonts w:ascii="Times New Roman" w:hAnsi="Times New Roman"/>
          <w:sz w:val="24"/>
          <w:lang w:eastAsia="pt-PT"/>
        </w:rPr>
      </w:pPr>
      <w:r>
        <w:rPr>
          <w:rFonts w:ascii="Times New Roman" w:hAnsi="Times New Roman"/>
          <w:sz w:val="24"/>
          <w:lang w:eastAsia="pt-PT"/>
        </w:rPr>
        <w:lastRenderedPageBreak/>
        <w:t xml:space="preserve">Os fluidos supercríticos são gases à temperatura ambiente e à pressão atmosférica, ou líquidos muito voláteis, que se tornam muito densos acima da sua temperatura e pressão críticas. As suas propriedades encontram-se entre as de um gás e um líquido, resultando numa capacidade crescente para dissolver compostos. A sua elevada densidade, próxima da densidade dos líquidos, e simultaneamente, elevada difusão e baixa viscosidade, permite-lhes a extracção de compostos mais rapidamente que com solventes líquidos convencionais (Nunes da Ponte </w:t>
      </w:r>
      <w:r w:rsidRPr="00317D0A">
        <w:rPr>
          <w:rFonts w:ascii="Times New Roman" w:hAnsi="Times New Roman"/>
          <w:i/>
          <w:sz w:val="24"/>
          <w:lang w:eastAsia="pt-PT"/>
        </w:rPr>
        <w:t>et al</w:t>
      </w:r>
      <w:r>
        <w:rPr>
          <w:rFonts w:ascii="Times New Roman" w:hAnsi="Times New Roman"/>
          <w:sz w:val="24"/>
          <w:lang w:eastAsia="pt-PT"/>
        </w:rPr>
        <w:t>., 2007).</w:t>
      </w:r>
    </w:p>
    <w:p w:rsidR="00FD652B" w:rsidRDefault="00FD652B" w:rsidP="00FD652B">
      <w:pPr>
        <w:ind w:firstLine="708"/>
        <w:jc w:val="both"/>
        <w:rPr>
          <w:rFonts w:ascii="Times New Roman" w:hAnsi="Times New Roman"/>
          <w:sz w:val="24"/>
          <w:lang w:eastAsia="pt-PT"/>
        </w:rPr>
      </w:pPr>
      <w:r>
        <w:rPr>
          <w:rFonts w:ascii="Times New Roman" w:hAnsi="Times New Roman"/>
          <w:sz w:val="24"/>
          <w:lang w:eastAsia="pt-PT"/>
        </w:rPr>
        <w:t>Em operações industriais, nomeadamente em processos químicos, cujo objectivo seja a obtenção de compostos pelo uso de sistemas de filtração, é necessário fazer a separação, concentração e purificação das diferentes espécies em diferentes correntes. Os sistemas de separação por membranas têm-se destacado neste campo, pois revelam-se processos vantajosos, particularmente pelo seu baixo consumo de energia, especificidade e facilidades de superação face aos seus sistemas precedentes. Os processos de membranas têm aplicação em diversos sectores da indústria química, alimentar e farmacêutica, e em áreas como a biotecnologia e a medicina, sendo estes processos muito úteis ac</w:t>
      </w:r>
      <w:r w:rsidR="00C62250">
        <w:rPr>
          <w:rFonts w:ascii="Times New Roman" w:hAnsi="Times New Roman"/>
          <w:sz w:val="24"/>
          <w:lang w:eastAsia="pt-PT"/>
        </w:rPr>
        <w:t>tualmente na recuperação de bio</w:t>
      </w:r>
      <w:r>
        <w:rPr>
          <w:rFonts w:ascii="Times New Roman" w:hAnsi="Times New Roman"/>
          <w:sz w:val="24"/>
          <w:lang w:eastAsia="pt-PT"/>
        </w:rPr>
        <w:t>produtos de valor acrescentado, e ainda no tratamento de águas industriais e de abastecimento (</w:t>
      </w:r>
      <w:r w:rsidRPr="00C62250">
        <w:rPr>
          <w:rFonts w:ascii="Times New Roman" w:hAnsi="Times New Roman"/>
          <w:sz w:val="24"/>
          <w:lang w:eastAsia="pt-PT"/>
        </w:rPr>
        <w:t>labvirtual.eq.uc.pt</w:t>
      </w:r>
      <w:r>
        <w:rPr>
          <w:rFonts w:ascii="Times New Roman" w:hAnsi="Times New Roman"/>
          <w:sz w:val="24"/>
          <w:lang w:eastAsia="pt-PT"/>
        </w:rPr>
        <w:t xml:space="preserve">). </w:t>
      </w:r>
    </w:p>
    <w:p w:rsidR="00FD652B" w:rsidRDefault="00FD652B" w:rsidP="00FD652B">
      <w:pPr>
        <w:ind w:firstLine="708"/>
        <w:jc w:val="both"/>
        <w:rPr>
          <w:rFonts w:ascii="Times New Roman" w:hAnsi="Times New Roman"/>
          <w:sz w:val="24"/>
          <w:lang w:eastAsia="pt-PT"/>
        </w:rPr>
      </w:pPr>
      <w:r>
        <w:rPr>
          <w:rFonts w:ascii="Times New Roman" w:hAnsi="Times New Roman"/>
          <w:sz w:val="24"/>
          <w:lang w:eastAsia="pt-PT"/>
        </w:rPr>
        <w:t xml:space="preserve">Nunes da Ponte, </w:t>
      </w:r>
      <w:r w:rsidRPr="00317D0A">
        <w:rPr>
          <w:rFonts w:ascii="Times New Roman" w:hAnsi="Times New Roman"/>
          <w:i/>
          <w:sz w:val="24"/>
          <w:lang w:eastAsia="pt-PT"/>
        </w:rPr>
        <w:t>et al</w:t>
      </w:r>
      <w:r>
        <w:rPr>
          <w:rFonts w:ascii="Times New Roman" w:hAnsi="Times New Roman"/>
          <w:sz w:val="24"/>
          <w:lang w:eastAsia="pt-PT"/>
        </w:rPr>
        <w:t>., 2007, através do uso das tecnologias limpas de membranas conseguiu a recuperação de um extracto natural, rico em hidroxitirosol e em demais compostos bioactivos com propriedades desejáveis, a partir de resíduos da indústria do azeite, assegurando neste processo a rejeição de compostos de tamanho molecular superior aos de interesse. Até então, não tinha sido possível a obtenção de um extracto bioactivo enriquecido pela utilização de tecnologias de membranas. Esta técnica permitiu através do fornecimento de um fluxo de alimentação constante, composto por uma solução de resíduos da indústria do azeite, a uma unidade de nanof</w:t>
      </w:r>
      <w:r w:rsidR="00B52ED5">
        <w:rPr>
          <w:rFonts w:ascii="Times New Roman" w:hAnsi="Times New Roman"/>
          <w:sz w:val="24"/>
          <w:lang w:eastAsia="pt-PT"/>
        </w:rPr>
        <w:t>iltração, a permeação do fenol H</w:t>
      </w:r>
      <w:r>
        <w:rPr>
          <w:rFonts w:ascii="Times New Roman" w:hAnsi="Times New Roman"/>
          <w:sz w:val="24"/>
          <w:lang w:eastAsia="pt-PT"/>
        </w:rPr>
        <w:t xml:space="preserve">idroxitirosol e dos restantes compostos bioactivos recuperados numa corrente de permeação. Fornecendo o extracto permeado obtido da nanofiltração como corrente de alimentação a uma unidade de osmose inversa, Nunes da Ponte, </w:t>
      </w:r>
      <w:r w:rsidRPr="00317D0A">
        <w:rPr>
          <w:rFonts w:ascii="Times New Roman" w:hAnsi="Times New Roman"/>
          <w:i/>
          <w:sz w:val="24"/>
          <w:lang w:eastAsia="pt-PT"/>
        </w:rPr>
        <w:t>et al</w:t>
      </w:r>
      <w:r>
        <w:rPr>
          <w:rFonts w:ascii="Times New Roman" w:hAnsi="Times New Roman"/>
          <w:sz w:val="24"/>
          <w:lang w:eastAsia="pt-PT"/>
        </w:rPr>
        <w:t xml:space="preserve">., 2007, conseguiu concentrar o extracto na corrente de retenção, eliminando/permeando o excesso de água na amostra. </w:t>
      </w:r>
    </w:p>
    <w:p w:rsidR="00FD652B" w:rsidRPr="00465E64" w:rsidRDefault="00FD652B" w:rsidP="00FD652B">
      <w:pPr>
        <w:spacing w:after="0"/>
        <w:jc w:val="both"/>
        <w:rPr>
          <w:rFonts w:ascii="Times New Roman" w:hAnsi="Times New Roman"/>
          <w:sz w:val="24"/>
          <w:lang w:eastAsia="pt-PT"/>
        </w:rPr>
      </w:pPr>
    </w:p>
    <w:p w:rsidR="00FD652B" w:rsidRPr="00465E64" w:rsidRDefault="00FD652B" w:rsidP="00FD652B">
      <w:pPr>
        <w:spacing w:after="0"/>
        <w:jc w:val="both"/>
        <w:rPr>
          <w:rFonts w:ascii="Times New Roman" w:hAnsi="Times New Roman"/>
          <w:sz w:val="24"/>
          <w:lang w:eastAsia="pt-PT"/>
        </w:rPr>
      </w:pPr>
    </w:p>
    <w:p w:rsidR="00FD652B" w:rsidRDefault="00FD652B" w:rsidP="00A33698">
      <w:pPr>
        <w:pStyle w:val="PargrafodaLista"/>
        <w:numPr>
          <w:ilvl w:val="1"/>
          <w:numId w:val="38"/>
        </w:numPr>
        <w:spacing w:after="0"/>
        <w:jc w:val="both"/>
        <w:rPr>
          <w:rFonts w:ascii="Times New Roman" w:hAnsi="Times New Roman"/>
          <w:b/>
          <w:sz w:val="28"/>
          <w:szCs w:val="28"/>
        </w:rPr>
      </w:pPr>
      <w:r>
        <w:rPr>
          <w:rFonts w:ascii="Times New Roman" w:hAnsi="Times New Roman"/>
          <w:b/>
          <w:sz w:val="28"/>
          <w:szCs w:val="28"/>
        </w:rPr>
        <w:t xml:space="preserve"> Nanofiltração e Osmose Inversa</w:t>
      </w:r>
    </w:p>
    <w:p w:rsidR="00FD652B" w:rsidRPr="0060643D" w:rsidRDefault="00FD652B" w:rsidP="00FD652B">
      <w:pPr>
        <w:pStyle w:val="PargrafodaLista"/>
        <w:spacing w:after="0"/>
        <w:ind w:left="735"/>
        <w:jc w:val="both"/>
        <w:rPr>
          <w:rFonts w:ascii="Times New Roman" w:hAnsi="Times New Roman"/>
          <w:b/>
          <w:sz w:val="28"/>
          <w:szCs w:val="28"/>
        </w:rPr>
      </w:pPr>
    </w:p>
    <w:p w:rsidR="00FD652B" w:rsidRDefault="00FD652B" w:rsidP="00FD652B">
      <w:pPr>
        <w:ind w:firstLine="708"/>
        <w:jc w:val="both"/>
        <w:rPr>
          <w:rFonts w:ascii="Times New Roman" w:hAnsi="Times New Roman"/>
          <w:sz w:val="24"/>
          <w:lang w:eastAsia="pt-PT"/>
        </w:rPr>
      </w:pPr>
      <w:r w:rsidRPr="000F20ED">
        <w:rPr>
          <w:rFonts w:ascii="Times New Roman" w:hAnsi="Times New Roman"/>
          <w:sz w:val="24"/>
          <w:lang w:eastAsia="pt-PT"/>
        </w:rPr>
        <w:t xml:space="preserve">As tecnologias limpas de nanofiltração e a osmose inversa abrangem o uso da extracção de fluidos </w:t>
      </w:r>
      <w:r>
        <w:rPr>
          <w:rFonts w:ascii="Times New Roman" w:hAnsi="Times New Roman"/>
          <w:sz w:val="24"/>
          <w:lang w:eastAsia="pt-PT"/>
        </w:rPr>
        <w:t>supercríticos</w:t>
      </w:r>
      <w:r w:rsidRPr="000F20ED">
        <w:rPr>
          <w:rFonts w:ascii="Times New Roman" w:hAnsi="Times New Roman"/>
          <w:sz w:val="24"/>
          <w:lang w:eastAsia="pt-PT"/>
        </w:rPr>
        <w:t xml:space="preserve">, podendo estas tecnologias ser utilizadas de modo individual ou em modo integrado. </w:t>
      </w:r>
      <w:r>
        <w:rPr>
          <w:rFonts w:ascii="Times New Roman" w:hAnsi="Times New Roman"/>
          <w:sz w:val="24"/>
          <w:lang w:eastAsia="pt-PT"/>
        </w:rPr>
        <w:t xml:space="preserve">Através da aplicação destas tecnologias de membranas é possível a recuperação de compostos bioactivos de interesse, a partir de resíduos e subprodutos do azeite, num extracto, cujas propriedades bioquímicas e potencial biológico são de grande interesse para as indústrias alimentar e farmacêutica (Nunes da Ponte </w:t>
      </w:r>
      <w:r w:rsidRPr="00317D0A">
        <w:rPr>
          <w:rFonts w:ascii="Times New Roman" w:hAnsi="Times New Roman"/>
          <w:i/>
          <w:sz w:val="24"/>
          <w:lang w:eastAsia="pt-PT"/>
        </w:rPr>
        <w:t>et al</w:t>
      </w:r>
      <w:r>
        <w:rPr>
          <w:rFonts w:ascii="Times New Roman" w:hAnsi="Times New Roman"/>
          <w:sz w:val="24"/>
          <w:lang w:eastAsia="pt-PT"/>
        </w:rPr>
        <w:t>., 2007).</w:t>
      </w:r>
    </w:p>
    <w:p w:rsidR="00FD652B" w:rsidRPr="008E2FC9" w:rsidRDefault="00FD652B" w:rsidP="00FD652B">
      <w:pPr>
        <w:ind w:firstLine="708"/>
        <w:jc w:val="both"/>
        <w:rPr>
          <w:rFonts w:ascii="Times New Roman" w:hAnsi="Times New Roman"/>
          <w:sz w:val="24"/>
          <w:lang w:eastAsia="pt-PT"/>
        </w:rPr>
      </w:pPr>
      <w:r>
        <w:rPr>
          <w:rFonts w:ascii="Times New Roman" w:hAnsi="Times New Roman"/>
          <w:sz w:val="24"/>
          <w:lang w:eastAsia="pt-PT"/>
        </w:rPr>
        <w:lastRenderedPageBreak/>
        <w:t xml:space="preserve">Os processos de separação por membranas são operados em modo de escoamento tangencial denominado de modelo de filtração </w:t>
      </w:r>
      <w:r w:rsidR="00B52ED5">
        <w:rPr>
          <w:rFonts w:ascii="Times New Roman" w:hAnsi="Times New Roman"/>
          <w:i/>
          <w:sz w:val="24"/>
          <w:lang w:eastAsia="pt-PT"/>
        </w:rPr>
        <w:t>cross-</w:t>
      </w:r>
      <w:r w:rsidRPr="00C06259">
        <w:rPr>
          <w:rFonts w:ascii="Times New Roman" w:hAnsi="Times New Roman"/>
          <w:i/>
          <w:sz w:val="24"/>
          <w:lang w:eastAsia="pt-PT"/>
        </w:rPr>
        <w:t>flow</w:t>
      </w:r>
      <w:r w:rsidR="009A0D79">
        <w:rPr>
          <w:rFonts w:ascii="Times New Roman" w:hAnsi="Times New Roman"/>
          <w:sz w:val="24"/>
          <w:lang w:eastAsia="pt-PT"/>
        </w:rPr>
        <w:t xml:space="preserve"> (Figura 7)</w:t>
      </w:r>
      <w:r>
        <w:rPr>
          <w:rFonts w:ascii="Times New Roman" w:hAnsi="Times New Roman"/>
          <w:sz w:val="24"/>
          <w:lang w:eastAsia="pt-PT"/>
        </w:rPr>
        <w:t xml:space="preserve">, onde a corrente de alimentação flui paralelamente à superfície da membrana enquanto que a solução de permeado flui perpendicularmente a esta (Figura 9). A força motriz do processo é a diferença de pressão efectiva entre a corrente de </w:t>
      </w:r>
      <w:r w:rsidR="00A014FC">
        <w:rPr>
          <w:rFonts w:ascii="Times New Roman" w:hAnsi="Times New Roman"/>
          <w:sz w:val="24"/>
          <w:lang w:eastAsia="pt-PT"/>
        </w:rPr>
        <w:t>retido</w:t>
      </w:r>
      <w:r>
        <w:rPr>
          <w:rFonts w:ascii="Times New Roman" w:hAnsi="Times New Roman"/>
          <w:sz w:val="24"/>
          <w:lang w:eastAsia="pt-PT"/>
        </w:rPr>
        <w:t xml:space="preserve"> e a corrente de permeado. Neste processo, verifica-se um decréscimo no fluxo de permeado ao longo do tempo, devido a uma série de acontecimentos que favorecem o entupimento/</w:t>
      </w:r>
      <w:r w:rsidRPr="009877AD">
        <w:rPr>
          <w:rFonts w:ascii="Times New Roman" w:hAnsi="Times New Roman"/>
          <w:i/>
          <w:sz w:val="24"/>
          <w:lang w:eastAsia="pt-PT"/>
        </w:rPr>
        <w:t>fouling</w:t>
      </w:r>
      <w:r>
        <w:rPr>
          <w:rFonts w:ascii="Times New Roman" w:hAnsi="Times New Roman"/>
          <w:sz w:val="24"/>
          <w:lang w:eastAsia="pt-PT"/>
        </w:rPr>
        <w:t xml:space="preserve"> da membrana porosa durante o processo de permeação. No processo de nanofiltração, a membrana selectiva permite a permeação de apenas alguns solutos de bioactividade desejável, cujo tamanho molecular compreende o diâmetro dos poros da membrana, ficando retidos os solutos que são rejeitados pela membrana, sendo estes novamente lançados na corrente de alimentação para nova permeação criando assim um fluxo constante.</w:t>
      </w:r>
      <w:r w:rsidRPr="007147F7">
        <w:rPr>
          <w:rFonts w:ascii="Times New Roman" w:hAnsi="Times New Roman"/>
          <w:sz w:val="24"/>
          <w:lang w:eastAsia="pt-PT"/>
        </w:rPr>
        <w:t xml:space="preserve"> </w:t>
      </w:r>
      <w:r>
        <w:rPr>
          <w:rFonts w:ascii="Times New Roman" w:hAnsi="Times New Roman"/>
          <w:sz w:val="24"/>
          <w:lang w:eastAsia="pt-PT"/>
        </w:rPr>
        <w:t xml:space="preserve">O fluxo de alimentação pode operar em modo contínuo, semi-contínuo ou em </w:t>
      </w:r>
      <w:r w:rsidRPr="008E2FC9">
        <w:rPr>
          <w:rFonts w:ascii="Times New Roman" w:hAnsi="Times New Roman"/>
          <w:i/>
          <w:sz w:val="24"/>
          <w:lang w:eastAsia="pt-PT"/>
        </w:rPr>
        <w:t>batch</w:t>
      </w:r>
      <w:r>
        <w:rPr>
          <w:rFonts w:ascii="Times New Roman" w:hAnsi="Times New Roman"/>
          <w:i/>
          <w:sz w:val="24"/>
          <w:lang w:eastAsia="pt-PT"/>
        </w:rPr>
        <w:t xml:space="preserve"> </w:t>
      </w:r>
      <w:r>
        <w:rPr>
          <w:rFonts w:ascii="Times New Roman" w:hAnsi="Times New Roman"/>
          <w:sz w:val="24"/>
          <w:lang w:eastAsia="pt-PT"/>
        </w:rPr>
        <w:t xml:space="preserve">(Nunes da Ponte, </w:t>
      </w:r>
      <w:r w:rsidRPr="00317D0A">
        <w:rPr>
          <w:rFonts w:ascii="Times New Roman" w:hAnsi="Times New Roman"/>
          <w:i/>
          <w:sz w:val="24"/>
          <w:lang w:eastAsia="pt-PT"/>
        </w:rPr>
        <w:t>et al</w:t>
      </w:r>
      <w:r>
        <w:rPr>
          <w:rFonts w:ascii="Times New Roman" w:hAnsi="Times New Roman"/>
          <w:sz w:val="24"/>
          <w:lang w:eastAsia="pt-PT"/>
        </w:rPr>
        <w:t>., 2007).</w:t>
      </w:r>
      <w:r w:rsidRPr="00ED1899">
        <w:rPr>
          <w:rFonts w:ascii="Times New Roman" w:hAnsi="Times New Roman"/>
          <w:sz w:val="24"/>
          <w:lang w:eastAsia="pt-PT"/>
        </w:rPr>
        <w:t xml:space="preserve"> </w:t>
      </w:r>
    </w:p>
    <w:p w:rsidR="00FD652B" w:rsidRPr="00ED1899" w:rsidRDefault="00FD652B" w:rsidP="00FD652B">
      <w:pPr>
        <w:ind w:firstLine="360"/>
        <w:jc w:val="center"/>
        <w:rPr>
          <w:rFonts w:ascii="Times New Roman" w:hAnsi="Times New Roman"/>
          <w:sz w:val="24"/>
          <w:lang w:eastAsia="pt-PT"/>
        </w:rPr>
      </w:pPr>
      <w:r w:rsidRPr="00D425A2">
        <w:rPr>
          <w:rFonts w:ascii="Times New Roman" w:hAnsi="Times New Roman"/>
          <w:noProof/>
          <w:sz w:val="24"/>
          <w:lang w:eastAsia="pt-PT"/>
        </w:rPr>
        <w:drawing>
          <wp:inline distT="0" distB="0" distL="0" distR="0">
            <wp:extent cx="1876508" cy="1749287"/>
            <wp:effectExtent l="57150" t="19050" r="123742" b="79513"/>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3831" t="41525" r="48342" b="31886"/>
                    <a:stretch>
                      <a:fillRect/>
                    </a:stretch>
                  </pic:blipFill>
                  <pic:spPr bwMode="auto">
                    <a:xfrm>
                      <a:off x="0" y="0"/>
                      <a:ext cx="1876508" cy="1749287"/>
                    </a:xfrm>
                    <a:prstGeom prst="rect">
                      <a:avLst/>
                    </a:prstGeom>
                    <a:noFill/>
                    <a:ln w="9525">
                      <a:solidFill>
                        <a:schemeClr val="tx1">
                          <a:lumMod val="65000"/>
                          <a:lumOff val="3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FD652B" w:rsidRPr="004D70B6" w:rsidRDefault="00FD652B" w:rsidP="00FD652B">
      <w:pPr>
        <w:pStyle w:val="Legenda"/>
        <w:jc w:val="center"/>
        <w:rPr>
          <w:rFonts w:ascii="Times New Roman" w:hAnsi="Times New Roman"/>
          <w:b w:val="0"/>
          <w:color w:val="auto"/>
          <w:sz w:val="28"/>
          <w:lang w:eastAsia="pt-PT"/>
        </w:rPr>
      </w:pPr>
      <w:r w:rsidRPr="004D70B6">
        <w:rPr>
          <w:rFonts w:ascii="Times New Roman" w:hAnsi="Times New Roman"/>
          <w:sz w:val="20"/>
        </w:rPr>
        <w:t xml:space="preserve">Figura </w:t>
      </w:r>
      <w:r w:rsidR="00EC7637">
        <w:rPr>
          <w:rFonts w:ascii="Times New Roman" w:hAnsi="Times New Roman"/>
          <w:sz w:val="20"/>
        </w:rPr>
        <w:t>7</w:t>
      </w:r>
      <w:r w:rsidRPr="004D70B6">
        <w:rPr>
          <w:rFonts w:ascii="Times New Roman" w:hAnsi="Times New Roman"/>
          <w:sz w:val="20"/>
        </w:rPr>
        <w:t xml:space="preserve"> – </w:t>
      </w:r>
      <w:r w:rsidRPr="004D70B6">
        <w:rPr>
          <w:rFonts w:ascii="Times New Roman" w:hAnsi="Times New Roman"/>
          <w:b w:val="0"/>
          <w:color w:val="auto"/>
          <w:sz w:val="20"/>
        </w:rPr>
        <w:t xml:space="preserve">Ilustração de um modelo de filtração </w:t>
      </w:r>
      <w:r w:rsidRPr="003513BA">
        <w:rPr>
          <w:rFonts w:ascii="Times New Roman" w:hAnsi="Times New Roman"/>
          <w:b w:val="0"/>
          <w:i/>
          <w:color w:val="auto"/>
          <w:sz w:val="20"/>
        </w:rPr>
        <w:t>cross-flow</w:t>
      </w:r>
      <w:r w:rsidRPr="004D70B6">
        <w:rPr>
          <w:rFonts w:ascii="Times New Roman" w:hAnsi="Times New Roman"/>
          <w:b w:val="0"/>
          <w:color w:val="auto"/>
          <w:sz w:val="20"/>
        </w:rPr>
        <w:t xml:space="preserve"> (adaptado de</w:t>
      </w:r>
      <w:r>
        <w:rPr>
          <w:rFonts w:ascii="Times New Roman" w:hAnsi="Times New Roman"/>
          <w:b w:val="0"/>
          <w:color w:val="auto"/>
          <w:sz w:val="20"/>
        </w:rPr>
        <w:t xml:space="preserve"> </w:t>
      </w:r>
      <w:r w:rsidRPr="008766E0">
        <w:rPr>
          <w:rFonts w:ascii="Times New Roman" w:hAnsi="Times New Roman"/>
          <w:b w:val="0"/>
          <w:color w:val="auto"/>
          <w:sz w:val="20"/>
        </w:rPr>
        <w:t>labvirtual.eq.uc.pt</w:t>
      </w:r>
      <w:r w:rsidRPr="004D70B6">
        <w:rPr>
          <w:rFonts w:ascii="Times New Roman" w:hAnsi="Times New Roman"/>
          <w:b w:val="0"/>
          <w:color w:val="auto"/>
          <w:sz w:val="20"/>
        </w:rPr>
        <w:t>)</w:t>
      </w:r>
      <w:r>
        <w:rPr>
          <w:rFonts w:ascii="Times New Roman" w:hAnsi="Times New Roman"/>
          <w:b w:val="0"/>
          <w:color w:val="auto"/>
          <w:sz w:val="20"/>
        </w:rPr>
        <w:t>.</w:t>
      </w:r>
    </w:p>
    <w:p w:rsidR="00FD652B" w:rsidRDefault="00FD652B" w:rsidP="00FD652B">
      <w:pPr>
        <w:ind w:firstLine="708"/>
        <w:jc w:val="both"/>
        <w:rPr>
          <w:rFonts w:ascii="Times New Roman" w:hAnsi="Times New Roman"/>
          <w:sz w:val="24"/>
          <w:lang w:eastAsia="pt-PT"/>
        </w:rPr>
      </w:pPr>
      <w:r>
        <w:rPr>
          <w:rFonts w:ascii="Times New Roman" w:hAnsi="Times New Roman"/>
          <w:sz w:val="24"/>
          <w:lang w:eastAsia="pt-PT"/>
        </w:rPr>
        <w:t xml:space="preserve">Para o sucesso do fraccionamento selectivo de compostos bioactivos de interesse, tais como o Hidroxitirosol e demais compostos com tamanho molecular semelhante ou inferior presentes numa solução de alimentação, é essencial que o tamanho molecular de </w:t>
      </w:r>
      <w:r w:rsidRPr="007147F7">
        <w:rPr>
          <w:rFonts w:ascii="Times New Roman" w:hAnsi="Times New Roman"/>
          <w:i/>
          <w:sz w:val="24"/>
          <w:lang w:eastAsia="pt-PT"/>
        </w:rPr>
        <w:t>cut-off</w:t>
      </w:r>
      <w:r>
        <w:rPr>
          <w:rFonts w:ascii="Times New Roman" w:hAnsi="Times New Roman"/>
          <w:i/>
          <w:sz w:val="24"/>
          <w:lang w:eastAsia="pt-PT"/>
        </w:rPr>
        <w:t xml:space="preserve"> </w:t>
      </w:r>
      <w:r>
        <w:rPr>
          <w:rFonts w:ascii="Times New Roman" w:hAnsi="Times New Roman"/>
          <w:sz w:val="24"/>
          <w:lang w:eastAsia="pt-PT"/>
        </w:rPr>
        <w:t xml:space="preserve">(MWCO – </w:t>
      </w:r>
      <w:r w:rsidRPr="007147F7">
        <w:rPr>
          <w:rFonts w:ascii="Times New Roman" w:hAnsi="Times New Roman"/>
          <w:i/>
          <w:sz w:val="24"/>
          <w:lang w:eastAsia="pt-PT"/>
        </w:rPr>
        <w:t>molecular weight cut off</w:t>
      </w:r>
      <w:r>
        <w:rPr>
          <w:rFonts w:ascii="Times New Roman" w:hAnsi="Times New Roman"/>
          <w:sz w:val="24"/>
          <w:lang w:eastAsia="pt-PT"/>
        </w:rPr>
        <w:t xml:space="preserve">), seja inferior a 1000Da, e preferencialmente abaixo dos 300Da. Ou seja, que o processo garanta que 90% do soluto com peso molecular inferior ao </w:t>
      </w:r>
      <w:r w:rsidRPr="00073120">
        <w:rPr>
          <w:rFonts w:ascii="Times New Roman" w:hAnsi="Times New Roman"/>
          <w:i/>
          <w:sz w:val="24"/>
          <w:lang w:eastAsia="pt-PT"/>
        </w:rPr>
        <w:t>cut-off</w:t>
      </w:r>
      <w:r>
        <w:rPr>
          <w:rFonts w:ascii="Times New Roman" w:hAnsi="Times New Roman"/>
          <w:sz w:val="24"/>
          <w:lang w:eastAsia="pt-PT"/>
        </w:rPr>
        <w:t xml:space="preserve"> passe na membrana do sistema de nanofiltração. O valor de MWCO das membranas de nanofiltração é calculado determinando a rejeição de solutos de referência, tais como glucose e sacarose, em soluções aquosas (Nunes da Ponte, </w:t>
      </w:r>
      <w:r w:rsidRPr="00317D0A">
        <w:rPr>
          <w:rFonts w:ascii="Times New Roman" w:hAnsi="Times New Roman"/>
          <w:i/>
          <w:sz w:val="24"/>
          <w:lang w:eastAsia="pt-PT"/>
        </w:rPr>
        <w:t>et al</w:t>
      </w:r>
      <w:r>
        <w:rPr>
          <w:rFonts w:ascii="Times New Roman" w:hAnsi="Times New Roman"/>
          <w:sz w:val="24"/>
          <w:lang w:eastAsia="pt-PT"/>
        </w:rPr>
        <w:t>., 2007).</w:t>
      </w:r>
    </w:p>
    <w:p w:rsidR="00FD652B" w:rsidRPr="008E2FC9" w:rsidRDefault="00FD652B" w:rsidP="00FD652B">
      <w:pPr>
        <w:ind w:firstLine="708"/>
        <w:jc w:val="both"/>
        <w:rPr>
          <w:rFonts w:ascii="Times New Roman" w:hAnsi="Times New Roman"/>
          <w:sz w:val="24"/>
          <w:lang w:eastAsia="pt-PT"/>
        </w:rPr>
      </w:pPr>
      <w:r>
        <w:rPr>
          <w:rFonts w:ascii="Times New Roman" w:hAnsi="Times New Roman"/>
          <w:sz w:val="24"/>
          <w:lang w:eastAsia="pt-PT"/>
        </w:rPr>
        <w:t>O processo de osmose inversa permite separar o soluto de baixa massa molecular resultante do processo de nanofiltração, do solvente aquoso, a água, através de uma membrana permeável ao solvente e impermeável ao soluto, aplicando uma pressão sobre o meio aquoso. Deste modo, é possível concentrar soluções/extractos contendo compostos fraccionados de acordo com a sua bioactividade de interesse, pela eliminação do seu excesso de água resultante da nanofiltração.</w:t>
      </w:r>
    </w:p>
    <w:p w:rsidR="00FD652B" w:rsidRDefault="00FD652B" w:rsidP="00FD652B">
      <w:pPr>
        <w:ind w:firstLine="708"/>
        <w:jc w:val="both"/>
        <w:rPr>
          <w:rFonts w:ascii="Times New Roman" w:hAnsi="Times New Roman"/>
          <w:sz w:val="24"/>
          <w:lang w:eastAsia="pt-PT"/>
        </w:rPr>
      </w:pPr>
      <w:r>
        <w:rPr>
          <w:rFonts w:ascii="Times New Roman" w:hAnsi="Times New Roman"/>
          <w:sz w:val="24"/>
          <w:lang w:eastAsia="pt-PT"/>
        </w:rPr>
        <w:lastRenderedPageBreak/>
        <w:t xml:space="preserve">As membranas utilizadas podem ser poliméricas ou inorgânicas, podendo também incorporar materiais poliméricos e inorgânicos, e a sua geometria pode apresentar-se na forma tubular ou plana. A sua estrutura pode ser homogénea ou um compósito, podendo também ser constituídas por várias camadas compostas por diferentes materiais e/ou com diferentes características morfológicas, possuindo cada camada uma espessura diferente. Quanto à sua natureza química, as membranas podem apresentar um carácter hidrofóbico, sendo mais permeáveis a espécies químicas hidrofóbicas, ou um carácter hidrofílico, sendo mais permeáveis à água que a compostos orgânicos (Nunes da Ponte </w:t>
      </w:r>
      <w:r w:rsidRPr="00317D0A">
        <w:rPr>
          <w:rFonts w:ascii="Times New Roman" w:hAnsi="Times New Roman"/>
          <w:i/>
          <w:sz w:val="24"/>
          <w:lang w:eastAsia="pt-PT"/>
        </w:rPr>
        <w:t>et al</w:t>
      </w:r>
      <w:r>
        <w:rPr>
          <w:rFonts w:ascii="Times New Roman" w:hAnsi="Times New Roman"/>
          <w:sz w:val="24"/>
          <w:lang w:eastAsia="pt-PT"/>
        </w:rPr>
        <w:t xml:space="preserve">., 2007). </w:t>
      </w:r>
    </w:p>
    <w:p w:rsidR="00FD652B" w:rsidRPr="00D425A2" w:rsidRDefault="00FD652B" w:rsidP="00FD652B">
      <w:pPr>
        <w:ind w:firstLine="708"/>
        <w:jc w:val="both"/>
        <w:rPr>
          <w:rFonts w:ascii="Times New Roman" w:hAnsi="Times New Roman"/>
          <w:sz w:val="24"/>
          <w:lang w:eastAsia="pt-PT"/>
        </w:rPr>
      </w:pPr>
      <w:r>
        <w:rPr>
          <w:rFonts w:ascii="Times New Roman" w:hAnsi="Times New Roman"/>
          <w:sz w:val="24"/>
          <w:lang w:eastAsia="pt-PT"/>
        </w:rPr>
        <w:t xml:space="preserve">A aplicação dos processos de membranas acima descritos permitiu a </w:t>
      </w:r>
      <w:r w:rsidRPr="00BB7C19">
        <w:rPr>
          <w:rFonts w:ascii="Times New Roman" w:hAnsi="Times New Roman"/>
          <w:sz w:val="24"/>
          <w:lang w:eastAsia="pt-PT"/>
        </w:rPr>
        <w:t>obtenção de um extracto natural, concentrado e com valor bioactivo enriquecido, a partir do subproduto da indústria do azeite</w:t>
      </w:r>
      <w:r>
        <w:rPr>
          <w:rFonts w:ascii="Times New Roman" w:hAnsi="Times New Roman"/>
          <w:sz w:val="24"/>
          <w:lang w:eastAsia="pt-PT"/>
        </w:rPr>
        <w:t>,</w:t>
      </w:r>
      <w:r w:rsidRPr="00BB7C19">
        <w:rPr>
          <w:rFonts w:ascii="Times New Roman" w:hAnsi="Times New Roman"/>
          <w:sz w:val="24"/>
          <w:lang w:eastAsia="pt-PT"/>
        </w:rPr>
        <w:t xml:space="preserve"> o bagaço de azeitona extractado. O extracto concentrado resultante exibe actividades biológicas que se apresentam superiores aos restantes extractos não sujeitos a permeação. </w:t>
      </w:r>
    </w:p>
    <w:p w:rsidR="0032424C" w:rsidRPr="00C35489" w:rsidRDefault="0032424C" w:rsidP="0032424C">
      <w:pPr>
        <w:autoSpaceDE w:val="0"/>
        <w:autoSpaceDN w:val="0"/>
        <w:adjustRightInd w:val="0"/>
        <w:spacing w:after="0" w:line="240" w:lineRule="auto"/>
        <w:rPr>
          <w:rFonts w:ascii="Times-Roman" w:hAnsi="Times-Roman" w:cs="Times-Roman"/>
          <w:sz w:val="18"/>
          <w:szCs w:val="18"/>
          <w:lang w:eastAsia="pt-PT"/>
        </w:rPr>
      </w:pPr>
    </w:p>
    <w:p w:rsidR="0032424C" w:rsidRPr="00C35489" w:rsidRDefault="0032424C" w:rsidP="0032424C">
      <w:pPr>
        <w:autoSpaceDE w:val="0"/>
        <w:autoSpaceDN w:val="0"/>
        <w:adjustRightInd w:val="0"/>
        <w:spacing w:after="0" w:line="240" w:lineRule="auto"/>
        <w:rPr>
          <w:rFonts w:ascii="AdvP641C" w:hAnsi="AdvP641C" w:cs="AdvP641C"/>
          <w:sz w:val="24"/>
          <w:szCs w:val="20"/>
          <w:lang w:eastAsia="pt-PT"/>
        </w:rPr>
      </w:pPr>
    </w:p>
    <w:p w:rsidR="0060643D" w:rsidRDefault="0060643D" w:rsidP="00A33698">
      <w:pPr>
        <w:pStyle w:val="PargrafodaLista"/>
        <w:numPr>
          <w:ilvl w:val="0"/>
          <w:numId w:val="38"/>
        </w:numPr>
        <w:spacing w:after="0"/>
        <w:ind w:left="993" w:hanging="708"/>
        <w:jc w:val="both"/>
        <w:rPr>
          <w:rFonts w:ascii="Times New Roman" w:hAnsi="Times New Roman"/>
          <w:b/>
          <w:sz w:val="28"/>
          <w:szCs w:val="28"/>
        </w:rPr>
      </w:pPr>
      <w:r>
        <w:rPr>
          <w:rFonts w:ascii="Times New Roman" w:hAnsi="Times New Roman"/>
          <w:b/>
          <w:sz w:val="28"/>
          <w:szCs w:val="28"/>
        </w:rPr>
        <w:t>Actividade Antioxidante</w:t>
      </w:r>
    </w:p>
    <w:p w:rsidR="0060643D" w:rsidRDefault="0060643D" w:rsidP="0060643D">
      <w:pPr>
        <w:spacing w:after="0"/>
        <w:jc w:val="both"/>
        <w:rPr>
          <w:rFonts w:ascii="Times New Roman" w:hAnsi="Times New Roman"/>
          <w:b/>
          <w:sz w:val="28"/>
          <w:szCs w:val="28"/>
        </w:rPr>
      </w:pPr>
    </w:p>
    <w:p w:rsidR="0054246C" w:rsidRDefault="0060643D" w:rsidP="0054246C">
      <w:pPr>
        <w:autoSpaceDE w:val="0"/>
        <w:autoSpaceDN w:val="0"/>
        <w:adjustRightInd w:val="0"/>
        <w:jc w:val="both"/>
        <w:rPr>
          <w:rFonts w:ascii="Times New Roman" w:hAnsi="Times New Roman"/>
          <w:sz w:val="18"/>
          <w:szCs w:val="24"/>
        </w:rPr>
      </w:pPr>
      <w:r>
        <w:rPr>
          <w:rFonts w:ascii="Times New Roman" w:hAnsi="Times New Roman"/>
          <w:sz w:val="24"/>
          <w:szCs w:val="24"/>
        </w:rPr>
        <w:tab/>
      </w:r>
      <w:r w:rsidRPr="005B4DDA">
        <w:rPr>
          <w:rFonts w:ascii="Times New Roman" w:hAnsi="Times New Roman"/>
          <w:sz w:val="24"/>
          <w:szCs w:val="24"/>
        </w:rPr>
        <w:t>Durante as últimas décadas tem-se verificado um interesse crescente sobre os compostos antioxidantes e seus benefícios para a saúde, e consequentemente o mercado de produtos e suplementos que contêm antioxidantes na sua composição também disparou</w:t>
      </w:r>
      <w:r w:rsidR="005B4DDA" w:rsidRPr="005B4DDA">
        <w:rPr>
          <w:rFonts w:ascii="Times New Roman" w:hAnsi="Times New Roman"/>
          <w:sz w:val="24"/>
          <w:szCs w:val="24"/>
        </w:rPr>
        <w:t xml:space="preserve"> (Rietjens, 2008)</w:t>
      </w:r>
      <w:r w:rsidRPr="005B4DDA">
        <w:rPr>
          <w:rFonts w:ascii="Times New Roman" w:hAnsi="Times New Roman"/>
          <w:sz w:val="24"/>
          <w:szCs w:val="24"/>
        </w:rPr>
        <w:t xml:space="preserve">. </w:t>
      </w:r>
      <w:r w:rsidR="005B4DDA" w:rsidRPr="005B4DDA">
        <w:rPr>
          <w:rFonts w:ascii="Times New Roman" w:hAnsi="Times New Roman"/>
          <w:sz w:val="24"/>
          <w:szCs w:val="24"/>
          <w:lang w:eastAsia="pt-PT"/>
        </w:rPr>
        <w:t>O consumo de alimentos ricos em antioxidantes pode conferir protecção auxiliar contra o stress oxidativo, além de fornecer co-fact</w:t>
      </w:r>
      <w:r w:rsidR="00A620C3">
        <w:rPr>
          <w:rFonts w:ascii="Times New Roman" w:hAnsi="Times New Roman"/>
          <w:sz w:val="24"/>
          <w:szCs w:val="24"/>
          <w:lang w:eastAsia="pt-PT"/>
        </w:rPr>
        <w:t>ores para enzimas antioxidantes endógeno</w:t>
      </w:r>
      <w:r w:rsidR="00A620C3" w:rsidRPr="005B4DDA">
        <w:rPr>
          <w:rFonts w:ascii="Times New Roman" w:hAnsi="Times New Roman"/>
          <w:sz w:val="24"/>
          <w:szCs w:val="24"/>
          <w:lang w:eastAsia="pt-PT"/>
        </w:rPr>
        <w:t>s</w:t>
      </w:r>
      <w:r w:rsidR="005B4DDA" w:rsidRPr="005B4DDA">
        <w:rPr>
          <w:rFonts w:ascii="Times New Roman" w:hAnsi="Times New Roman"/>
          <w:sz w:val="24"/>
          <w:szCs w:val="24"/>
          <w:lang w:eastAsia="pt-PT"/>
        </w:rPr>
        <w:t>.</w:t>
      </w:r>
      <w:r w:rsidR="00A620C3" w:rsidRPr="00A620C3">
        <w:rPr>
          <w:rFonts w:ascii="Times-Roman" w:hAnsi="Times-Roman" w:cs="Times-Roman"/>
          <w:sz w:val="20"/>
          <w:szCs w:val="18"/>
          <w:lang w:eastAsia="pt-PT"/>
        </w:rPr>
        <w:t xml:space="preserve"> </w:t>
      </w:r>
      <w:r w:rsidR="00A620C3" w:rsidRPr="00A620C3">
        <w:rPr>
          <w:rFonts w:ascii="Times New Roman" w:hAnsi="Times New Roman"/>
          <w:sz w:val="24"/>
          <w:szCs w:val="24"/>
        </w:rPr>
        <w:t>Entre os compostos</w:t>
      </w:r>
      <w:r w:rsidR="00A620C3">
        <w:rPr>
          <w:rFonts w:ascii="Times New Roman" w:hAnsi="Times New Roman"/>
          <w:sz w:val="24"/>
          <w:szCs w:val="24"/>
        </w:rPr>
        <w:t xml:space="preserve"> </w:t>
      </w:r>
      <w:r w:rsidR="00A620C3" w:rsidRPr="00A620C3">
        <w:rPr>
          <w:rFonts w:ascii="Times New Roman" w:hAnsi="Times New Roman"/>
          <w:sz w:val="24"/>
          <w:szCs w:val="24"/>
        </w:rPr>
        <w:t>vegetais com a</w:t>
      </w:r>
      <w:r w:rsidR="00A620C3">
        <w:rPr>
          <w:rFonts w:ascii="Times New Roman" w:hAnsi="Times New Roman"/>
          <w:sz w:val="24"/>
          <w:szCs w:val="24"/>
        </w:rPr>
        <w:t>c</w:t>
      </w:r>
      <w:r w:rsidR="00A620C3" w:rsidRPr="00A620C3">
        <w:rPr>
          <w:rFonts w:ascii="Times New Roman" w:hAnsi="Times New Roman"/>
          <w:sz w:val="24"/>
          <w:szCs w:val="24"/>
        </w:rPr>
        <w:t xml:space="preserve">tividade antioxidante, destacam-se os </w:t>
      </w:r>
      <w:r w:rsidR="00A620C3">
        <w:rPr>
          <w:rFonts w:ascii="Times New Roman" w:hAnsi="Times New Roman"/>
          <w:sz w:val="24"/>
          <w:szCs w:val="24"/>
        </w:rPr>
        <w:t>compostos fenólicos, cuja</w:t>
      </w:r>
      <w:r w:rsidR="00A620C3" w:rsidRPr="00A620C3">
        <w:rPr>
          <w:rFonts w:ascii="Times New Roman" w:hAnsi="Times New Roman"/>
          <w:sz w:val="24"/>
          <w:szCs w:val="24"/>
        </w:rPr>
        <w:t xml:space="preserve"> principal classe é representada </w:t>
      </w:r>
      <w:r w:rsidR="00A620C3">
        <w:rPr>
          <w:rFonts w:ascii="Times New Roman" w:hAnsi="Times New Roman"/>
          <w:sz w:val="24"/>
          <w:szCs w:val="24"/>
        </w:rPr>
        <w:t>pelos</w:t>
      </w:r>
      <w:r w:rsidR="00A620C3" w:rsidRPr="00A620C3">
        <w:rPr>
          <w:rFonts w:ascii="Times New Roman" w:hAnsi="Times New Roman"/>
          <w:sz w:val="24"/>
          <w:szCs w:val="24"/>
        </w:rPr>
        <w:t xml:space="preserve"> ácidos</w:t>
      </w:r>
      <w:r w:rsidR="00A620C3">
        <w:rPr>
          <w:rFonts w:ascii="Times New Roman" w:hAnsi="Times New Roman"/>
          <w:sz w:val="24"/>
          <w:szCs w:val="24"/>
        </w:rPr>
        <w:t xml:space="preserve"> </w:t>
      </w:r>
      <w:r w:rsidR="00A620C3" w:rsidRPr="00A620C3">
        <w:rPr>
          <w:rFonts w:ascii="Times New Roman" w:hAnsi="Times New Roman"/>
          <w:sz w:val="24"/>
          <w:szCs w:val="24"/>
        </w:rPr>
        <w:t>hidroxicinâmicos, encont</w:t>
      </w:r>
      <w:r w:rsidR="00A620C3">
        <w:rPr>
          <w:rFonts w:ascii="Times New Roman" w:hAnsi="Times New Roman"/>
          <w:sz w:val="24"/>
          <w:szCs w:val="24"/>
        </w:rPr>
        <w:t>rados em quase todas as plantas</w:t>
      </w:r>
      <w:r w:rsidR="00A620C3" w:rsidRPr="00A620C3">
        <w:rPr>
          <w:rFonts w:ascii="Times New Roman" w:hAnsi="Times New Roman"/>
          <w:sz w:val="24"/>
          <w:szCs w:val="24"/>
        </w:rPr>
        <w:t xml:space="preserve"> sendo o</w:t>
      </w:r>
      <w:r w:rsidR="00A620C3">
        <w:rPr>
          <w:rFonts w:ascii="Times New Roman" w:hAnsi="Times New Roman"/>
          <w:sz w:val="24"/>
          <w:szCs w:val="24"/>
        </w:rPr>
        <w:t xml:space="preserve"> </w:t>
      </w:r>
      <w:r w:rsidR="00A620C3" w:rsidRPr="00A620C3">
        <w:rPr>
          <w:rFonts w:ascii="Times New Roman" w:hAnsi="Times New Roman"/>
          <w:sz w:val="24"/>
          <w:szCs w:val="24"/>
        </w:rPr>
        <w:t xml:space="preserve">principal representante o ácido caféico, </w:t>
      </w:r>
      <w:r w:rsidR="00A620C3">
        <w:rPr>
          <w:rFonts w:ascii="Times New Roman" w:hAnsi="Times New Roman"/>
          <w:sz w:val="24"/>
          <w:szCs w:val="24"/>
        </w:rPr>
        <w:t xml:space="preserve">que ocorre em muitos alimentos. </w:t>
      </w:r>
      <w:r w:rsidR="00A620C3" w:rsidRPr="00A620C3">
        <w:rPr>
          <w:rFonts w:ascii="Times New Roman" w:hAnsi="Times New Roman"/>
          <w:sz w:val="24"/>
          <w:szCs w:val="24"/>
          <w:lang w:eastAsia="pt-PT"/>
        </w:rPr>
        <w:t>Além destes compostos destacam-se ainda os</w:t>
      </w:r>
      <w:r w:rsidR="00A620C3">
        <w:rPr>
          <w:rFonts w:ascii="Times New Roman" w:hAnsi="Times New Roman"/>
          <w:sz w:val="24"/>
          <w:szCs w:val="24"/>
          <w:lang w:eastAsia="pt-PT"/>
        </w:rPr>
        <w:t xml:space="preserve"> </w:t>
      </w:r>
      <w:r w:rsidR="00A620C3" w:rsidRPr="00A620C3">
        <w:rPr>
          <w:rFonts w:ascii="Times New Roman" w:hAnsi="Times New Roman"/>
          <w:sz w:val="24"/>
          <w:szCs w:val="24"/>
          <w:lang w:eastAsia="pt-PT"/>
        </w:rPr>
        <w:t>tocoferó</w:t>
      </w:r>
      <w:r w:rsidR="00A620C3">
        <w:rPr>
          <w:rFonts w:ascii="Times New Roman" w:hAnsi="Times New Roman"/>
          <w:sz w:val="24"/>
          <w:szCs w:val="24"/>
          <w:lang w:eastAsia="pt-PT"/>
        </w:rPr>
        <w:t xml:space="preserve">is, os tocotrienóis, os carotenóides, o </w:t>
      </w:r>
      <w:r w:rsidR="00A620C3" w:rsidRPr="00A620C3">
        <w:rPr>
          <w:rFonts w:ascii="Times New Roman" w:hAnsi="Times New Roman"/>
          <w:sz w:val="24"/>
          <w:szCs w:val="24"/>
          <w:lang w:eastAsia="pt-PT"/>
        </w:rPr>
        <w:t>ácido ascórbico e minerais,</w:t>
      </w:r>
      <w:r w:rsidR="00A620C3">
        <w:rPr>
          <w:rFonts w:ascii="Times New Roman" w:hAnsi="Times New Roman"/>
          <w:sz w:val="24"/>
          <w:szCs w:val="24"/>
          <w:lang w:eastAsia="pt-PT"/>
        </w:rPr>
        <w:t xml:space="preserve"> tais como</w:t>
      </w:r>
      <w:r w:rsidR="00A620C3" w:rsidRPr="00A620C3">
        <w:rPr>
          <w:rFonts w:ascii="Times New Roman" w:hAnsi="Times New Roman"/>
          <w:sz w:val="24"/>
          <w:szCs w:val="24"/>
          <w:lang w:eastAsia="pt-PT"/>
        </w:rPr>
        <w:t xml:space="preserve"> Al, Ba, Ca, Co, Cu, Fe, K, Mg, Mn, Ni, P e Zn</w:t>
      </w:r>
      <w:r w:rsidR="00A620C3">
        <w:rPr>
          <w:rFonts w:ascii="Times New Roman" w:hAnsi="Times New Roman"/>
          <w:sz w:val="24"/>
          <w:szCs w:val="24"/>
          <w:lang w:eastAsia="pt-PT"/>
        </w:rPr>
        <w:t xml:space="preserve"> (Santos </w:t>
      </w:r>
      <w:r w:rsidR="00A620C3" w:rsidRPr="00A620C3">
        <w:rPr>
          <w:rFonts w:ascii="Times New Roman" w:hAnsi="Times New Roman"/>
          <w:i/>
          <w:sz w:val="24"/>
          <w:szCs w:val="24"/>
          <w:lang w:eastAsia="pt-PT"/>
        </w:rPr>
        <w:t>et al</w:t>
      </w:r>
      <w:r w:rsidR="00A620C3">
        <w:rPr>
          <w:rFonts w:ascii="Times New Roman" w:hAnsi="Times New Roman"/>
          <w:sz w:val="24"/>
          <w:szCs w:val="24"/>
          <w:lang w:eastAsia="pt-PT"/>
        </w:rPr>
        <w:t>., 2007)</w:t>
      </w:r>
      <w:r w:rsidR="00A620C3">
        <w:rPr>
          <w:rFonts w:ascii="Times New Roman" w:hAnsi="Times New Roman"/>
          <w:sz w:val="24"/>
          <w:szCs w:val="24"/>
        </w:rPr>
        <w:t>.</w:t>
      </w:r>
    </w:p>
    <w:p w:rsidR="00D24520" w:rsidRDefault="0054246C" w:rsidP="0054246C">
      <w:pPr>
        <w:autoSpaceDE w:val="0"/>
        <w:autoSpaceDN w:val="0"/>
        <w:adjustRightInd w:val="0"/>
        <w:jc w:val="both"/>
        <w:rPr>
          <w:rFonts w:ascii="Times New Roman" w:hAnsi="Times New Roman"/>
          <w:sz w:val="24"/>
          <w:szCs w:val="24"/>
          <w:lang w:eastAsia="pt-PT"/>
        </w:rPr>
      </w:pPr>
      <w:r>
        <w:rPr>
          <w:rFonts w:ascii="Times New Roman" w:hAnsi="Times New Roman"/>
          <w:sz w:val="18"/>
          <w:szCs w:val="24"/>
        </w:rPr>
        <w:tab/>
      </w:r>
      <w:r w:rsidR="00700955">
        <w:rPr>
          <w:rFonts w:ascii="Times New Roman" w:hAnsi="Times New Roman"/>
          <w:sz w:val="24"/>
          <w:szCs w:val="24"/>
        </w:rPr>
        <w:t xml:space="preserve">A actividade antioxidante dos compostos fenólicos deve-se essencialmente à sua estrutura química e propriedades redutoras. Estas características exercem uma função importante na neutralização ou sequestro de radicais livres, </w:t>
      </w:r>
      <w:r>
        <w:rPr>
          <w:rFonts w:ascii="Times New Roman" w:hAnsi="Times New Roman"/>
          <w:sz w:val="24"/>
          <w:szCs w:val="24"/>
        </w:rPr>
        <w:t xml:space="preserve">e </w:t>
      </w:r>
      <w:r w:rsidR="00700955">
        <w:rPr>
          <w:rFonts w:ascii="Times New Roman" w:hAnsi="Times New Roman"/>
          <w:sz w:val="24"/>
          <w:szCs w:val="24"/>
        </w:rPr>
        <w:t>os intermediários</w:t>
      </w:r>
      <w:r>
        <w:rPr>
          <w:rFonts w:ascii="Times New Roman" w:hAnsi="Times New Roman"/>
          <w:sz w:val="24"/>
          <w:szCs w:val="24"/>
        </w:rPr>
        <w:t xml:space="preserve"> formados pela acção antioxidante dos </w:t>
      </w:r>
      <w:r w:rsidR="001F407D">
        <w:rPr>
          <w:rFonts w:ascii="Times New Roman" w:hAnsi="Times New Roman"/>
          <w:sz w:val="24"/>
          <w:szCs w:val="24"/>
        </w:rPr>
        <w:t>compostos fenólicos caracterizam</w:t>
      </w:r>
      <w:r>
        <w:rPr>
          <w:rFonts w:ascii="Times New Roman" w:hAnsi="Times New Roman"/>
          <w:sz w:val="24"/>
          <w:szCs w:val="24"/>
        </w:rPr>
        <w:t>-se por ser</w:t>
      </w:r>
      <w:r w:rsidR="00700955">
        <w:rPr>
          <w:rFonts w:ascii="Times New Roman" w:hAnsi="Times New Roman"/>
          <w:sz w:val="24"/>
          <w:szCs w:val="24"/>
        </w:rPr>
        <w:t xml:space="preserve"> </w:t>
      </w:r>
      <w:r>
        <w:rPr>
          <w:rFonts w:ascii="Times New Roman" w:hAnsi="Times New Roman"/>
          <w:sz w:val="24"/>
          <w:szCs w:val="24"/>
        </w:rPr>
        <w:t xml:space="preserve">estáveis, resultante da </w:t>
      </w:r>
      <w:r w:rsidRPr="0054246C">
        <w:rPr>
          <w:rFonts w:ascii="Times New Roman" w:hAnsi="Times New Roman"/>
          <w:sz w:val="24"/>
          <w:szCs w:val="24"/>
        </w:rPr>
        <w:t>ressonância do anel</w:t>
      </w:r>
      <w:r>
        <w:rPr>
          <w:rFonts w:ascii="Times New Roman" w:hAnsi="Times New Roman"/>
          <w:sz w:val="24"/>
          <w:szCs w:val="24"/>
        </w:rPr>
        <w:t xml:space="preserve"> </w:t>
      </w:r>
      <w:r w:rsidRPr="0054246C">
        <w:rPr>
          <w:rFonts w:ascii="Times New Roman" w:hAnsi="Times New Roman"/>
          <w:sz w:val="24"/>
          <w:szCs w:val="24"/>
        </w:rPr>
        <w:t>aromático presente na estrutura destas substâncias</w:t>
      </w:r>
      <w:r>
        <w:rPr>
          <w:rFonts w:ascii="Times New Roman" w:hAnsi="Times New Roman"/>
          <w:sz w:val="24"/>
          <w:szCs w:val="24"/>
        </w:rPr>
        <w:t xml:space="preserve"> (</w:t>
      </w:r>
      <w:r w:rsidRPr="0054246C">
        <w:rPr>
          <w:rFonts w:ascii="Times New Roman" w:hAnsi="Times New Roman"/>
          <w:sz w:val="24"/>
          <w:szCs w:val="24"/>
        </w:rPr>
        <w:t>Sousa</w:t>
      </w:r>
      <w:r w:rsidRPr="0054246C">
        <w:rPr>
          <w:rFonts w:ascii="Times New Roman" w:hAnsi="Times New Roman"/>
          <w:i/>
          <w:sz w:val="24"/>
          <w:szCs w:val="24"/>
        </w:rPr>
        <w:t xml:space="preserve"> </w:t>
      </w:r>
      <w:r>
        <w:rPr>
          <w:rFonts w:ascii="Times New Roman" w:hAnsi="Times New Roman"/>
          <w:i/>
          <w:sz w:val="24"/>
          <w:szCs w:val="24"/>
        </w:rPr>
        <w:t>e</w:t>
      </w:r>
      <w:r w:rsidRPr="0054246C">
        <w:rPr>
          <w:rFonts w:ascii="Times New Roman" w:hAnsi="Times New Roman"/>
          <w:i/>
          <w:sz w:val="24"/>
          <w:szCs w:val="24"/>
        </w:rPr>
        <w:t>t</w:t>
      </w:r>
      <w:r>
        <w:rPr>
          <w:rFonts w:ascii="Times New Roman" w:hAnsi="Times New Roman"/>
          <w:i/>
          <w:sz w:val="24"/>
          <w:szCs w:val="24"/>
        </w:rPr>
        <w:t xml:space="preserve"> </w:t>
      </w:r>
      <w:r w:rsidRPr="0054246C">
        <w:rPr>
          <w:rFonts w:ascii="Times New Roman" w:hAnsi="Times New Roman"/>
          <w:i/>
          <w:sz w:val="24"/>
          <w:szCs w:val="24"/>
        </w:rPr>
        <w:t>al</w:t>
      </w:r>
      <w:r>
        <w:rPr>
          <w:rFonts w:ascii="Times New Roman" w:hAnsi="Times New Roman"/>
          <w:i/>
          <w:sz w:val="24"/>
          <w:szCs w:val="24"/>
        </w:rPr>
        <w:t>.,</w:t>
      </w:r>
      <w:r w:rsidRPr="0054246C">
        <w:rPr>
          <w:rFonts w:ascii="Times New Roman" w:hAnsi="Times New Roman"/>
          <w:sz w:val="24"/>
          <w:szCs w:val="24"/>
        </w:rPr>
        <w:t xml:space="preserve"> 2007</w:t>
      </w:r>
      <w:r>
        <w:rPr>
          <w:rFonts w:ascii="Times New Roman" w:hAnsi="Times New Roman"/>
          <w:sz w:val="24"/>
          <w:szCs w:val="24"/>
        </w:rPr>
        <w:t>).</w:t>
      </w:r>
    </w:p>
    <w:p w:rsidR="003539D7" w:rsidRPr="003539D7" w:rsidRDefault="00E2175F" w:rsidP="003539D7">
      <w:pPr>
        <w:autoSpaceDE w:val="0"/>
        <w:autoSpaceDN w:val="0"/>
        <w:adjustRightInd w:val="0"/>
        <w:ind w:firstLine="708"/>
        <w:jc w:val="both"/>
        <w:rPr>
          <w:rFonts w:ascii="Times-Roman" w:hAnsi="Times-Roman" w:cs="Times-Roman"/>
          <w:lang w:eastAsia="pt-PT"/>
        </w:rPr>
      </w:pPr>
      <w:r w:rsidRPr="005B4DDA">
        <w:rPr>
          <w:rFonts w:ascii="Times New Roman" w:hAnsi="Times New Roman"/>
          <w:sz w:val="24"/>
          <w:szCs w:val="24"/>
          <w:lang w:eastAsia="pt-PT"/>
        </w:rPr>
        <w:t>Os compostos antioxidantes protegem os sistemas biológicos contra os efeitos causados pelas espécies reactivas de oxigénio</w:t>
      </w:r>
      <w:r w:rsidR="009F67E5">
        <w:rPr>
          <w:rFonts w:ascii="Times New Roman" w:hAnsi="Times New Roman"/>
          <w:sz w:val="24"/>
          <w:szCs w:val="24"/>
          <w:lang w:eastAsia="pt-PT"/>
        </w:rPr>
        <w:t xml:space="preserve"> (ROS)</w:t>
      </w:r>
      <w:r w:rsidRPr="005B4DDA">
        <w:rPr>
          <w:rFonts w:ascii="Times New Roman" w:hAnsi="Times New Roman"/>
          <w:sz w:val="24"/>
          <w:szCs w:val="24"/>
          <w:lang w:eastAsia="pt-PT"/>
        </w:rPr>
        <w:t xml:space="preserve"> e azoto</w:t>
      </w:r>
      <w:r w:rsidR="003539D7">
        <w:rPr>
          <w:rFonts w:ascii="Times New Roman" w:hAnsi="Times New Roman"/>
          <w:sz w:val="24"/>
          <w:szCs w:val="24"/>
          <w:lang w:eastAsia="pt-PT"/>
        </w:rPr>
        <w:t>, reduzindo-os ou suprimindo-os,</w:t>
      </w:r>
      <w:r w:rsidRPr="005B4DDA">
        <w:rPr>
          <w:rFonts w:ascii="Times New Roman" w:hAnsi="Times New Roman"/>
          <w:sz w:val="24"/>
          <w:szCs w:val="24"/>
          <w:lang w:eastAsia="pt-PT"/>
        </w:rPr>
        <w:t xml:space="preserve"> nos seus diferentes alvos celulares.</w:t>
      </w:r>
      <w:r w:rsidR="00A620C3">
        <w:rPr>
          <w:rFonts w:ascii="Times New Roman" w:hAnsi="Times New Roman"/>
          <w:sz w:val="24"/>
          <w:szCs w:val="24"/>
          <w:lang w:eastAsia="pt-PT"/>
        </w:rPr>
        <w:t xml:space="preserve"> Os radicais livres e outras espécies reactivas derivados do metabolismo </w:t>
      </w:r>
      <w:r w:rsidR="00C13C57">
        <w:rPr>
          <w:rFonts w:ascii="Times New Roman" w:hAnsi="Times New Roman"/>
          <w:sz w:val="24"/>
          <w:szCs w:val="24"/>
          <w:lang w:eastAsia="pt-PT"/>
        </w:rPr>
        <w:t xml:space="preserve">normal ou de origem externa, podem danificar os diferentes componentes celulares como os lípidos, proteínas e o ADN, tendo como consequência a manifestação de diversas patologias como doenças degenerativas, </w:t>
      </w:r>
      <w:r w:rsidR="00C13C57">
        <w:rPr>
          <w:rFonts w:ascii="Times New Roman" w:hAnsi="Times New Roman"/>
          <w:sz w:val="24"/>
          <w:szCs w:val="24"/>
          <w:lang w:eastAsia="pt-PT"/>
        </w:rPr>
        <w:lastRenderedPageBreak/>
        <w:t xml:space="preserve">cardiovasculares e neoplasias. </w:t>
      </w:r>
      <w:r w:rsidR="00750D2A">
        <w:rPr>
          <w:rFonts w:ascii="Times New Roman" w:hAnsi="Times New Roman"/>
          <w:sz w:val="24"/>
          <w:szCs w:val="24"/>
          <w:lang w:eastAsia="pt-PT"/>
        </w:rPr>
        <w:t xml:space="preserve">A avaliação da capacidade antioxidante pode ser feita através de ensaios </w:t>
      </w:r>
      <w:r w:rsidR="00750D2A" w:rsidRPr="00750D2A">
        <w:rPr>
          <w:rFonts w:ascii="Times New Roman" w:hAnsi="Times New Roman"/>
          <w:i/>
          <w:sz w:val="24"/>
          <w:szCs w:val="24"/>
          <w:lang w:eastAsia="pt-PT"/>
        </w:rPr>
        <w:t>in vivo</w:t>
      </w:r>
      <w:r w:rsidR="00750D2A">
        <w:rPr>
          <w:rFonts w:ascii="Times New Roman" w:hAnsi="Times New Roman"/>
          <w:sz w:val="24"/>
          <w:szCs w:val="24"/>
          <w:lang w:eastAsia="pt-PT"/>
        </w:rPr>
        <w:t xml:space="preserve"> e </w:t>
      </w:r>
      <w:r w:rsidR="00750D2A" w:rsidRPr="00750D2A">
        <w:rPr>
          <w:rFonts w:ascii="Times New Roman" w:hAnsi="Times New Roman"/>
          <w:i/>
          <w:sz w:val="24"/>
          <w:szCs w:val="24"/>
          <w:lang w:eastAsia="pt-PT"/>
        </w:rPr>
        <w:t>in vitro</w:t>
      </w:r>
      <w:r w:rsidR="00750D2A">
        <w:rPr>
          <w:rFonts w:ascii="Times New Roman" w:hAnsi="Times New Roman"/>
          <w:sz w:val="24"/>
          <w:szCs w:val="24"/>
          <w:lang w:eastAsia="pt-PT"/>
        </w:rPr>
        <w:t xml:space="preserve">. Por definição, a actividade antioxidante </w:t>
      </w:r>
      <w:r w:rsidR="00692406">
        <w:rPr>
          <w:rFonts w:ascii="Times New Roman" w:hAnsi="Times New Roman"/>
          <w:sz w:val="24"/>
          <w:szCs w:val="24"/>
          <w:lang w:eastAsia="pt-PT"/>
        </w:rPr>
        <w:t xml:space="preserve">de um composto </w:t>
      </w:r>
      <w:r w:rsidR="00750D2A">
        <w:rPr>
          <w:rFonts w:ascii="Times New Roman" w:hAnsi="Times New Roman"/>
          <w:sz w:val="24"/>
          <w:szCs w:val="24"/>
          <w:lang w:eastAsia="pt-PT"/>
        </w:rPr>
        <w:t xml:space="preserve">traduz-se na </w:t>
      </w:r>
      <w:r w:rsidR="00692406">
        <w:rPr>
          <w:rFonts w:ascii="Times New Roman" w:hAnsi="Times New Roman"/>
          <w:sz w:val="24"/>
          <w:szCs w:val="24"/>
          <w:lang w:eastAsia="pt-PT"/>
        </w:rPr>
        <w:t xml:space="preserve">sua </w:t>
      </w:r>
      <w:r w:rsidR="00750D2A">
        <w:rPr>
          <w:rFonts w:ascii="Times New Roman" w:hAnsi="Times New Roman"/>
          <w:sz w:val="24"/>
          <w:szCs w:val="24"/>
          <w:lang w:eastAsia="pt-PT"/>
        </w:rPr>
        <w:t>capacidade de inibir a degradação oxidativa, e pode ser avaliada pelo seu potencial antioxidante, determinado pela composição e propriedades dos seus constituintes</w:t>
      </w:r>
      <w:r w:rsidR="00692406">
        <w:rPr>
          <w:rFonts w:ascii="Times New Roman" w:hAnsi="Times New Roman"/>
          <w:sz w:val="24"/>
          <w:szCs w:val="24"/>
          <w:lang w:eastAsia="pt-PT"/>
        </w:rPr>
        <w:t>, e/ou ainda pela sua actividade biológica, que depende da biodisponibilidade do composto antioxidante, entre outros factores</w:t>
      </w:r>
      <w:r w:rsidR="00607B43">
        <w:rPr>
          <w:rFonts w:ascii="Times New Roman" w:hAnsi="Times New Roman"/>
          <w:sz w:val="24"/>
          <w:szCs w:val="24"/>
          <w:lang w:eastAsia="pt-PT"/>
        </w:rPr>
        <w:t xml:space="preserve"> (</w:t>
      </w:r>
      <w:r w:rsidR="000C3B57">
        <w:rPr>
          <w:rFonts w:ascii="Times New Roman" w:hAnsi="Times New Roman"/>
          <w:sz w:val="24"/>
          <w:szCs w:val="24"/>
          <w:lang w:eastAsia="pt-PT"/>
        </w:rPr>
        <w:t xml:space="preserve">Willcox </w:t>
      </w:r>
      <w:r w:rsidR="000C3B57" w:rsidRPr="00A620C3">
        <w:rPr>
          <w:rFonts w:ascii="Times New Roman" w:hAnsi="Times New Roman"/>
          <w:i/>
          <w:sz w:val="24"/>
          <w:szCs w:val="24"/>
          <w:lang w:eastAsia="pt-PT"/>
        </w:rPr>
        <w:t>et al</w:t>
      </w:r>
      <w:r w:rsidR="000C3B57">
        <w:rPr>
          <w:rFonts w:ascii="Times New Roman" w:hAnsi="Times New Roman"/>
          <w:sz w:val="24"/>
          <w:szCs w:val="24"/>
          <w:lang w:eastAsia="pt-PT"/>
        </w:rPr>
        <w:t xml:space="preserve">., 2004; </w:t>
      </w:r>
      <w:r w:rsidR="00607B43">
        <w:rPr>
          <w:rFonts w:ascii="Times New Roman" w:hAnsi="Times New Roman"/>
          <w:sz w:val="24"/>
          <w:szCs w:val="24"/>
          <w:lang w:eastAsia="pt-PT"/>
        </w:rPr>
        <w:t xml:space="preserve">Santos </w:t>
      </w:r>
      <w:r w:rsidR="00607B43" w:rsidRPr="00A620C3">
        <w:rPr>
          <w:rFonts w:ascii="Times New Roman" w:hAnsi="Times New Roman"/>
          <w:i/>
          <w:sz w:val="24"/>
          <w:szCs w:val="24"/>
          <w:lang w:eastAsia="pt-PT"/>
        </w:rPr>
        <w:t>et al</w:t>
      </w:r>
      <w:r w:rsidR="00607B43">
        <w:rPr>
          <w:rFonts w:ascii="Times New Roman" w:hAnsi="Times New Roman"/>
          <w:sz w:val="24"/>
          <w:szCs w:val="24"/>
          <w:lang w:eastAsia="pt-PT"/>
        </w:rPr>
        <w:t>., 2007)</w:t>
      </w:r>
      <w:r w:rsidR="00692406">
        <w:rPr>
          <w:rFonts w:ascii="Times New Roman" w:hAnsi="Times New Roman"/>
          <w:sz w:val="24"/>
          <w:szCs w:val="24"/>
          <w:lang w:eastAsia="pt-PT"/>
        </w:rPr>
        <w:t xml:space="preserve">. </w:t>
      </w:r>
      <w:r w:rsidR="00750D2A">
        <w:rPr>
          <w:rFonts w:ascii="Times New Roman" w:hAnsi="Times New Roman"/>
          <w:sz w:val="24"/>
          <w:szCs w:val="24"/>
          <w:lang w:eastAsia="pt-PT"/>
        </w:rPr>
        <w:t xml:space="preserve"> </w:t>
      </w:r>
    </w:p>
    <w:p w:rsidR="00272EC2" w:rsidRDefault="00272EC2" w:rsidP="00750D2A">
      <w:pPr>
        <w:autoSpaceDE w:val="0"/>
        <w:autoSpaceDN w:val="0"/>
        <w:adjustRightInd w:val="0"/>
        <w:jc w:val="both"/>
        <w:rPr>
          <w:rFonts w:ascii="Times New Roman" w:hAnsi="Times New Roman"/>
          <w:sz w:val="24"/>
          <w:szCs w:val="24"/>
          <w:lang w:eastAsia="pt-PT"/>
        </w:rPr>
      </w:pPr>
      <w:r>
        <w:rPr>
          <w:rFonts w:ascii="Times New Roman" w:hAnsi="Times New Roman"/>
          <w:sz w:val="24"/>
          <w:szCs w:val="24"/>
          <w:lang w:eastAsia="pt-PT"/>
        </w:rPr>
        <w:tab/>
      </w:r>
      <w:r w:rsidR="00A53C32">
        <w:rPr>
          <w:rFonts w:ascii="Times New Roman" w:hAnsi="Times New Roman"/>
          <w:sz w:val="24"/>
          <w:szCs w:val="24"/>
          <w:lang w:eastAsia="pt-PT"/>
        </w:rPr>
        <w:t>Devido à abundância de lípidos nas células</w:t>
      </w:r>
      <w:r w:rsidR="000631C1">
        <w:rPr>
          <w:rFonts w:ascii="Times New Roman" w:hAnsi="Times New Roman"/>
          <w:sz w:val="24"/>
          <w:szCs w:val="24"/>
          <w:lang w:eastAsia="pt-PT"/>
        </w:rPr>
        <w:t>, nomeadamente na bicamada lipídica,</w:t>
      </w:r>
      <w:r w:rsidR="00A53C32">
        <w:rPr>
          <w:rFonts w:ascii="Times New Roman" w:hAnsi="Times New Roman"/>
          <w:sz w:val="24"/>
          <w:szCs w:val="24"/>
          <w:lang w:eastAsia="pt-PT"/>
        </w:rPr>
        <w:t xml:space="preserve"> e sua susceptibilidade à oxidação, uma das propriedades desejáveis nos compostos com actividade antioxidante é a inibição da peroxidação lipídica. Como est</w:t>
      </w:r>
      <w:r w:rsidR="000631C1">
        <w:rPr>
          <w:rFonts w:ascii="Times New Roman" w:hAnsi="Times New Roman"/>
          <w:sz w:val="24"/>
          <w:szCs w:val="24"/>
          <w:lang w:eastAsia="pt-PT"/>
        </w:rPr>
        <w:t>e processo de</w:t>
      </w:r>
      <w:r w:rsidR="00A53C32">
        <w:rPr>
          <w:rFonts w:ascii="Times New Roman" w:hAnsi="Times New Roman"/>
          <w:sz w:val="24"/>
          <w:szCs w:val="24"/>
          <w:lang w:eastAsia="pt-PT"/>
        </w:rPr>
        <w:t xml:space="preserve"> oxidação desencadeia uma cascata auto-catalítica </w:t>
      </w:r>
      <w:r w:rsidR="000631C1">
        <w:rPr>
          <w:rFonts w:ascii="Times New Roman" w:hAnsi="Times New Roman"/>
          <w:sz w:val="24"/>
          <w:szCs w:val="24"/>
          <w:lang w:eastAsia="pt-PT"/>
        </w:rPr>
        <w:t>com formação de numerosas moléculas oxidantes e genotóxicas, tais danos nos lípidos celulares têm enormes implicações para a integridade do ADN, das proteínas e outras estruturas e macromoléculas celulares</w:t>
      </w:r>
      <w:r w:rsidR="00607B43">
        <w:rPr>
          <w:rFonts w:ascii="Times New Roman" w:hAnsi="Times New Roman"/>
          <w:sz w:val="24"/>
          <w:szCs w:val="24"/>
          <w:lang w:eastAsia="pt-PT"/>
        </w:rPr>
        <w:t xml:space="preserve"> (Santos </w:t>
      </w:r>
      <w:r w:rsidR="00607B43" w:rsidRPr="00A620C3">
        <w:rPr>
          <w:rFonts w:ascii="Times New Roman" w:hAnsi="Times New Roman"/>
          <w:i/>
          <w:sz w:val="24"/>
          <w:szCs w:val="24"/>
          <w:lang w:eastAsia="pt-PT"/>
        </w:rPr>
        <w:t>et al</w:t>
      </w:r>
      <w:r w:rsidR="00607B43">
        <w:rPr>
          <w:rFonts w:ascii="Times New Roman" w:hAnsi="Times New Roman"/>
          <w:sz w:val="24"/>
          <w:szCs w:val="24"/>
          <w:lang w:eastAsia="pt-PT"/>
        </w:rPr>
        <w:t>., 2007)</w:t>
      </w:r>
      <w:r w:rsidR="000631C1">
        <w:rPr>
          <w:rFonts w:ascii="Times New Roman" w:hAnsi="Times New Roman"/>
          <w:sz w:val="24"/>
          <w:szCs w:val="24"/>
          <w:lang w:eastAsia="pt-PT"/>
        </w:rPr>
        <w:t xml:space="preserve">. </w:t>
      </w:r>
    </w:p>
    <w:p w:rsidR="00E66047" w:rsidRDefault="000631C1" w:rsidP="00C748FC">
      <w:pPr>
        <w:autoSpaceDE w:val="0"/>
        <w:autoSpaceDN w:val="0"/>
        <w:adjustRightInd w:val="0"/>
        <w:jc w:val="both"/>
        <w:rPr>
          <w:rFonts w:ascii="Times New Roman" w:hAnsi="Times New Roman"/>
          <w:sz w:val="24"/>
          <w:szCs w:val="24"/>
          <w:lang w:eastAsia="pt-PT"/>
        </w:rPr>
      </w:pPr>
      <w:r w:rsidRPr="00FA118A">
        <w:rPr>
          <w:rFonts w:ascii="Times New Roman" w:hAnsi="Times New Roman"/>
          <w:sz w:val="24"/>
          <w:szCs w:val="24"/>
          <w:lang w:eastAsia="pt-PT"/>
        </w:rPr>
        <w:tab/>
      </w:r>
      <w:r>
        <w:rPr>
          <w:rFonts w:ascii="Times New Roman" w:hAnsi="Times New Roman"/>
          <w:sz w:val="24"/>
          <w:szCs w:val="24"/>
          <w:lang w:eastAsia="pt-PT"/>
        </w:rPr>
        <w:t xml:space="preserve">O teste </w:t>
      </w:r>
      <w:r w:rsidR="00C82740" w:rsidRPr="0096112C">
        <w:rPr>
          <w:rFonts w:ascii="Times New Roman" w:hAnsi="Times New Roman"/>
          <w:sz w:val="24"/>
          <w:szCs w:val="24"/>
          <w:lang w:eastAsia="pt-PT"/>
        </w:rPr>
        <w:t>2,2-difenil-1-picrilhidrazilo</w:t>
      </w:r>
      <w:r w:rsidR="00C82740">
        <w:rPr>
          <w:rFonts w:ascii="Times New Roman" w:hAnsi="Times New Roman"/>
          <w:sz w:val="24"/>
          <w:szCs w:val="24"/>
          <w:lang w:eastAsia="pt-PT"/>
        </w:rPr>
        <w:t xml:space="preserve"> </w:t>
      </w:r>
      <w:r w:rsidR="00C82740" w:rsidRPr="00C82740">
        <w:rPr>
          <w:rFonts w:ascii="Times New Roman" w:hAnsi="Times New Roman"/>
          <w:sz w:val="24"/>
          <w:szCs w:val="24"/>
          <w:lang w:eastAsia="pt-PT"/>
        </w:rPr>
        <w:t xml:space="preserve">(DPPH) </w:t>
      </w:r>
      <w:r w:rsidR="007A17CD">
        <w:rPr>
          <w:rFonts w:ascii="Times New Roman" w:hAnsi="Times New Roman"/>
          <w:sz w:val="24"/>
          <w:szCs w:val="24"/>
          <w:lang w:eastAsia="pt-PT"/>
        </w:rPr>
        <w:t xml:space="preserve">(Figura 8) </w:t>
      </w:r>
      <w:r w:rsidR="00C82740" w:rsidRPr="00C82740">
        <w:rPr>
          <w:rFonts w:ascii="Times New Roman" w:hAnsi="Times New Roman"/>
          <w:sz w:val="24"/>
          <w:szCs w:val="24"/>
          <w:lang w:eastAsia="pt-PT"/>
        </w:rPr>
        <w:t>determina o potencial antioxidante de compostos fenólicos isolados ou presentes em alimentos e outras amostras biológicas.</w:t>
      </w:r>
      <w:r w:rsidR="00C82740">
        <w:rPr>
          <w:rFonts w:ascii="Times New Roman" w:hAnsi="Times New Roman"/>
          <w:sz w:val="24"/>
          <w:szCs w:val="24"/>
          <w:lang w:eastAsia="pt-PT"/>
        </w:rPr>
        <w:t xml:space="preserve"> Este teste do DPPH é baseado na capacidade do radical livre estável </w:t>
      </w:r>
      <w:r w:rsidR="00C82740" w:rsidRPr="0096112C">
        <w:rPr>
          <w:rFonts w:ascii="Times New Roman" w:hAnsi="Times New Roman"/>
          <w:sz w:val="24"/>
          <w:szCs w:val="24"/>
          <w:lang w:eastAsia="pt-PT"/>
        </w:rPr>
        <w:t>2,2-difenil-1-picrilhidrazilo</w:t>
      </w:r>
      <w:r w:rsidR="00C82740">
        <w:rPr>
          <w:rFonts w:ascii="Times New Roman" w:hAnsi="Times New Roman"/>
          <w:sz w:val="24"/>
          <w:szCs w:val="24"/>
          <w:lang w:eastAsia="pt-PT"/>
        </w:rPr>
        <w:t xml:space="preserve"> reagir </w:t>
      </w:r>
      <w:r w:rsidR="00C82740" w:rsidRPr="00C82740">
        <w:rPr>
          <w:rFonts w:ascii="Times New Roman" w:hAnsi="Times New Roman"/>
          <w:sz w:val="24"/>
          <w:szCs w:val="24"/>
          <w:lang w:eastAsia="pt-PT"/>
        </w:rPr>
        <w:t>com compostos doadores de</w:t>
      </w:r>
      <w:r w:rsidR="00C82740">
        <w:rPr>
          <w:rFonts w:ascii="Times New Roman" w:hAnsi="Times New Roman"/>
          <w:sz w:val="24"/>
          <w:szCs w:val="24"/>
          <w:lang w:eastAsia="pt-PT"/>
        </w:rPr>
        <w:t xml:space="preserve"> átomos de</w:t>
      </w:r>
      <w:r w:rsidR="00C748FC">
        <w:rPr>
          <w:rFonts w:ascii="Times New Roman" w:hAnsi="Times New Roman"/>
          <w:sz w:val="24"/>
          <w:szCs w:val="24"/>
          <w:lang w:eastAsia="pt-PT"/>
        </w:rPr>
        <w:t xml:space="preserve"> h</w:t>
      </w:r>
      <w:r w:rsidR="00C82740" w:rsidRPr="00C82740">
        <w:rPr>
          <w:rFonts w:ascii="Times New Roman" w:hAnsi="Times New Roman"/>
          <w:sz w:val="24"/>
          <w:szCs w:val="24"/>
          <w:lang w:eastAsia="pt-PT"/>
        </w:rPr>
        <w:t>idrogénio o que pode conduzir à interrupção de reacções oxidativas em cadeia</w:t>
      </w:r>
      <w:r w:rsidR="00C748FC">
        <w:rPr>
          <w:rFonts w:ascii="Times New Roman" w:hAnsi="Times New Roman"/>
          <w:sz w:val="24"/>
          <w:szCs w:val="24"/>
          <w:lang w:eastAsia="pt-PT"/>
        </w:rPr>
        <w:t xml:space="preserve"> (Santos </w:t>
      </w:r>
      <w:r w:rsidR="00C748FC" w:rsidRPr="00A620C3">
        <w:rPr>
          <w:rFonts w:ascii="Times New Roman" w:hAnsi="Times New Roman"/>
          <w:i/>
          <w:sz w:val="24"/>
          <w:szCs w:val="24"/>
          <w:lang w:eastAsia="pt-PT"/>
        </w:rPr>
        <w:t>et al</w:t>
      </w:r>
      <w:r w:rsidR="00C748FC">
        <w:rPr>
          <w:rFonts w:ascii="Times New Roman" w:hAnsi="Times New Roman"/>
          <w:sz w:val="24"/>
          <w:szCs w:val="24"/>
          <w:lang w:eastAsia="pt-PT"/>
        </w:rPr>
        <w:t>., 2007)</w:t>
      </w:r>
      <w:r w:rsidR="00C82740" w:rsidRPr="00C82740">
        <w:rPr>
          <w:rFonts w:ascii="Times New Roman" w:hAnsi="Times New Roman"/>
          <w:sz w:val="24"/>
          <w:szCs w:val="24"/>
          <w:lang w:eastAsia="pt-PT"/>
        </w:rPr>
        <w:t xml:space="preserve">. </w:t>
      </w:r>
      <w:r w:rsidR="006F63EE" w:rsidRPr="00C82740">
        <w:rPr>
          <w:rFonts w:ascii="Times New Roman" w:hAnsi="Times New Roman"/>
          <w:sz w:val="24"/>
          <w:szCs w:val="24"/>
          <w:lang w:eastAsia="pt-PT"/>
        </w:rPr>
        <w:t xml:space="preserve">De acordo com o método de </w:t>
      </w:r>
      <w:r w:rsidR="006F63EE">
        <w:rPr>
          <w:rFonts w:ascii="Times New Roman" w:hAnsi="Times New Roman"/>
          <w:sz w:val="24"/>
          <w:szCs w:val="24"/>
          <w:lang w:eastAsia="pt-PT"/>
        </w:rPr>
        <w:t>Hatano</w:t>
      </w:r>
      <w:r w:rsidR="006F63EE" w:rsidRPr="00C82740">
        <w:rPr>
          <w:rFonts w:ascii="Times New Roman" w:hAnsi="Times New Roman"/>
          <w:sz w:val="24"/>
          <w:szCs w:val="24"/>
          <w:lang w:eastAsia="pt-PT"/>
        </w:rPr>
        <w:t xml:space="preserve"> </w:t>
      </w:r>
      <w:r w:rsidR="006F63EE" w:rsidRPr="00C748FC">
        <w:rPr>
          <w:rFonts w:ascii="Times New Roman" w:hAnsi="Times New Roman"/>
          <w:i/>
          <w:sz w:val="24"/>
          <w:szCs w:val="24"/>
          <w:lang w:eastAsia="pt-PT"/>
        </w:rPr>
        <w:t>et al</w:t>
      </w:r>
      <w:r w:rsidR="006F63EE" w:rsidRPr="00C82740">
        <w:rPr>
          <w:rFonts w:ascii="Times New Roman" w:hAnsi="Times New Roman"/>
          <w:sz w:val="24"/>
          <w:szCs w:val="24"/>
          <w:lang w:eastAsia="pt-PT"/>
        </w:rPr>
        <w:t>., 1988, a transformação dos radicais livres de cor púrpura</w:t>
      </w:r>
      <w:r w:rsidR="00EB0BEC">
        <w:rPr>
          <w:rFonts w:ascii="Times New Roman" w:hAnsi="Times New Roman"/>
          <w:sz w:val="24"/>
          <w:szCs w:val="24"/>
          <w:lang w:eastAsia="pt-PT"/>
        </w:rPr>
        <w:t>,</w:t>
      </w:r>
      <w:r w:rsidR="006F63EE" w:rsidRPr="00C82740">
        <w:rPr>
          <w:rFonts w:ascii="Times New Roman" w:hAnsi="Times New Roman"/>
          <w:sz w:val="24"/>
          <w:szCs w:val="24"/>
          <w:lang w:eastAsia="pt-PT"/>
        </w:rPr>
        <w:t xml:space="preserve"> na forma não-radical DPPH-H de cor amarela na presença de um antioxidante doador de hidrogénio, provoca a diminuição da concentração dos radicais DPPH e, por conseguint</w:t>
      </w:r>
      <w:r w:rsidR="00F20535">
        <w:rPr>
          <w:rFonts w:ascii="Times New Roman" w:hAnsi="Times New Roman"/>
          <w:sz w:val="24"/>
          <w:szCs w:val="24"/>
          <w:lang w:eastAsia="pt-PT"/>
        </w:rPr>
        <w:t>e, da absorvância a 517nm (Shon</w:t>
      </w:r>
      <w:r w:rsidR="006F63EE" w:rsidRPr="00C82740">
        <w:rPr>
          <w:rFonts w:ascii="Times New Roman" w:hAnsi="Times New Roman"/>
          <w:sz w:val="24"/>
          <w:szCs w:val="24"/>
          <w:lang w:eastAsia="pt-PT"/>
        </w:rPr>
        <w:t xml:space="preserve"> </w:t>
      </w:r>
      <w:r w:rsidR="006F63EE" w:rsidRPr="00607B43">
        <w:rPr>
          <w:rFonts w:ascii="Times New Roman" w:hAnsi="Times New Roman"/>
          <w:i/>
          <w:sz w:val="24"/>
          <w:szCs w:val="24"/>
          <w:lang w:eastAsia="pt-PT"/>
        </w:rPr>
        <w:t>et al</w:t>
      </w:r>
      <w:r w:rsidR="006F63EE" w:rsidRPr="006F63EE">
        <w:rPr>
          <w:rFonts w:ascii="Times New Roman" w:hAnsi="Times New Roman"/>
          <w:sz w:val="24"/>
          <w:szCs w:val="24"/>
          <w:lang w:eastAsia="pt-PT"/>
        </w:rPr>
        <w:t>.</w:t>
      </w:r>
      <w:r w:rsidR="006F63EE" w:rsidRPr="00C82740">
        <w:rPr>
          <w:rFonts w:ascii="Times New Roman" w:hAnsi="Times New Roman"/>
          <w:sz w:val="24"/>
          <w:szCs w:val="24"/>
          <w:lang w:eastAsia="pt-PT"/>
        </w:rPr>
        <w:t>, 2003).</w:t>
      </w:r>
      <w:r w:rsidR="006F63EE">
        <w:rPr>
          <w:rFonts w:ascii="Times New Roman" w:hAnsi="Times New Roman"/>
          <w:sz w:val="24"/>
          <w:szCs w:val="24"/>
          <w:lang w:eastAsia="pt-PT"/>
        </w:rPr>
        <w:t xml:space="preserve"> O DPPH </w:t>
      </w:r>
      <w:r w:rsidR="006F63EE" w:rsidRPr="006F63EE">
        <w:rPr>
          <w:rFonts w:ascii="Times New Roman" w:hAnsi="Times New Roman"/>
          <w:sz w:val="24"/>
          <w:szCs w:val="24"/>
          <w:lang w:eastAsia="pt-PT"/>
        </w:rPr>
        <w:t>pode reagir com compostos fenólicos, bem como com ácidos aromático</w:t>
      </w:r>
      <w:r w:rsidR="006F63EE">
        <w:rPr>
          <w:rFonts w:ascii="Times New Roman" w:hAnsi="Times New Roman"/>
          <w:sz w:val="24"/>
          <w:szCs w:val="24"/>
          <w:lang w:eastAsia="pt-PT"/>
        </w:rPr>
        <w:t>s, mas não reage com flavonóides</w:t>
      </w:r>
      <w:r w:rsidR="00C748FC">
        <w:rPr>
          <w:rFonts w:ascii="Times New Roman" w:hAnsi="Times New Roman"/>
          <w:sz w:val="24"/>
          <w:szCs w:val="24"/>
          <w:lang w:eastAsia="pt-PT"/>
        </w:rPr>
        <w:t xml:space="preserve"> (Santos </w:t>
      </w:r>
      <w:r w:rsidR="00C748FC" w:rsidRPr="00A620C3">
        <w:rPr>
          <w:rFonts w:ascii="Times New Roman" w:hAnsi="Times New Roman"/>
          <w:i/>
          <w:sz w:val="24"/>
          <w:szCs w:val="24"/>
          <w:lang w:eastAsia="pt-PT"/>
        </w:rPr>
        <w:t>et al</w:t>
      </w:r>
      <w:r w:rsidR="00C748FC">
        <w:rPr>
          <w:rFonts w:ascii="Times New Roman" w:hAnsi="Times New Roman"/>
          <w:sz w:val="24"/>
          <w:szCs w:val="24"/>
          <w:lang w:eastAsia="pt-PT"/>
        </w:rPr>
        <w:t>., 2007</w:t>
      </w:r>
      <w:r w:rsidR="00D24520">
        <w:rPr>
          <w:rFonts w:ascii="Times New Roman" w:hAnsi="Times New Roman"/>
          <w:sz w:val="24"/>
          <w:szCs w:val="24"/>
          <w:lang w:eastAsia="pt-PT"/>
        </w:rPr>
        <w:t xml:space="preserve">; Sousa </w:t>
      </w:r>
      <w:r w:rsidR="00D24520" w:rsidRPr="00A620C3">
        <w:rPr>
          <w:rFonts w:ascii="Times New Roman" w:hAnsi="Times New Roman"/>
          <w:i/>
          <w:sz w:val="24"/>
          <w:szCs w:val="24"/>
          <w:lang w:eastAsia="pt-PT"/>
        </w:rPr>
        <w:t>et al</w:t>
      </w:r>
      <w:r w:rsidR="00D24520">
        <w:rPr>
          <w:rFonts w:ascii="Times New Roman" w:hAnsi="Times New Roman"/>
          <w:sz w:val="24"/>
          <w:szCs w:val="24"/>
          <w:lang w:eastAsia="pt-PT"/>
        </w:rPr>
        <w:t>., 2007</w:t>
      </w:r>
      <w:r w:rsidR="00C748FC">
        <w:rPr>
          <w:rFonts w:ascii="Times New Roman" w:hAnsi="Times New Roman"/>
          <w:sz w:val="24"/>
          <w:szCs w:val="24"/>
          <w:lang w:eastAsia="pt-PT"/>
        </w:rPr>
        <w:t>)</w:t>
      </w:r>
      <w:r w:rsidR="006F63EE">
        <w:rPr>
          <w:rFonts w:ascii="Times New Roman" w:hAnsi="Times New Roman"/>
          <w:sz w:val="24"/>
          <w:szCs w:val="24"/>
          <w:lang w:eastAsia="pt-PT"/>
        </w:rPr>
        <w:t xml:space="preserve">. </w:t>
      </w:r>
    </w:p>
    <w:p w:rsidR="00E66047" w:rsidRDefault="00E66047" w:rsidP="00E66047">
      <w:pPr>
        <w:keepNext/>
        <w:autoSpaceDE w:val="0"/>
        <w:autoSpaceDN w:val="0"/>
        <w:adjustRightInd w:val="0"/>
        <w:jc w:val="center"/>
      </w:pPr>
      <w:r>
        <w:rPr>
          <w:rFonts w:ascii="Times New Roman" w:hAnsi="Times New Roman"/>
          <w:noProof/>
          <w:sz w:val="24"/>
          <w:szCs w:val="24"/>
          <w:lang w:eastAsia="pt-PT"/>
        </w:rPr>
        <w:drawing>
          <wp:inline distT="0" distB="0" distL="0" distR="0">
            <wp:extent cx="3623038" cy="1391478"/>
            <wp:effectExtent l="19050" t="0" r="0" b="0"/>
            <wp:docPr id="6" name="Imagem 1" descr="C:\Users\laura\Desktop\TESE\DP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esktop\TESE\DPPH\2.JPG"/>
                    <pic:cNvPicPr>
                      <a:picLocks noChangeAspect="1" noChangeArrowheads="1"/>
                    </pic:cNvPicPr>
                  </pic:nvPicPr>
                  <pic:blipFill>
                    <a:blip r:embed="rId15" cstate="print"/>
                    <a:srcRect/>
                    <a:stretch>
                      <a:fillRect/>
                    </a:stretch>
                  </pic:blipFill>
                  <pic:spPr bwMode="auto">
                    <a:xfrm>
                      <a:off x="0" y="0"/>
                      <a:ext cx="3623929" cy="1391820"/>
                    </a:xfrm>
                    <a:prstGeom prst="rect">
                      <a:avLst/>
                    </a:prstGeom>
                    <a:noFill/>
                    <a:ln w="9525">
                      <a:noFill/>
                      <a:miter lim="800000"/>
                      <a:headEnd/>
                      <a:tailEnd/>
                    </a:ln>
                  </pic:spPr>
                </pic:pic>
              </a:graphicData>
            </a:graphic>
          </wp:inline>
        </w:drawing>
      </w:r>
    </w:p>
    <w:p w:rsidR="00E66047" w:rsidRPr="001E20F8" w:rsidRDefault="00E66047" w:rsidP="001E20F8">
      <w:pPr>
        <w:pStyle w:val="Legenda"/>
        <w:jc w:val="both"/>
        <w:rPr>
          <w:rFonts w:ascii="Times New Roman" w:hAnsi="Times New Roman"/>
          <w:b w:val="0"/>
          <w:color w:val="auto"/>
          <w:sz w:val="20"/>
          <w:szCs w:val="20"/>
          <w:lang w:eastAsia="pt-PT"/>
        </w:rPr>
      </w:pPr>
      <w:r w:rsidRPr="001E20F8">
        <w:rPr>
          <w:rFonts w:ascii="Times New Roman" w:hAnsi="Times New Roman"/>
          <w:sz w:val="20"/>
          <w:szCs w:val="20"/>
        </w:rPr>
        <w:t xml:space="preserve">Figura </w:t>
      </w:r>
      <w:r w:rsidR="00EC7637">
        <w:rPr>
          <w:rFonts w:ascii="Times New Roman" w:hAnsi="Times New Roman"/>
          <w:sz w:val="20"/>
          <w:szCs w:val="20"/>
        </w:rPr>
        <w:t>8</w:t>
      </w:r>
      <w:r w:rsidRPr="001E20F8">
        <w:rPr>
          <w:rFonts w:ascii="Times New Roman" w:hAnsi="Times New Roman"/>
          <w:sz w:val="20"/>
          <w:szCs w:val="20"/>
        </w:rPr>
        <w:t xml:space="preserve"> </w:t>
      </w:r>
      <w:r w:rsidR="001E20F8" w:rsidRPr="001E20F8">
        <w:rPr>
          <w:rFonts w:ascii="Times New Roman" w:hAnsi="Times New Roman"/>
          <w:sz w:val="20"/>
          <w:szCs w:val="20"/>
        </w:rPr>
        <w:t>–</w:t>
      </w:r>
      <w:r w:rsidRPr="001E20F8">
        <w:rPr>
          <w:rFonts w:ascii="Times New Roman" w:hAnsi="Times New Roman"/>
          <w:sz w:val="20"/>
          <w:szCs w:val="20"/>
        </w:rPr>
        <w:t xml:space="preserve"> </w:t>
      </w:r>
      <w:r w:rsidR="001E20F8" w:rsidRPr="001E20F8">
        <w:rPr>
          <w:rFonts w:ascii="Times New Roman" w:hAnsi="Times New Roman"/>
          <w:b w:val="0"/>
          <w:color w:val="auto"/>
          <w:sz w:val="20"/>
          <w:szCs w:val="20"/>
        </w:rPr>
        <w:t xml:space="preserve">Ilustração da reacção de redução do radical livre </w:t>
      </w:r>
      <w:r w:rsidR="001E20F8" w:rsidRPr="001E20F8">
        <w:rPr>
          <w:rFonts w:ascii="Times New Roman" w:hAnsi="Times New Roman"/>
          <w:b w:val="0"/>
          <w:color w:val="auto"/>
          <w:sz w:val="20"/>
          <w:szCs w:val="20"/>
          <w:lang w:eastAsia="pt-PT"/>
        </w:rPr>
        <w:t>2,2-difenil-1-picrilhidrazilo (DPPH), através da doação de um átomo de hidrogénio por um agente antioxidante, com formação da forma não radical DPPH-H</w:t>
      </w:r>
      <w:r w:rsidR="001E20F8">
        <w:rPr>
          <w:rFonts w:ascii="Times New Roman" w:hAnsi="Times New Roman"/>
          <w:b w:val="0"/>
          <w:color w:val="auto"/>
          <w:sz w:val="20"/>
          <w:szCs w:val="20"/>
          <w:lang w:eastAsia="pt-PT"/>
        </w:rPr>
        <w:t xml:space="preserve"> (adaptado de Molyneux, 2003)</w:t>
      </w:r>
      <w:r w:rsidR="001E20F8" w:rsidRPr="001E20F8">
        <w:rPr>
          <w:rFonts w:ascii="Times New Roman" w:hAnsi="Times New Roman"/>
          <w:b w:val="0"/>
          <w:color w:val="auto"/>
          <w:sz w:val="20"/>
          <w:szCs w:val="20"/>
          <w:lang w:eastAsia="pt-PT"/>
        </w:rPr>
        <w:t xml:space="preserve">. </w:t>
      </w:r>
    </w:p>
    <w:p w:rsidR="00C748FC" w:rsidRDefault="00C748FC" w:rsidP="00C748FC">
      <w:pPr>
        <w:jc w:val="both"/>
        <w:rPr>
          <w:rFonts w:ascii="Times New Roman" w:hAnsi="Times New Roman"/>
          <w:sz w:val="24"/>
        </w:rPr>
      </w:pPr>
      <w:r>
        <w:rPr>
          <w:rFonts w:ascii="Times New Roman" w:hAnsi="Times New Roman"/>
          <w:sz w:val="24"/>
          <w:szCs w:val="24"/>
          <w:lang w:eastAsia="pt-PT"/>
        </w:rPr>
        <w:tab/>
      </w:r>
      <w:r w:rsidR="00607B43" w:rsidRPr="00C748FC">
        <w:rPr>
          <w:rFonts w:ascii="Times New Roman" w:hAnsi="Times New Roman"/>
          <w:sz w:val="24"/>
          <w:szCs w:val="24"/>
          <w:lang w:eastAsia="pt-PT"/>
        </w:rPr>
        <w:t xml:space="preserve">A capacidade redutora de um composto pode ser um indicador significativo de uma potencial actividade antioxidante (Karawita </w:t>
      </w:r>
      <w:r w:rsidR="00607B43" w:rsidRPr="00116E01">
        <w:rPr>
          <w:rFonts w:ascii="Times New Roman" w:hAnsi="Times New Roman"/>
          <w:i/>
          <w:sz w:val="24"/>
          <w:szCs w:val="24"/>
          <w:lang w:eastAsia="pt-PT"/>
        </w:rPr>
        <w:t>et al</w:t>
      </w:r>
      <w:r w:rsidR="00607B43" w:rsidRPr="00C748FC">
        <w:rPr>
          <w:rFonts w:ascii="Times New Roman" w:hAnsi="Times New Roman"/>
          <w:sz w:val="24"/>
          <w:szCs w:val="24"/>
          <w:lang w:eastAsia="pt-PT"/>
        </w:rPr>
        <w:t>., 2005).</w:t>
      </w:r>
      <w:r w:rsidRPr="00C748FC">
        <w:rPr>
          <w:rFonts w:ascii="Times New Roman" w:hAnsi="Times New Roman"/>
          <w:sz w:val="24"/>
        </w:rPr>
        <w:t xml:space="preserve"> O poder redutor dos extractos da i</w:t>
      </w:r>
      <w:r>
        <w:rPr>
          <w:rFonts w:ascii="Times New Roman" w:hAnsi="Times New Roman"/>
          <w:sz w:val="24"/>
        </w:rPr>
        <w:t>ndústria do azeite é determinado</w:t>
      </w:r>
      <w:r w:rsidRPr="00C748FC">
        <w:rPr>
          <w:rFonts w:ascii="Times New Roman" w:hAnsi="Times New Roman"/>
          <w:sz w:val="24"/>
        </w:rPr>
        <w:t xml:space="preserve"> de</w:t>
      </w:r>
      <w:r>
        <w:rPr>
          <w:rFonts w:ascii="Times New Roman" w:hAnsi="Times New Roman"/>
          <w:sz w:val="24"/>
        </w:rPr>
        <w:t xml:space="preserve"> acordo com o método de Oyaizu, 1986</w:t>
      </w:r>
      <w:r w:rsidRPr="00C748FC">
        <w:rPr>
          <w:rFonts w:ascii="Times New Roman" w:hAnsi="Times New Roman"/>
          <w:sz w:val="24"/>
        </w:rPr>
        <w:t xml:space="preserve">. Neste ensaio, a presença de </w:t>
      </w:r>
      <w:r>
        <w:rPr>
          <w:rFonts w:ascii="Times New Roman" w:hAnsi="Times New Roman"/>
          <w:sz w:val="24"/>
        </w:rPr>
        <w:t xml:space="preserve">agentes </w:t>
      </w:r>
      <w:r w:rsidRPr="00C748FC">
        <w:rPr>
          <w:rFonts w:ascii="Times New Roman" w:hAnsi="Times New Roman"/>
          <w:sz w:val="24"/>
        </w:rPr>
        <w:t>redutores na solução</w:t>
      </w:r>
      <w:r>
        <w:rPr>
          <w:rFonts w:ascii="Times New Roman" w:hAnsi="Times New Roman"/>
          <w:sz w:val="24"/>
        </w:rPr>
        <w:t>, como os compostos antioxidantes,</w:t>
      </w:r>
      <w:r w:rsidRPr="00C748FC">
        <w:rPr>
          <w:rFonts w:ascii="Times New Roman" w:hAnsi="Times New Roman"/>
          <w:sz w:val="24"/>
        </w:rPr>
        <w:t xml:space="preserve"> provoca a redução do </w:t>
      </w:r>
      <w:r w:rsidR="00700955">
        <w:rPr>
          <w:rFonts w:ascii="Times New Roman" w:hAnsi="Times New Roman"/>
          <w:sz w:val="24"/>
        </w:rPr>
        <w:t xml:space="preserve">complexo </w:t>
      </w:r>
      <w:r w:rsidRPr="00C748FC">
        <w:rPr>
          <w:rFonts w:ascii="Times New Roman" w:hAnsi="Times New Roman"/>
          <w:sz w:val="24"/>
        </w:rPr>
        <w:t>Fe</w:t>
      </w:r>
      <w:r w:rsidRPr="00C748FC">
        <w:rPr>
          <w:rFonts w:ascii="Times New Roman" w:hAnsi="Times New Roman"/>
          <w:sz w:val="24"/>
          <w:vertAlign w:val="superscript"/>
        </w:rPr>
        <w:t>3+</w:t>
      </w:r>
      <w:r w:rsidR="00700955">
        <w:rPr>
          <w:rFonts w:ascii="Times New Roman" w:hAnsi="Times New Roman"/>
          <w:sz w:val="24"/>
        </w:rPr>
        <w:t xml:space="preserve">, com consequente formação de um </w:t>
      </w:r>
      <w:r w:rsidR="00700955">
        <w:rPr>
          <w:rFonts w:ascii="Times New Roman" w:hAnsi="Times New Roman"/>
          <w:sz w:val="24"/>
        </w:rPr>
        <w:lastRenderedPageBreak/>
        <w:t>complexo colorido com</w:t>
      </w:r>
      <w:r w:rsidRPr="00C748FC">
        <w:rPr>
          <w:rFonts w:ascii="Times New Roman" w:hAnsi="Times New Roman"/>
          <w:sz w:val="24"/>
        </w:rPr>
        <w:t xml:space="preserve"> Fe</w:t>
      </w:r>
      <w:r w:rsidRPr="00C748FC">
        <w:rPr>
          <w:rFonts w:ascii="Times New Roman" w:hAnsi="Times New Roman"/>
          <w:sz w:val="24"/>
          <w:vertAlign w:val="superscript"/>
        </w:rPr>
        <w:t>2+</w:t>
      </w:r>
      <w:r w:rsidRPr="00C748FC">
        <w:rPr>
          <w:rFonts w:ascii="Times New Roman" w:hAnsi="Times New Roman"/>
          <w:sz w:val="24"/>
        </w:rPr>
        <w:t>. A cor da solução é alterada para verde e azul consoante o pod</w:t>
      </w:r>
      <w:r w:rsidR="00F20535">
        <w:rPr>
          <w:rFonts w:ascii="Times New Roman" w:hAnsi="Times New Roman"/>
          <w:sz w:val="24"/>
        </w:rPr>
        <w:t>er redutor do extracto (Pereira</w:t>
      </w:r>
      <w:r w:rsidRPr="00C748FC">
        <w:rPr>
          <w:rFonts w:ascii="Times New Roman" w:hAnsi="Times New Roman"/>
          <w:sz w:val="24"/>
        </w:rPr>
        <w:t xml:space="preserve"> </w:t>
      </w:r>
      <w:r w:rsidRPr="00C748FC">
        <w:rPr>
          <w:rFonts w:ascii="Times New Roman" w:hAnsi="Times New Roman"/>
          <w:i/>
          <w:sz w:val="24"/>
        </w:rPr>
        <w:t>et al</w:t>
      </w:r>
      <w:r w:rsidR="00F20535">
        <w:rPr>
          <w:rFonts w:ascii="Times New Roman" w:hAnsi="Times New Roman"/>
          <w:i/>
          <w:sz w:val="24"/>
        </w:rPr>
        <w:t>.</w:t>
      </w:r>
      <w:r w:rsidRPr="00C748FC">
        <w:rPr>
          <w:rFonts w:ascii="Times New Roman" w:hAnsi="Times New Roman"/>
          <w:sz w:val="24"/>
        </w:rPr>
        <w:t>, 2007</w:t>
      </w:r>
      <w:r>
        <w:rPr>
          <w:rFonts w:ascii="Times New Roman" w:hAnsi="Times New Roman"/>
          <w:sz w:val="24"/>
        </w:rPr>
        <w:t xml:space="preserve">; </w:t>
      </w:r>
      <w:r>
        <w:rPr>
          <w:rFonts w:ascii="Times New Roman" w:hAnsi="Times New Roman"/>
          <w:sz w:val="24"/>
          <w:szCs w:val="24"/>
          <w:lang w:eastAsia="pt-PT"/>
        </w:rPr>
        <w:t xml:space="preserve">Santos </w:t>
      </w:r>
      <w:r w:rsidRPr="00A620C3">
        <w:rPr>
          <w:rFonts w:ascii="Times New Roman" w:hAnsi="Times New Roman"/>
          <w:i/>
          <w:sz w:val="24"/>
          <w:szCs w:val="24"/>
          <w:lang w:eastAsia="pt-PT"/>
        </w:rPr>
        <w:t>et al</w:t>
      </w:r>
      <w:r>
        <w:rPr>
          <w:rFonts w:ascii="Times New Roman" w:hAnsi="Times New Roman"/>
          <w:sz w:val="24"/>
          <w:szCs w:val="24"/>
          <w:lang w:eastAsia="pt-PT"/>
        </w:rPr>
        <w:t>., 2007)</w:t>
      </w:r>
      <w:r w:rsidRPr="00C748FC">
        <w:rPr>
          <w:rFonts w:ascii="Times New Roman" w:hAnsi="Times New Roman"/>
          <w:sz w:val="24"/>
        </w:rPr>
        <w:t xml:space="preserve">. </w:t>
      </w:r>
    </w:p>
    <w:p w:rsidR="00C94A68" w:rsidRPr="00E37388" w:rsidRDefault="00C94A68" w:rsidP="00C748FC">
      <w:pPr>
        <w:jc w:val="both"/>
        <w:rPr>
          <w:rFonts w:ascii="Times New Roman" w:hAnsi="Times New Roman"/>
          <w:sz w:val="24"/>
        </w:rPr>
      </w:pPr>
      <w:r>
        <w:rPr>
          <w:rFonts w:ascii="Times New Roman" w:hAnsi="Times New Roman"/>
          <w:sz w:val="24"/>
        </w:rPr>
        <w:tab/>
        <w:t>Os organismos aerób</w:t>
      </w:r>
      <w:r w:rsidR="00F064E6">
        <w:rPr>
          <w:rFonts w:ascii="Times New Roman" w:hAnsi="Times New Roman"/>
          <w:sz w:val="24"/>
        </w:rPr>
        <w:t>io</w:t>
      </w:r>
      <w:r>
        <w:rPr>
          <w:rFonts w:ascii="Times New Roman" w:hAnsi="Times New Roman"/>
          <w:sz w:val="24"/>
        </w:rPr>
        <w:t xml:space="preserve">s têm </w:t>
      </w:r>
      <w:r w:rsidR="00F064E6">
        <w:rPr>
          <w:rFonts w:ascii="Times New Roman" w:hAnsi="Times New Roman"/>
          <w:sz w:val="24"/>
        </w:rPr>
        <w:t>uma relação</w:t>
      </w:r>
      <w:r>
        <w:rPr>
          <w:rFonts w:ascii="Times New Roman" w:hAnsi="Times New Roman"/>
          <w:sz w:val="24"/>
        </w:rPr>
        <w:t xml:space="preserve"> </w:t>
      </w:r>
      <w:r w:rsidR="00F064E6">
        <w:rPr>
          <w:rFonts w:ascii="Times New Roman" w:hAnsi="Times New Roman"/>
          <w:sz w:val="24"/>
        </w:rPr>
        <w:t xml:space="preserve">ambígua com as ROS geradas durante o seu metabolismo celular normal, pois uma vez produzidas necessitam de evitar os danos oxidativos de que são alvo. </w:t>
      </w:r>
      <w:r w:rsidR="00F064E6" w:rsidRPr="009F67E5">
        <w:rPr>
          <w:rFonts w:ascii="Times New Roman" w:hAnsi="Times New Roman"/>
          <w:sz w:val="24"/>
        </w:rPr>
        <w:t>Deste modo, os antioxidant</w:t>
      </w:r>
      <w:r w:rsidR="009F67E5">
        <w:rPr>
          <w:rFonts w:ascii="Times New Roman" w:hAnsi="Times New Roman"/>
          <w:sz w:val="24"/>
        </w:rPr>
        <w:t>e</w:t>
      </w:r>
      <w:r w:rsidR="00F064E6" w:rsidRPr="009F67E5">
        <w:rPr>
          <w:rFonts w:ascii="Times New Roman" w:hAnsi="Times New Roman"/>
          <w:sz w:val="24"/>
        </w:rPr>
        <w:t xml:space="preserve">s celulares e enzimas </w:t>
      </w:r>
      <w:r w:rsidR="009F67E5">
        <w:rPr>
          <w:rFonts w:ascii="Times New Roman" w:hAnsi="Times New Roman"/>
          <w:sz w:val="24"/>
        </w:rPr>
        <w:t>têm</w:t>
      </w:r>
      <w:r w:rsidR="009F67E5" w:rsidRPr="009F67E5">
        <w:rPr>
          <w:rFonts w:ascii="Times New Roman" w:hAnsi="Times New Roman"/>
          <w:sz w:val="24"/>
        </w:rPr>
        <w:t xml:space="preserve"> evoluído </w:t>
      </w:r>
      <w:r w:rsidR="009F67E5">
        <w:rPr>
          <w:rFonts w:ascii="Times New Roman" w:hAnsi="Times New Roman"/>
          <w:sz w:val="24"/>
        </w:rPr>
        <w:t xml:space="preserve">no </w:t>
      </w:r>
      <w:r w:rsidR="009F67E5" w:rsidRPr="009F67E5">
        <w:rPr>
          <w:rFonts w:ascii="Times New Roman" w:hAnsi="Times New Roman"/>
          <w:sz w:val="24"/>
        </w:rPr>
        <w:t>sentido</w:t>
      </w:r>
      <w:r w:rsidR="009F67E5">
        <w:rPr>
          <w:rFonts w:ascii="Times New Roman" w:hAnsi="Times New Roman"/>
          <w:sz w:val="24"/>
        </w:rPr>
        <w:t xml:space="preserve"> </w:t>
      </w:r>
      <w:r w:rsidR="009F67E5" w:rsidRPr="009F67E5">
        <w:rPr>
          <w:rFonts w:ascii="Times New Roman" w:hAnsi="Times New Roman"/>
          <w:sz w:val="24"/>
        </w:rPr>
        <w:t xml:space="preserve">de </w:t>
      </w:r>
      <w:r w:rsidR="009F67E5">
        <w:rPr>
          <w:rFonts w:ascii="Times New Roman" w:hAnsi="Times New Roman"/>
          <w:sz w:val="24"/>
        </w:rPr>
        <w:t>desintoxicar rapidamente o meio intracelular de moléculas de oxigénio potencialmente nocivas. A</w:t>
      </w:r>
      <w:r w:rsidR="00E37388">
        <w:rPr>
          <w:rFonts w:ascii="Times New Roman" w:hAnsi="Times New Roman"/>
          <w:sz w:val="24"/>
        </w:rPr>
        <w:t>lgumas</w:t>
      </w:r>
      <w:r w:rsidR="009F67E5">
        <w:rPr>
          <w:rFonts w:ascii="Times New Roman" w:hAnsi="Times New Roman"/>
          <w:sz w:val="24"/>
        </w:rPr>
        <w:t xml:space="preserve"> ROS</w:t>
      </w:r>
      <w:r w:rsidR="00E37388">
        <w:rPr>
          <w:rFonts w:ascii="Times New Roman" w:hAnsi="Times New Roman"/>
          <w:sz w:val="24"/>
        </w:rPr>
        <w:t xml:space="preserve"> como o anião superóxido </w:t>
      </w:r>
      <w:r w:rsidR="00E37388" w:rsidRPr="00E37388">
        <w:rPr>
          <w:rFonts w:ascii="Times-Roman" w:hAnsi="Times-Roman" w:cs="Times-Roman"/>
          <w:sz w:val="24"/>
          <w:szCs w:val="18"/>
          <w:lang w:eastAsia="pt-PT"/>
        </w:rPr>
        <w:t>(O</w:t>
      </w:r>
      <w:r w:rsidR="00E37388" w:rsidRPr="00E37388">
        <w:rPr>
          <w:rFonts w:ascii="Times-Roman" w:hAnsi="Times-Roman" w:cs="Times-Roman"/>
          <w:sz w:val="24"/>
          <w:szCs w:val="18"/>
          <w:vertAlign w:val="subscript"/>
          <w:lang w:eastAsia="pt-PT"/>
        </w:rPr>
        <w:t>2</w:t>
      </w:r>
      <w:r w:rsidR="00E37388" w:rsidRPr="00E37388">
        <w:rPr>
          <w:rFonts w:ascii="Times-Roman" w:hAnsi="Times-Roman" w:cs="Times-Roman"/>
          <w:sz w:val="24"/>
          <w:szCs w:val="18"/>
          <w:vertAlign w:val="superscript"/>
          <w:lang w:eastAsia="pt-PT"/>
        </w:rPr>
        <w:t>-</w:t>
      </w:r>
      <w:r w:rsidR="00E37388" w:rsidRPr="00E37388">
        <w:rPr>
          <w:rFonts w:ascii="Times-Roman" w:hAnsi="Times-Roman" w:cs="Times-Roman"/>
          <w:sz w:val="24"/>
          <w:szCs w:val="18"/>
          <w:lang w:eastAsia="pt-PT"/>
        </w:rPr>
        <w:t>)</w:t>
      </w:r>
      <w:r w:rsidR="00E37388">
        <w:rPr>
          <w:rFonts w:ascii="Times-Roman" w:hAnsi="Times-Roman" w:cs="Times-Roman"/>
          <w:sz w:val="24"/>
          <w:szCs w:val="18"/>
          <w:lang w:eastAsia="pt-PT"/>
        </w:rPr>
        <w:t xml:space="preserve">, o peróxido de </w:t>
      </w:r>
      <w:r w:rsidR="00E37388" w:rsidRPr="00E37388">
        <w:rPr>
          <w:rFonts w:ascii="Times-Roman" w:hAnsi="Times-Roman" w:cs="Times-Roman"/>
          <w:sz w:val="24"/>
          <w:szCs w:val="24"/>
          <w:lang w:eastAsia="pt-PT"/>
        </w:rPr>
        <w:t xml:space="preserve">hidrogénio </w:t>
      </w:r>
      <w:r w:rsidR="00E37388" w:rsidRPr="00E37388">
        <w:rPr>
          <w:rFonts w:ascii="Times New Roman" w:hAnsi="Times New Roman"/>
          <w:sz w:val="24"/>
          <w:szCs w:val="24"/>
          <w:lang w:eastAsia="pt-PT"/>
        </w:rPr>
        <w:t>(H</w:t>
      </w:r>
      <w:r w:rsidR="00E37388" w:rsidRPr="00E37388">
        <w:rPr>
          <w:rFonts w:ascii="Times New Roman" w:hAnsi="Times New Roman"/>
          <w:sz w:val="24"/>
          <w:szCs w:val="24"/>
          <w:vertAlign w:val="subscript"/>
          <w:lang w:eastAsia="pt-PT"/>
        </w:rPr>
        <w:t>2</w:t>
      </w:r>
      <w:r w:rsidR="00FC7CBE">
        <w:rPr>
          <w:rFonts w:ascii="Times New Roman" w:hAnsi="Times New Roman"/>
          <w:sz w:val="24"/>
          <w:szCs w:val="24"/>
          <w:lang w:eastAsia="pt-PT"/>
        </w:rPr>
        <w:t>O</w:t>
      </w:r>
      <w:r w:rsidR="00E37388" w:rsidRPr="00E37388">
        <w:rPr>
          <w:rFonts w:ascii="Times New Roman" w:hAnsi="Times New Roman"/>
          <w:sz w:val="24"/>
          <w:szCs w:val="24"/>
          <w:vertAlign w:val="subscript"/>
          <w:lang w:eastAsia="pt-PT"/>
        </w:rPr>
        <w:t>2</w:t>
      </w:r>
      <w:r w:rsidR="00E37388" w:rsidRPr="00E37388">
        <w:rPr>
          <w:rFonts w:ascii="Times New Roman" w:hAnsi="Times New Roman"/>
          <w:sz w:val="24"/>
          <w:szCs w:val="24"/>
          <w:lang w:eastAsia="pt-PT"/>
        </w:rPr>
        <w:t xml:space="preserve">), </w:t>
      </w:r>
      <w:r w:rsidR="00E37388" w:rsidRPr="00E37388">
        <w:rPr>
          <w:rFonts w:ascii="Times New Roman" w:hAnsi="Times New Roman"/>
          <w:sz w:val="24"/>
          <w:szCs w:val="24"/>
        </w:rPr>
        <w:t>e o radical hidroxilo</w:t>
      </w:r>
      <w:r w:rsidR="00E37388">
        <w:rPr>
          <w:rFonts w:ascii="Times New Roman" w:hAnsi="Times New Roman"/>
          <w:sz w:val="24"/>
          <w:szCs w:val="24"/>
        </w:rPr>
        <w:t xml:space="preserve"> </w:t>
      </w:r>
      <w:r w:rsidR="00E37388">
        <w:rPr>
          <w:rFonts w:ascii="Times-Roman" w:hAnsi="Times-Roman" w:cs="Times-Roman"/>
          <w:sz w:val="24"/>
          <w:szCs w:val="18"/>
          <w:lang w:eastAsia="pt-PT"/>
        </w:rPr>
        <w:t>(OH</w:t>
      </w:r>
      <w:r w:rsidR="00E37388" w:rsidRPr="00E37388">
        <w:rPr>
          <w:rFonts w:ascii="Times New Roman" w:hAnsi="Times New Roman"/>
          <w:b/>
          <w:sz w:val="24"/>
          <w:szCs w:val="18"/>
          <w:vertAlign w:val="superscript"/>
          <w:lang w:eastAsia="pt-PT"/>
        </w:rPr>
        <w:t>·</w:t>
      </w:r>
      <w:r w:rsidR="00E37388" w:rsidRPr="00E37388">
        <w:rPr>
          <w:rFonts w:ascii="Times-Roman" w:hAnsi="Times-Roman" w:cs="Times-Roman"/>
          <w:sz w:val="24"/>
          <w:szCs w:val="18"/>
          <w:lang w:eastAsia="pt-PT"/>
        </w:rPr>
        <w:t>)</w:t>
      </w:r>
      <w:r w:rsidR="00E37388">
        <w:rPr>
          <w:rFonts w:ascii="Times New Roman" w:hAnsi="Times New Roman"/>
          <w:sz w:val="24"/>
        </w:rPr>
        <w:t xml:space="preserve">, são conhecidas pela sua elevada reactividade e danos celulares resultantes nas proteínas, lípidos membranares, e no ADN. </w:t>
      </w:r>
      <w:r w:rsidR="00E37388" w:rsidRPr="00E37388">
        <w:rPr>
          <w:rFonts w:ascii="Times New Roman" w:hAnsi="Times New Roman"/>
          <w:sz w:val="24"/>
        </w:rPr>
        <w:t xml:space="preserve">A redução enzimática do </w:t>
      </w:r>
      <w:r w:rsidR="00E37388">
        <w:rPr>
          <w:rFonts w:ascii="Times New Roman" w:hAnsi="Times New Roman"/>
          <w:sz w:val="24"/>
        </w:rPr>
        <w:t>peróxido</w:t>
      </w:r>
      <w:r w:rsidR="00E37388" w:rsidRPr="00E37388">
        <w:rPr>
          <w:rFonts w:ascii="Times New Roman" w:hAnsi="Times New Roman"/>
          <w:sz w:val="24"/>
        </w:rPr>
        <w:t xml:space="preserve"> de hidrogénio e do a</w:t>
      </w:r>
      <w:r w:rsidR="00E37388">
        <w:rPr>
          <w:rFonts w:ascii="Times New Roman" w:hAnsi="Times New Roman"/>
          <w:sz w:val="24"/>
        </w:rPr>
        <w:t>nião superóxido e sua subsequente remoção é facilitada nas leveduras pela super</w:t>
      </w:r>
      <w:r w:rsidR="00680153">
        <w:rPr>
          <w:rFonts w:ascii="Times New Roman" w:hAnsi="Times New Roman"/>
          <w:sz w:val="24"/>
        </w:rPr>
        <w:t>ó</w:t>
      </w:r>
      <w:r w:rsidR="00E37388">
        <w:rPr>
          <w:rFonts w:ascii="Times New Roman" w:hAnsi="Times New Roman"/>
          <w:sz w:val="24"/>
        </w:rPr>
        <w:t>xido dismutase</w:t>
      </w:r>
      <w:r w:rsidR="00680153">
        <w:rPr>
          <w:rFonts w:ascii="Times New Roman" w:hAnsi="Times New Roman"/>
          <w:sz w:val="24"/>
        </w:rPr>
        <w:t xml:space="preserve"> (SOD)</w:t>
      </w:r>
      <w:r w:rsidR="00E37388">
        <w:rPr>
          <w:rFonts w:ascii="Times New Roman" w:hAnsi="Times New Roman"/>
          <w:sz w:val="24"/>
        </w:rPr>
        <w:t xml:space="preserve">, catalases, e </w:t>
      </w:r>
      <w:r w:rsidR="00680153">
        <w:rPr>
          <w:rFonts w:ascii="Times New Roman" w:hAnsi="Times New Roman"/>
          <w:sz w:val="24"/>
        </w:rPr>
        <w:t>citocromo C peroxidase</w:t>
      </w:r>
      <w:r w:rsidR="006E3DF7">
        <w:rPr>
          <w:rFonts w:ascii="Times New Roman" w:hAnsi="Times New Roman"/>
          <w:sz w:val="24"/>
        </w:rPr>
        <w:t xml:space="preserve"> (Davidson </w:t>
      </w:r>
      <w:r w:rsidR="006E3DF7" w:rsidRPr="00F41FBF">
        <w:rPr>
          <w:rFonts w:ascii="Times New Roman" w:hAnsi="Times New Roman"/>
          <w:i/>
          <w:sz w:val="24"/>
        </w:rPr>
        <w:t>et al</w:t>
      </w:r>
      <w:r w:rsidR="006E3DF7">
        <w:rPr>
          <w:rFonts w:ascii="Times New Roman" w:hAnsi="Times New Roman"/>
          <w:sz w:val="24"/>
        </w:rPr>
        <w:t>., 1996)</w:t>
      </w:r>
      <w:r w:rsidR="00680153">
        <w:rPr>
          <w:rFonts w:ascii="Times New Roman" w:hAnsi="Times New Roman"/>
          <w:sz w:val="24"/>
        </w:rPr>
        <w:t xml:space="preserve">. </w:t>
      </w:r>
    </w:p>
    <w:p w:rsidR="00A31C81" w:rsidRDefault="00A31C81" w:rsidP="00A53C32">
      <w:pPr>
        <w:autoSpaceDE w:val="0"/>
        <w:autoSpaceDN w:val="0"/>
        <w:adjustRightInd w:val="0"/>
        <w:spacing w:after="0" w:line="240" w:lineRule="auto"/>
        <w:rPr>
          <w:rFonts w:ascii="Times-Roman" w:hAnsi="Times-Roman" w:cs="Times-Roman"/>
          <w:sz w:val="18"/>
          <w:szCs w:val="18"/>
          <w:lang w:eastAsia="pt-PT"/>
        </w:rPr>
      </w:pPr>
    </w:p>
    <w:p w:rsidR="00A31C81" w:rsidRPr="00680153" w:rsidRDefault="00A31C81" w:rsidP="00A53C32">
      <w:pPr>
        <w:autoSpaceDE w:val="0"/>
        <w:autoSpaceDN w:val="0"/>
        <w:adjustRightInd w:val="0"/>
        <w:spacing w:after="0" w:line="240" w:lineRule="auto"/>
        <w:rPr>
          <w:rFonts w:ascii="Times-Roman" w:hAnsi="Times-Roman" w:cs="Times-Roman"/>
          <w:sz w:val="18"/>
          <w:szCs w:val="18"/>
          <w:lang w:eastAsia="pt-PT"/>
        </w:rPr>
      </w:pPr>
    </w:p>
    <w:p w:rsidR="00680153" w:rsidRDefault="00680153" w:rsidP="00A53C32">
      <w:pPr>
        <w:autoSpaceDE w:val="0"/>
        <w:autoSpaceDN w:val="0"/>
        <w:adjustRightInd w:val="0"/>
        <w:spacing w:after="0" w:line="240" w:lineRule="auto"/>
        <w:rPr>
          <w:rFonts w:ascii="Times-Roman" w:hAnsi="Times-Roman" w:cs="Times-Roman"/>
          <w:sz w:val="18"/>
          <w:szCs w:val="18"/>
          <w:lang w:eastAsia="pt-PT"/>
        </w:rPr>
      </w:pPr>
    </w:p>
    <w:p w:rsidR="0069212F" w:rsidRPr="00416C60" w:rsidRDefault="0069212F" w:rsidP="00A33698">
      <w:pPr>
        <w:pStyle w:val="PargrafodaLista"/>
        <w:numPr>
          <w:ilvl w:val="0"/>
          <w:numId w:val="38"/>
        </w:numPr>
        <w:autoSpaceDE w:val="0"/>
        <w:autoSpaceDN w:val="0"/>
        <w:adjustRightInd w:val="0"/>
        <w:spacing w:after="0" w:line="240" w:lineRule="auto"/>
        <w:ind w:left="993" w:hanging="567"/>
        <w:rPr>
          <w:rFonts w:ascii="Times New Roman" w:hAnsi="Times New Roman"/>
          <w:b/>
          <w:sz w:val="28"/>
          <w:szCs w:val="28"/>
        </w:rPr>
      </w:pPr>
      <w:r w:rsidRPr="00A53C32">
        <w:rPr>
          <w:rFonts w:ascii="Times New Roman" w:hAnsi="Times New Roman"/>
          <w:b/>
          <w:sz w:val="28"/>
          <w:szCs w:val="28"/>
        </w:rPr>
        <w:t xml:space="preserve">O </w:t>
      </w:r>
      <w:r w:rsidR="0060643D" w:rsidRPr="00A53C32">
        <w:rPr>
          <w:rFonts w:ascii="Times New Roman" w:hAnsi="Times New Roman"/>
          <w:b/>
          <w:sz w:val="28"/>
          <w:szCs w:val="28"/>
        </w:rPr>
        <w:t>Cancro</w:t>
      </w:r>
      <w:r w:rsidRPr="00A53C32">
        <w:rPr>
          <w:rFonts w:ascii="Times New Roman" w:hAnsi="Times New Roman"/>
          <w:b/>
          <w:sz w:val="28"/>
          <w:szCs w:val="28"/>
        </w:rPr>
        <w:t xml:space="preserve"> e sua origem</w:t>
      </w:r>
      <w:r w:rsidRPr="00416C60">
        <w:rPr>
          <w:rFonts w:ascii="Times New Roman" w:hAnsi="Times New Roman"/>
          <w:b/>
          <w:sz w:val="28"/>
          <w:szCs w:val="28"/>
        </w:rPr>
        <w:t xml:space="preserve"> </w:t>
      </w:r>
      <w:r w:rsidR="0060643D" w:rsidRPr="00416C60">
        <w:rPr>
          <w:rFonts w:ascii="Times New Roman" w:hAnsi="Times New Roman"/>
          <w:b/>
          <w:sz w:val="28"/>
          <w:szCs w:val="28"/>
        </w:rPr>
        <w:t xml:space="preserve"> </w:t>
      </w:r>
    </w:p>
    <w:p w:rsidR="00B245FE" w:rsidRPr="00B245FE" w:rsidRDefault="00B245FE" w:rsidP="00B245FE">
      <w:pPr>
        <w:pStyle w:val="PargrafodaLista"/>
        <w:jc w:val="both"/>
        <w:rPr>
          <w:rFonts w:ascii="Times New Roman" w:hAnsi="Times New Roman"/>
          <w:b/>
          <w:sz w:val="28"/>
          <w:szCs w:val="28"/>
        </w:rPr>
      </w:pPr>
    </w:p>
    <w:p w:rsidR="007A7471" w:rsidRDefault="000467F7" w:rsidP="007A7471">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De acordo com relatórios recentes da Organização Mundial de Saúde de 2005, de um total de 58 milhões de mortes em todo o</w:t>
      </w:r>
      <w:r w:rsidR="007A7471">
        <w:rPr>
          <w:rFonts w:ascii="Times New Roman" w:hAnsi="Times New Roman"/>
          <w:sz w:val="24"/>
          <w:szCs w:val="24"/>
        </w:rPr>
        <w:t xml:space="preserve"> mundo 13% deveram-se ao cancro. A</w:t>
      </w:r>
      <w:r>
        <w:rPr>
          <w:rFonts w:ascii="Times New Roman" w:hAnsi="Times New Roman"/>
          <w:sz w:val="24"/>
          <w:szCs w:val="24"/>
        </w:rPr>
        <w:t xml:space="preserve">ctualmente </w:t>
      </w:r>
      <w:r w:rsidR="007A7471">
        <w:rPr>
          <w:rFonts w:ascii="Times New Roman" w:hAnsi="Times New Roman"/>
          <w:sz w:val="24"/>
          <w:szCs w:val="24"/>
        </w:rPr>
        <w:t xml:space="preserve">surgem </w:t>
      </w:r>
      <w:r>
        <w:rPr>
          <w:rFonts w:ascii="Times New Roman" w:hAnsi="Times New Roman"/>
          <w:sz w:val="24"/>
          <w:szCs w:val="24"/>
        </w:rPr>
        <w:t>mais de 10 milhões de casos de cancro por ano</w:t>
      </w:r>
      <w:r w:rsidR="007A7471">
        <w:rPr>
          <w:rFonts w:ascii="Times New Roman" w:hAnsi="Times New Roman"/>
          <w:sz w:val="24"/>
          <w:szCs w:val="24"/>
        </w:rPr>
        <w:t>, e aproximadamente 7 milhões de mortes são registadas globalmente, havendo projecções de que este valor duplicará pelo ano de 2030 (Huang</w:t>
      </w:r>
      <w:r>
        <w:rPr>
          <w:rFonts w:ascii="Times New Roman" w:hAnsi="Times New Roman"/>
          <w:sz w:val="24"/>
          <w:szCs w:val="24"/>
        </w:rPr>
        <w:t xml:space="preserve"> </w:t>
      </w:r>
      <w:r w:rsidRPr="007B72C1">
        <w:rPr>
          <w:rFonts w:ascii="Times New Roman" w:hAnsi="Times New Roman"/>
          <w:i/>
          <w:sz w:val="24"/>
          <w:szCs w:val="24"/>
        </w:rPr>
        <w:t>et al</w:t>
      </w:r>
      <w:r>
        <w:rPr>
          <w:rFonts w:ascii="Times New Roman" w:hAnsi="Times New Roman"/>
          <w:i/>
          <w:sz w:val="24"/>
          <w:szCs w:val="24"/>
        </w:rPr>
        <w:t>.</w:t>
      </w:r>
      <w:r>
        <w:rPr>
          <w:rFonts w:ascii="Times New Roman" w:hAnsi="Times New Roman"/>
          <w:sz w:val="24"/>
          <w:szCs w:val="24"/>
        </w:rPr>
        <w:t>, 2010</w:t>
      </w:r>
      <w:r w:rsidR="007A7471">
        <w:rPr>
          <w:rFonts w:ascii="Times New Roman" w:hAnsi="Times New Roman"/>
          <w:sz w:val="24"/>
          <w:szCs w:val="24"/>
        </w:rPr>
        <w:t xml:space="preserve">; Verberne </w:t>
      </w:r>
      <w:r w:rsidR="007A7471" w:rsidRPr="007B72C1">
        <w:rPr>
          <w:rFonts w:ascii="Times New Roman" w:hAnsi="Times New Roman"/>
          <w:i/>
          <w:sz w:val="24"/>
          <w:szCs w:val="24"/>
        </w:rPr>
        <w:t>et al</w:t>
      </w:r>
      <w:r w:rsidR="007A7471">
        <w:rPr>
          <w:rFonts w:ascii="Times New Roman" w:hAnsi="Times New Roman"/>
          <w:i/>
          <w:sz w:val="24"/>
          <w:szCs w:val="24"/>
        </w:rPr>
        <w:t>.</w:t>
      </w:r>
      <w:r w:rsidR="007A7471">
        <w:rPr>
          <w:rFonts w:ascii="Times New Roman" w:hAnsi="Times New Roman"/>
          <w:sz w:val="24"/>
          <w:szCs w:val="24"/>
        </w:rPr>
        <w:t>, 2010</w:t>
      </w:r>
      <w:r>
        <w:rPr>
          <w:rFonts w:ascii="Times New Roman" w:hAnsi="Times New Roman"/>
          <w:sz w:val="24"/>
          <w:szCs w:val="24"/>
        </w:rPr>
        <w:t>)</w:t>
      </w:r>
      <w:r w:rsidR="007A7471">
        <w:rPr>
          <w:rFonts w:ascii="Times New Roman" w:hAnsi="Times New Roman"/>
          <w:sz w:val="24"/>
          <w:szCs w:val="24"/>
        </w:rPr>
        <w:t>, constituindo</w:t>
      </w:r>
      <w:r w:rsidR="005A0E33">
        <w:rPr>
          <w:rFonts w:ascii="Times New Roman" w:hAnsi="Times New Roman"/>
          <w:sz w:val="24"/>
          <w:szCs w:val="24"/>
        </w:rPr>
        <w:t xml:space="preserve"> </w:t>
      </w:r>
      <w:r w:rsidR="00A9705D" w:rsidRPr="00A9705D">
        <w:rPr>
          <w:rFonts w:ascii="Times New Roman" w:hAnsi="Times New Roman"/>
          <w:sz w:val="24"/>
          <w:szCs w:val="24"/>
        </w:rPr>
        <w:t>um dos maiores problemas de saúde pública nos</w:t>
      </w:r>
      <w:r w:rsidR="00A9705D">
        <w:rPr>
          <w:rFonts w:ascii="Times New Roman" w:hAnsi="Times New Roman"/>
          <w:sz w:val="24"/>
          <w:szCs w:val="24"/>
        </w:rPr>
        <w:t xml:space="preserve"> </w:t>
      </w:r>
      <w:r w:rsidR="005A0E33">
        <w:rPr>
          <w:rFonts w:ascii="Times New Roman" w:hAnsi="Times New Roman"/>
          <w:sz w:val="24"/>
          <w:szCs w:val="24"/>
        </w:rPr>
        <w:t xml:space="preserve">países desenvolvidos (Burtis </w:t>
      </w:r>
      <w:r w:rsidR="005A0E33" w:rsidRPr="00A9705D">
        <w:rPr>
          <w:rFonts w:ascii="Times New Roman" w:hAnsi="Times New Roman"/>
          <w:i/>
          <w:sz w:val="24"/>
          <w:szCs w:val="24"/>
        </w:rPr>
        <w:t>et al</w:t>
      </w:r>
      <w:r w:rsidR="005A0E33">
        <w:rPr>
          <w:rFonts w:ascii="Times New Roman" w:hAnsi="Times New Roman"/>
          <w:sz w:val="24"/>
          <w:szCs w:val="24"/>
        </w:rPr>
        <w:t>., 2008</w:t>
      </w:r>
      <w:r w:rsidR="00B6375B">
        <w:rPr>
          <w:rFonts w:ascii="Times New Roman" w:hAnsi="Times New Roman"/>
          <w:sz w:val="24"/>
          <w:szCs w:val="24"/>
        </w:rPr>
        <w:t>;</w:t>
      </w:r>
      <w:r w:rsidR="00B6375B" w:rsidRPr="00B6375B">
        <w:rPr>
          <w:rFonts w:ascii="Times New Roman" w:hAnsi="Times New Roman"/>
          <w:sz w:val="24"/>
          <w:szCs w:val="24"/>
        </w:rPr>
        <w:t xml:space="preserve"> </w:t>
      </w:r>
      <w:r w:rsidR="007A7471">
        <w:rPr>
          <w:rFonts w:ascii="Times New Roman" w:hAnsi="Times New Roman"/>
          <w:sz w:val="24"/>
          <w:szCs w:val="24"/>
        </w:rPr>
        <w:t>Huang</w:t>
      </w:r>
      <w:r w:rsidR="00B6375B">
        <w:rPr>
          <w:rFonts w:ascii="Times New Roman" w:hAnsi="Times New Roman"/>
          <w:sz w:val="24"/>
          <w:szCs w:val="24"/>
        </w:rPr>
        <w:t xml:space="preserve"> </w:t>
      </w:r>
      <w:r w:rsidR="00B6375B" w:rsidRPr="007B72C1">
        <w:rPr>
          <w:rFonts w:ascii="Times New Roman" w:hAnsi="Times New Roman"/>
          <w:i/>
          <w:sz w:val="24"/>
          <w:szCs w:val="24"/>
        </w:rPr>
        <w:t>et al</w:t>
      </w:r>
      <w:r w:rsidR="00B6375B">
        <w:rPr>
          <w:rFonts w:ascii="Times New Roman" w:hAnsi="Times New Roman"/>
          <w:i/>
          <w:sz w:val="24"/>
          <w:szCs w:val="24"/>
        </w:rPr>
        <w:t>.</w:t>
      </w:r>
      <w:r w:rsidR="00B6375B">
        <w:rPr>
          <w:rFonts w:ascii="Times New Roman" w:hAnsi="Times New Roman"/>
          <w:sz w:val="24"/>
          <w:szCs w:val="24"/>
        </w:rPr>
        <w:t xml:space="preserve">, 2010; </w:t>
      </w:r>
      <w:r w:rsidR="00B6375B" w:rsidRPr="007B72C1">
        <w:rPr>
          <w:rFonts w:ascii="Times New Roman" w:hAnsi="Times New Roman"/>
          <w:sz w:val="24"/>
          <w:szCs w:val="24"/>
        </w:rPr>
        <w:t>Shanmugam</w:t>
      </w:r>
      <w:r w:rsidR="00B6375B">
        <w:rPr>
          <w:rFonts w:ascii="Times New Roman" w:hAnsi="Times New Roman"/>
          <w:sz w:val="24"/>
          <w:szCs w:val="24"/>
        </w:rPr>
        <w:t xml:space="preserve"> </w:t>
      </w:r>
      <w:r w:rsidR="00B6375B" w:rsidRPr="007B72C1">
        <w:rPr>
          <w:rFonts w:ascii="Times New Roman" w:hAnsi="Times New Roman"/>
          <w:i/>
          <w:sz w:val="24"/>
          <w:szCs w:val="24"/>
        </w:rPr>
        <w:t>et al</w:t>
      </w:r>
      <w:r w:rsidR="00B6375B">
        <w:rPr>
          <w:rFonts w:ascii="Times New Roman" w:hAnsi="Times New Roman"/>
          <w:i/>
          <w:sz w:val="24"/>
          <w:szCs w:val="24"/>
        </w:rPr>
        <w:t>.</w:t>
      </w:r>
      <w:r w:rsidR="00B6375B">
        <w:rPr>
          <w:rFonts w:ascii="Times New Roman" w:hAnsi="Times New Roman"/>
          <w:sz w:val="24"/>
          <w:szCs w:val="24"/>
        </w:rPr>
        <w:t>, 2011</w:t>
      </w:r>
      <w:r w:rsidR="005A0E33" w:rsidRPr="00A9705D">
        <w:rPr>
          <w:rFonts w:ascii="Times New Roman" w:hAnsi="Times New Roman"/>
          <w:sz w:val="24"/>
          <w:szCs w:val="24"/>
        </w:rPr>
        <w:t>)</w:t>
      </w:r>
      <w:r w:rsidR="00A9705D" w:rsidRPr="00A9705D">
        <w:rPr>
          <w:rFonts w:ascii="Times New Roman" w:hAnsi="Times New Roman"/>
          <w:sz w:val="24"/>
          <w:szCs w:val="24"/>
        </w:rPr>
        <w:t xml:space="preserve">. </w:t>
      </w:r>
      <w:r w:rsidR="00660342">
        <w:rPr>
          <w:rFonts w:ascii="Times New Roman" w:hAnsi="Times New Roman"/>
          <w:sz w:val="24"/>
          <w:szCs w:val="24"/>
        </w:rPr>
        <w:t xml:space="preserve">A </w:t>
      </w:r>
      <w:r w:rsidR="00660342" w:rsidRPr="00660342">
        <w:rPr>
          <w:rFonts w:ascii="Times New Roman" w:hAnsi="Times New Roman"/>
          <w:sz w:val="24"/>
          <w:szCs w:val="24"/>
        </w:rPr>
        <w:t>medicina moderna encontra-se actualmente focada no desenvolvimento d</w:t>
      </w:r>
      <w:r w:rsidR="00660342">
        <w:rPr>
          <w:rFonts w:ascii="Times New Roman" w:hAnsi="Times New Roman"/>
          <w:sz w:val="24"/>
          <w:szCs w:val="24"/>
        </w:rPr>
        <w:t xml:space="preserve">e novos medicamentos seguros, eficazes, e economicamente acessíveis. Um estudo recente sugere que 50% de todos os medicamentos aprovados pela </w:t>
      </w:r>
      <w:r w:rsidR="00660342" w:rsidRPr="00660342">
        <w:rPr>
          <w:rFonts w:ascii="Times New Roman" w:hAnsi="Times New Roman"/>
          <w:i/>
          <w:sz w:val="24"/>
          <w:szCs w:val="24"/>
        </w:rPr>
        <w:t>U.S. Food and Drug Administration</w:t>
      </w:r>
      <w:r w:rsidR="00660342">
        <w:rPr>
          <w:rFonts w:ascii="Times New Roman" w:hAnsi="Times New Roman"/>
          <w:sz w:val="24"/>
          <w:szCs w:val="24"/>
        </w:rPr>
        <w:t xml:space="preserve"> (FDA) sejam retirados no prazo de 5 anos de aprovação </w:t>
      </w:r>
      <w:r w:rsidR="007B72C1">
        <w:rPr>
          <w:rFonts w:ascii="Times New Roman" w:hAnsi="Times New Roman"/>
          <w:sz w:val="24"/>
          <w:szCs w:val="24"/>
        </w:rPr>
        <w:t>devido à falta de segurança ou de eficácia (</w:t>
      </w:r>
      <w:r w:rsidR="007B72C1" w:rsidRPr="007B72C1">
        <w:rPr>
          <w:rFonts w:ascii="Times New Roman" w:hAnsi="Times New Roman"/>
          <w:sz w:val="24"/>
          <w:szCs w:val="24"/>
        </w:rPr>
        <w:t>Shanmugam</w:t>
      </w:r>
      <w:r w:rsidR="007B72C1">
        <w:rPr>
          <w:rFonts w:ascii="Times New Roman" w:hAnsi="Times New Roman"/>
          <w:sz w:val="24"/>
          <w:szCs w:val="24"/>
        </w:rPr>
        <w:t xml:space="preserve"> </w:t>
      </w:r>
      <w:r w:rsidR="007B72C1" w:rsidRPr="007B72C1">
        <w:rPr>
          <w:rFonts w:ascii="Times New Roman" w:hAnsi="Times New Roman"/>
          <w:i/>
          <w:sz w:val="24"/>
          <w:szCs w:val="24"/>
        </w:rPr>
        <w:t>et al</w:t>
      </w:r>
      <w:r w:rsidR="007B72C1">
        <w:rPr>
          <w:rFonts w:ascii="Times New Roman" w:hAnsi="Times New Roman"/>
          <w:i/>
          <w:sz w:val="24"/>
          <w:szCs w:val="24"/>
        </w:rPr>
        <w:t>.</w:t>
      </w:r>
      <w:r w:rsidR="007B72C1">
        <w:rPr>
          <w:rFonts w:ascii="Times New Roman" w:hAnsi="Times New Roman"/>
          <w:sz w:val="24"/>
          <w:szCs w:val="24"/>
        </w:rPr>
        <w:t xml:space="preserve">, 2011). </w:t>
      </w:r>
    </w:p>
    <w:p w:rsidR="005A0E33" w:rsidRDefault="005A0E33" w:rsidP="00660342">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A</w:t>
      </w:r>
      <w:r w:rsidR="00D57856">
        <w:rPr>
          <w:rFonts w:ascii="Times New Roman" w:hAnsi="Times New Roman"/>
          <w:sz w:val="24"/>
          <w:szCs w:val="24"/>
        </w:rPr>
        <w:t xml:space="preserve">pesar do enorme investimento e apostas no </w:t>
      </w:r>
      <w:r>
        <w:rPr>
          <w:rFonts w:ascii="Times New Roman" w:hAnsi="Times New Roman"/>
          <w:sz w:val="24"/>
          <w:szCs w:val="24"/>
        </w:rPr>
        <w:t xml:space="preserve">desenvolvimento </w:t>
      </w:r>
      <w:r w:rsidR="00D57856">
        <w:rPr>
          <w:rFonts w:ascii="Times New Roman" w:hAnsi="Times New Roman"/>
          <w:sz w:val="24"/>
          <w:szCs w:val="24"/>
        </w:rPr>
        <w:t>de novas terapias</w:t>
      </w:r>
      <w:r w:rsidR="00A9705D" w:rsidRPr="00A9705D">
        <w:rPr>
          <w:rFonts w:ascii="Times New Roman" w:hAnsi="Times New Roman"/>
          <w:sz w:val="24"/>
          <w:szCs w:val="24"/>
        </w:rPr>
        <w:t>, a taxa de mortalidade global devida ao cancro não se alterou</w:t>
      </w:r>
      <w:r w:rsidR="00A9705D">
        <w:rPr>
          <w:rFonts w:ascii="Times New Roman" w:hAnsi="Times New Roman"/>
          <w:sz w:val="24"/>
          <w:szCs w:val="24"/>
        </w:rPr>
        <w:t xml:space="preserve"> </w:t>
      </w:r>
      <w:r w:rsidR="00A9705D" w:rsidRPr="00A9705D">
        <w:rPr>
          <w:rFonts w:ascii="Times New Roman" w:hAnsi="Times New Roman"/>
          <w:sz w:val="24"/>
          <w:szCs w:val="24"/>
        </w:rPr>
        <w:t xml:space="preserve">significativamente nos passados quarenta anos. Hoje sabe-se que </w:t>
      </w:r>
      <w:r>
        <w:rPr>
          <w:rFonts w:ascii="Times New Roman" w:hAnsi="Times New Roman"/>
          <w:sz w:val="24"/>
          <w:szCs w:val="24"/>
        </w:rPr>
        <w:t xml:space="preserve">uma </w:t>
      </w:r>
      <w:r w:rsidRPr="00A9705D">
        <w:rPr>
          <w:rFonts w:ascii="Times New Roman" w:hAnsi="Times New Roman"/>
          <w:sz w:val="24"/>
          <w:szCs w:val="24"/>
        </w:rPr>
        <w:t>prevenção</w:t>
      </w:r>
      <w:r>
        <w:rPr>
          <w:rFonts w:ascii="Times New Roman" w:hAnsi="Times New Roman"/>
          <w:sz w:val="24"/>
          <w:szCs w:val="24"/>
        </w:rPr>
        <w:t xml:space="preserve"> e</w:t>
      </w:r>
      <w:r w:rsidRPr="00A9705D">
        <w:rPr>
          <w:rFonts w:ascii="Times New Roman" w:hAnsi="Times New Roman"/>
          <w:sz w:val="24"/>
          <w:szCs w:val="24"/>
        </w:rPr>
        <w:t xml:space="preserve"> </w:t>
      </w:r>
      <w:r w:rsidR="00A9705D" w:rsidRPr="00A9705D">
        <w:rPr>
          <w:rFonts w:ascii="Times New Roman" w:hAnsi="Times New Roman"/>
          <w:sz w:val="24"/>
          <w:szCs w:val="24"/>
        </w:rPr>
        <w:t>det</w:t>
      </w:r>
      <w:r>
        <w:rPr>
          <w:rFonts w:ascii="Times New Roman" w:hAnsi="Times New Roman"/>
          <w:sz w:val="24"/>
          <w:szCs w:val="24"/>
        </w:rPr>
        <w:t xml:space="preserve">ecção precoce, combinadas da </w:t>
      </w:r>
      <w:r w:rsidRPr="00A9705D">
        <w:rPr>
          <w:rFonts w:ascii="Times New Roman" w:hAnsi="Times New Roman"/>
          <w:sz w:val="24"/>
          <w:szCs w:val="24"/>
        </w:rPr>
        <w:t>adopção de um</w:t>
      </w:r>
      <w:r>
        <w:rPr>
          <w:rFonts w:ascii="Times New Roman" w:hAnsi="Times New Roman"/>
          <w:sz w:val="24"/>
          <w:szCs w:val="24"/>
        </w:rPr>
        <w:t xml:space="preserve"> </w:t>
      </w:r>
      <w:r w:rsidRPr="00A9705D">
        <w:rPr>
          <w:rFonts w:ascii="Times New Roman" w:hAnsi="Times New Roman"/>
          <w:sz w:val="24"/>
          <w:szCs w:val="24"/>
        </w:rPr>
        <w:t>estilo de vida saudável</w:t>
      </w:r>
      <w:r>
        <w:rPr>
          <w:rFonts w:ascii="Times New Roman" w:hAnsi="Times New Roman"/>
          <w:sz w:val="24"/>
          <w:szCs w:val="24"/>
        </w:rPr>
        <w:t xml:space="preserve">, </w:t>
      </w:r>
      <w:r w:rsidR="00A9705D" w:rsidRPr="00A9705D">
        <w:rPr>
          <w:rFonts w:ascii="Times New Roman" w:hAnsi="Times New Roman"/>
          <w:sz w:val="24"/>
          <w:szCs w:val="24"/>
        </w:rPr>
        <w:t>pode</w:t>
      </w:r>
      <w:r>
        <w:rPr>
          <w:rFonts w:ascii="Times New Roman" w:hAnsi="Times New Roman"/>
          <w:sz w:val="24"/>
          <w:szCs w:val="24"/>
        </w:rPr>
        <w:t>m</w:t>
      </w:r>
      <w:r w:rsidR="00A9705D" w:rsidRPr="00A9705D">
        <w:rPr>
          <w:rFonts w:ascii="Times New Roman" w:hAnsi="Times New Roman"/>
          <w:sz w:val="24"/>
          <w:szCs w:val="24"/>
        </w:rPr>
        <w:t xml:space="preserve"> red</w:t>
      </w:r>
      <w:r>
        <w:rPr>
          <w:rFonts w:ascii="Times New Roman" w:hAnsi="Times New Roman"/>
          <w:sz w:val="24"/>
          <w:szCs w:val="24"/>
        </w:rPr>
        <w:t>uzir significativamente a taxa d</w:t>
      </w:r>
      <w:r w:rsidR="00A9705D" w:rsidRPr="00A9705D">
        <w:rPr>
          <w:rFonts w:ascii="Times New Roman" w:hAnsi="Times New Roman"/>
          <w:sz w:val="24"/>
          <w:szCs w:val="24"/>
        </w:rPr>
        <w:t>e mortalidade devida ao cancro</w:t>
      </w:r>
      <w:r w:rsidR="00A9705D">
        <w:rPr>
          <w:rFonts w:ascii="Times New Roman" w:hAnsi="Times New Roman"/>
          <w:sz w:val="24"/>
          <w:szCs w:val="24"/>
        </w:rPr>
        <w:t xml:space="preserve"> </w:t>
      </w:r>
      <w:r w:rsidR="00A9705D" w:rsidRPr="00A9705D">
        <w:rPr>
          <w:rFonts w:ascii="Times New Roman" w:hAnsi="Times New Roman"/>
          <w:sz w:val="24"/>
          <w:szCs w:val="24"/>
        </w:rPr>
        <w:t>n</w:t>
      </w:r>
      <w:r w:rsidR="00A9705D">
        <w:rPr>
          <w:rFonts w:ascii="Times New Roman" w:hAnsi="Times New Roman"/>
          <w:sz w:val="24"/>
          <w:szCs w:val="24"/>
        </w:rPr>
        <w:t xml:space="preserve">o futuro (Burtis </w:t>
      </w:r>
      <w:r w:rsidR="00A9705D" w:rsidRPr="00A9705D">
        <w:rPr>
          <w:rFonts w:ascii="Times New Roman" w:hAnsi="Times New Roman"/>
          <w:i/>
          <w:sz w:val="24"/>
          <w:szCs w:val="24"/>
        </w:rPr>
        <w:t>et al</w:t>
      </w:r>
      <w:r w:rsidR="00A9705D">
        <w:rPr>
          <w:rFonts w:ascii="Times New Roman" w:hAnsi="Times New Roman"/>
          <w:sz w:val="24"/>
          <w:szCs w:val="24"/>
        </w:rPr>
        <w:t>., 2008</w:t>
      </w:r>
      <w:r w:rsidR="00A9705D" w:rsidRPr="00A9705D">
        <w:rPr>
          <w:rFonts w:ascii="Times New Roman" w:hAnsi="Times New Roman"/>
          <w:sz w:val="24"/>
          <w:szCs w:val="24"/>
        </w:rPr>
        <w:t>).</w:t>
      </w:r>
    </w:p>
    <w:p w:rsidR="007E57E6" w:rsidRDefault="005A0E33" w:rsidP="007E57E6">
      <w:pPr>
        <w:autoSpaceDE w:val="0"/>
        <w:autoSpaceDN w:val="0"/>
        <w:adjustRightInd w:val="0"/>
        <w:jc w:val="both"/>
        <w:rPr>
          <w:rFonts w:ascii="Times New Roman" w:hAnsi="Times New Roman"/>
          <w:sz w:val="24"/>
          <w:lang w:eastAsia="pt-PT"/>
        </w:rPr>
      </w:pPr>
      <w:r w:rsidRPr="00FA118A">
        <w:rPr>
          <w:rFonts w:ascii="Times New Roman" w:hAnsi="Times New Roman"/>
          <w:sz w:val="24"/>
          <w:szCs w:val="24"/>
        </w:rPr>
        <w:tab/>
      </w:r>
      <w:r w:rsidRPr="005A0E33">
        <w:rPr>
          <w:rFonts w:ascii="Times New Roman" w:hAnsi="Times New Roman"/>
          <w:sz w:val="24"/>
          <w:lang w:eastAsia="pt-PT"/>
        </w:rPr>
        <w:t xml:space="preserve">Uma definição </w:t>
      </w:r>
      <w:r>
        <w:rPr>
          <w:rFonts w:ascii="Times New Roman" w:hAnsi="Times New Roman"/>
          <w:sz w:val="24"/>
          <w:lang w:eastAsia="pt-PT"/>
        </w:rPr>
        <w:t xml:space="preserve">simples </w:t>
      </w:r>
      <w:r w:rsidRPr="005A0E33">
        <w:rPr>
          <w:rFonts w:ascii="Times New Roman" w:hAnsi="Times New Roman"/>
          <w:sz w:val="24"/>
          <w:lang w:eastAsia="pt-PT"/>
        </w:rPr>
        <w:t xml:space="preserve">de cancro </w:t>
      </w:r>
      <w:r w:rsidR="007E57E6">
        <w:rPr>
          <w:rFonts w:ascii="Times New Roman" w:hAnsi="Times New Roman"/>
          <w:sz w:val="24"/>
          <w:lang w:eastAsia="pt-PT"/>
        </w:rPr>
        <w:t>define-o como</w:t>
      </w:r>
      <w:r w:rsidRPr="005A0E33">
        <w:rPr>
          <w:rFonts w:ascii="Times New Roman" w:hAnsi="Times New Roman"/>
          <w:sz w:val="24"/>
          <w:lang w:eastAsia="pt-PT"/>
        </w:rPr>
        <w:t xml:space="preserve"> um “crescimento relativamente autónomo de tecido”,</w:t>
      </w:r>
      <w:r w:rsidR="007E57E6" w:rsidRPr="007E57E6">
        <w:rPr>
          <w:rFonts w:ascii="Times New Roman" w:hAnsi="Times New Roman"/>
          <w:sz w:val="24"/>
          <w:lang w:eastAsia="pt-PT"/>
        </w:rPr>
        <w:t xml:space="preserve"> </w:t>
      </w:r>
      <w:r w:rsidR="007E57E6">
        <w:rPr>
          <w:rFonts w:ascii="Times New Roman" w:hAnsi="Times New Roman"/>
          <w:sz w:val="24"/>
          <w:lang w:eastAsia="pt-PT"/>
        </w:rPr>
        <w:t xml:space="preserve">e </w:t>
      </w:r>
      <w:r w:rsidR="007E57E6" w:rsidRPr="005A0E33">
        <w:rPr>
          <w:rFonts w:ascii="Times New Roman" w:hAnsi="Times New Roman"/>
          <w:sz w:val="24"/>
          <w:lang w:eastAsia="pt-PT"/>
        </w:rPr>
        <w:t>sabe-se que cada tipo de cancro possui o seu mecan</w:t>
      </w:r>
      <w:r w:rsidR="007E57E6">
        <w:rPr>
          <w:rFonts w:ascii="Times New Roman" w:hAnsi="Times New Roman"/>
          <w:sz w:val="24"/>
          <w:lang w:eastAsia="pt-PT"/>
        </w:rPr>
        <w:t xml:space="preserve">ismo de divisão celular único e </w:t>
      </w:r>
      <w:r w:rsidR="007E57E6" w:rsidRPr="005A0E33">
        <w:rPr>
          <w:rFonts w:ascii="Times New Roman" w:hAnsi="Times New Roman"/>
          <w:sz w:val="24"/>
          <w:lang w:eastAsia="pt-PT"/>
        </w:rPr>
        <w:t>característico que conduz ao seu crescimento autónomo e descontrolado de células.</w:t>
      </w:r>
      <w:r w:rsidR="007E57E6" w:rsidRPr="007E57E6">
        <w:rPr>
          <w:rFonts w:ascii="Times New Roman" w:hAnsi="Times New Roman"/>
          <w:sz w:val="24"/>
          <w:lang w:eastAsia="pt-PT"/>
        </w:rPr>
        <w:t xml:space="preserve"> </w:t>
      </w:r>
      <w:r w:rsidR="007E57E6">
        <w:rPr>
          <w:rFonts w:ascii="Times New Roman" w:hAnsi="Times New Roman"/>
          <w:sz w:val="24"/>
          <w:lang w:eastAsia="pt-PT"/>
        </w:rPr>
        <w:t xml:space="preserve">A palavra </w:t>
      </w:r>
      <w:r w:rsidR="007E57E6" w:rsidRPr="005A0E33">
        <w:rPr>
          <w:rFonts w:ascii="Times New Roman" w:hAnsi="Times New Roman"/>
          <w:sz w:val="24"/>
          <w:lang w:eastAsia="pt-PT"/>
        </w:rPr>
        <w:t>cancro é utilizada genericamente para identificar um vasto conjunto de doenças que são os</w:t>
      </w:r>
      <w:r w:rsidR="007E57E6" w:rsidRPr="007E57E6">
        <w:rPr>
          <w:rFonts w:ascii="Times New Roman" w:hAnsi="Times New Roman"/>
          <w:sz w:val="24"/>
          <w:lang w:eastAsia="pt-PT"/>
        </w:rPr>
        <w:t xml:space="preserve"> </w:t>
      </w:r>
      <w:r w:rsidR="007E57E6" w:rsidRPr="005A0E33">
        <w:rPr>
          <w:rFonts w:ascii="Times New Roman" w:hAnsi="Times New Roman"/>
          <w:sz w:val="24"/>
          <w:lang w:eastAsia="pt-PT"/>
        </w:rPr>
        <w:t>tumores malignos.</w:t>
      </w:r>
      <w:r w:rsidR="007E57E6">
        <w:rPr>
          <w:rFonts w:ascii="Times New Roman" w:hAnsi="Times New Roman"/>
          <w:sz w:val="24"/>
          <w:lang w:eastAsia="pt-PT"/>
        </w:rPr>
        <w:t xml:space="preserve"> Os tumores ou neoplasias podem ser de </w:t>
      </w:r>
      <w:r w:rsidR="00CC64B3">
        <w:rPr>
          <w:rFonts w:ascii="Times New Roman" w:hAnsi="Times New Roman"/>
          <w:sz w:val="24"/>
          <w:lang w:eastAsia="pt-PT"/>
        </w:rPr>
        <w:t>dois tipos: malignos e benignos. D</w:t>
      </w:r>
      <w:r w:rsidR="007E57E6">
        <w:rPr>
          <w:rFonts w:ascii="Times New Roman" w:hAnsi="Times New Roman"/>
          <w:sz w:val="24"/>
          <w:lang w:eastAsia="pt-PT"/>
        </w:rPr>
        <w:t xml:space="preserve">istinguindo-se os primeiros por duas </w:t>
      </w:r>
      <w:r w:rsidR="007E57E6">
        <w:rPr>
          <w:rFonts w:ascii="Times New Roman" w:hAnsi="Times New Roman"/>
          <w:sz w:val="24"/>
          <w:lang w:eastAsia="pt-PT"/>
        </w:rPr>
        <w:lastRenderedPageBreak/>
        <w:t>características potenciais,</w:t>
      </w:r>
      <w:r w:rsidR="007E57E6" w:rsidRPr="007E57E6">
        <w:rPr>
          <w:rFonts w:ascii="Times New Roman" w:hAnsi="Times New Roman"/>
          <w:sz w:val="24"/>
          <w:lang w:eastAsia="pt-PT"/>
        </w:rPr>
        <w:t xml:space="preserve"> </w:t>
      </w:r>
      <w:r w:rsidR="007E57E6" w:rsidRPr="005A0E33">
        <w:rPr>
          <w:rFonts w:ascii="Times New Roman" w:hAnsi="Times New Roman"/>
          <w:sz w:val="24"/>
          <w:lang w:eastAsia="pt-PT"/>
        </w:rPr>
        <w:t>que podem ou não estar expressas na altura em que a doença é diagnosticada:</w:t>
      </w:r>
      <w:r w:rsidR="007E57E6" w:rsidRPr="007E57E6">
        <w:rPr>
          <w:rFonts w:ascii="Times New Roman" w:hAnsi="Times New Roman"/>
          <w:sz w:val="24"/>
          <w:lang w:eastAsia="pt-PT"/>
        </w:rPr>
        <w:t xml:space="preserve"> </w:t>
      </w:r>
      <w:r w:rsidR="007E57E6">
        <w:rPr>
          <w:rFonts w:ascii="Times New Roman" w:hAnsi="Times New Roman"/>
          <w:sz w:val="24"/>
          <w:lang w:eastAsia="pt-PT"/>
        </w:rPr>
        <w:t xml:space="preserve">(a) </w:t>
      </w:r>
      <w:r w:rsidR="007E57E6" w:rsidRPr="005A0E33">
        <w:rPr>
          <w:rFonts w:ascii="Times New Roman" w:hAnsi="Times New Roman"/>
          <w:sz w:val="24"/>
          <w:lang w:eastAsia="pt-PT"/>
        </w:rPr>
        <w:t>podem espalhar-se por metástases, ou seja, surgir tecido tumoral em outros órgãos que não o</w:t>
      </w:r>
      <w:r w:rsidR="007E57E6">
        <w:rPr>
          <w:rFonts w:ascii="Times New Roman" w:hAnsi="Times New Roman"/>
          <w:sz w:val="24"/>
          <w:lang w:eastAsia="pt-PT"/>
        </w:rPr>
        <w:t xml:space="preserve"> de origem,</w:t>
      </w:r>
      <w:r w:rsidR="007E57E6" w:rsidRPr="005A0E33">
        <w:rPr>
          <w:rFonts w:ascii="Times New Roman" w:hAnsi="Times New Roman"/>
          <w:sz w:val="24"/>
          <w:lang w:eastAsia="pt-PT"/>
        </w:rPr>
        <w:t xml:space="preserve"> e</w:t>
      </w:r>
      <w:r w:rsidR="007E57E6">
        <w:rPr>
          <w:rFonts w:ascii="Times New Roman" w:hAnsi="Times New Roman"/>
          <w:sz w:val="24"/>
          <w:lang w:eastAsia="pt-PT"/>
        </w:rPr>
        <w:t xml:space="preserve"> (b)</w:t>
      </w:r>
      <w:r w:rsidR="007E57E6" w:rsidRPr="005A0E33">
        <w:rPr>
          <w:rFonts w:ascii="Times New Roman" w:hAnsi="Times New Roman"/>
          <w:sz w:val="24"/>
          <w:lang w:eastAsia="pt-PT"/>
        </w:rPr>
        <w:t xml:space="preserve"> podem infiltra-se em outros tecidos vizinhos, incluindo órgãos na sua</w:t>
      </w:r>
      <w:r w:rsidR="007E57E6">
        <w:rPr>
          <w:rFonts w:ascii="Times New Roman" w:hAnsi="Times New Roman"/>
          <w:sz w:val="24"/>
          <w:lang w:eastAsia="pt-PT"/>
        </w:rPr>
        <w:t xml:space="preserve"> proximidade </w:t>
      </w:r>
      <w:r w:rsidR="007E57E6">
        <w:rPr>
          <w:rFonts w:ascii="Times New Roman" w:hAnsi="Times New Roman"/>
          <w:sz w:val="24"/>
          <w:szCs w:val="24"/>
        </w:rPr>
        <w:t xml:space="preserve">(Burtis </w:t>
      </w:r>
      <w:r w:rsidR="007E57E6" w:rsidRPr="00A9705D">
        <w:rPr>
          <w:rFonts w:ascii="Times New Roman" w:hAnsi="Times New Roman"/>
          <w:i/>
          <w:sz w:val="24"/>
          <w:szCs w:val="24"/>
        </w:rPr>
        <w:t>et al</w:t>
      </w:r>
      <w:r w:rsidR="007E57E6">
        <w:rPr>
          <w:rFonts w:ascii="Times New Roman" w:hAnsi="Times New Roman"/>
          <w:sz w:val="24"/>
          <w:szCs w:val="24"/>
        </w:rPr>
        <w:t>., 2008)</w:t>
      </w:r>
      <w:r w:rsidR="007E57E6">
        <w:rPr>
          <w:rFonts w:ascii="Times New Roman" w:hAnsi="Times New Roman"/>
          <w:sz w:val="24"/>
          <w:lang w:eastAsia="pt-PT"/>
        </w:rPr>
        <w:t>.</w:t>
      </w:r>
    </w:p>
    <w:p w:rsidR="00D57856" w:rsidRPr="00141C3A" w:rsidRDefault="00D57856" w:rsidP="00141C3A">
      <w:pPr>
        <w:autoSpaceDE w:val="0"/>
        <w:autoSpaceDN w:val="0"/>
        <w:adjustRightInd w:val="0"/>
        <w:spacing w:after="0"/>
        <w:jc w:val="both"/>
        <w:rPr>
          <w:rFonts w:ascii="Times New Roman" w:hAnsi="Times New Roman"/>
          <w:sz w:val="24"/>
          <w:lang w:eastAsia="pt-PT"/>
        </w:rPr>
      </w:pPr>
      <w:r w:rsidRPr="00193C57">
        <w:rPr>
          <w:rFonts w:ascii="AdvTT5843c571" w:hAnsi="AdvTT5843c571" w:cs="AdvTT5843c571"/>
          <w:sz w:val="20"/>
          <w:szCs w:val="20"/>
          <w:lang w:eastAsia="pt-PT"/>
        </w:rPr>
        <w:tab/>
      </w:r>
      <w:r w:rsidR="00141C3A" w:rsidRPr="00141C3A">
        <w:rPr>
          <w:rFonts w:ascii="Times New Roman" w:hAnsi="Times New Roman"/>
          <w:sz w:val="24"/>
          <w:lang w:eastAsia="pt-PT"/>
        </w:rPr>
        <w:t>Ac</w:t>
      </w:r>
      <w:r w:rsidR="00141C3A">
        <w:rPr>
          <w:rFonts w:ascii="Times New Roman" w:hAnsi="Times New Roman"/>
          <w:sz w:val="24"/>
          <w:lang w:eastAsia="pt-PT"/>
        </w:rPr>
        <w:t>tualmente a</w:t>
      </w:r>
      <w:r w:rsidRPr="00141C3A">
        <w:rPr>
          <w:rFonts w:ascii="Times New Roman" w:hAnsi="Times New Roman"/>
          <w:sz w:val="24"/>
          <w:lang w:eastAsia="pt-PT"/>
        </w:rPr>
        <w:t xml:space="preserve"> mortalidade resultante das formas mais comuns </w:t>
      </w:r>
      <w:r w:rsidR="00141C3A">
        <w:rPr>
          <w:rFonts w:ascii="Times New Roman" w:hAnsi="Times New Roman"/>
          <w:sz w:val="24"/>
          <w:lang w:eastAsia="pt-PT"/>
        </w:rPr>
        <w:t>de cancro ainda é muito elevada. A</w:t>
      </w:r>
      <w:r w:rsidRPr="00141C3A">
        <w:rPr>
          <w:rFonts w:ascii="Times New Roman" w:hAnsi="Times New Roman"/>
          <w:sz w:val="24"/>
          <w:lang w:eastAsia="pt-PT"/>
        </w:rPr>
        <w:t>pesar dos avanços na compreen</w:t>
      </w:r>
      <w:r w:rsidR="007A2D70" w:rsidRPr="00141C3A">
        <w:rPr>
          <w:rFonts w:ascii="Times New Roman" w:hAnsi="Times New Roman"/>
          <w:sz w:val="24"/>
          <w:lang w:eastAsia="pt-PT"/>
        </w:rPr>
        <w:t>s</w:t>
      </w:r>
      <w:r w:rsidRPr="00141C3A">
        <w:rPr>
          <w:rFonts w:ascii="Times New Roman" w:hAnsi="Times New Roman"/>
          <w:sz w:val="24"/>
          <w:lang w:eastAsia="pt-PT"/>
        </w:rPr>
        <w:t xml:space="preserve">ão </w:t>
      </w:r>
      <w:r w:rsidR="00141C3A">
        <w:rPr>
          <w:rFonts w:ascii="Times New Roman" w:hAnsi="Times New Roman"/>
          <w:sz w:val="24"/>
          <w:lang w:eastAsia="pt-PT"/>
        </w:rPr>
        <w:t>da</w:t>
      </w:r>
      <w:r w:rsidRPr="00141C3A">
        <w:rPr>
          <w:rFonts w:ascii="Times New Roman" w:hAnsi="Times New Roman"/>
          <w:sz w:val="24"/>
          <w:lang w:eastAsia="pt-PT"/>
        </w:rPr>
        <w:t xml:space="preserve"> </w:t>
      </w:r>
      <w:r w:rsidR="00141C3A" w:rsidRPr="00141C3A">
        <w:rPr>
          <w:rFonts w:ascii="Times New Roman" w:hAnsi="Times New Roman"/>
          <w:sz w:val="24"/>
          <w:lang w:eastAsia="pt-PT"/>
        </w:rPr>
        <w:t xml:space="preserve">carcinogénese </w:t>
      </w:r>
      <w:r w:rsidR="00141C3A">
        <w:rPr>
          <w:rFonts w:ascii="Times New Roman" w:hAnsi="Times New Roman"/>
          <w:sz w:val="24"/>
          <w:lang w:eastAsia="pt-PT"/>
        </w:rPr>
        <w:t xml:space="preserve">e seus </w:t>
      </w:r>
      <w:r w:rsidRPr="00141C3A">
        <w:rPr>
          <w:rFonts w:ascii="Times New Roman" w:hAnsi="Times New Roman"/>
          <w:sz w:val="24"/>
          <w:lang w:eastAsia="pt-PT"/>
        </w:rPr>
        <w:t>processo</w:t>
      </w:r>
      <w:r w:rsidR="00141C3A">
        <w:rPr>
          <w:rFonts w:ascii="Times New Roman" w:hAnsi="Times New Roman"/>
          <w:sz w:val="24"/>
          <w:lang w:eastAsia="pt-PT"/>
        </w:rPr>
        <w:t>s</w:t>
      </w:r>
      <w:r w:rsidRPr="00141C3A">
        <w:rPr>
          <w:rFonts w:ascii="Times New Roman" w:hAnsi="Times New Roman"/>
          <w:sz w:val="24"/>
          <w:lang w:eastAsia="pt-PT"/>
        </w:rPr>
        <w:t xml:space="preserve"> </w:t>
      </w:r>
      <w:r w:rsidR="00141C3A">
        <w:rPr>
          <w:rFonts w:ascii="Times New Roman" w:hAnsi="Times New Roman"/>
          <w:sz w:val="24"/>
          <w:lang w:eastAsia="pt-PT"/>
        </w:rPr>
        <w:t xml:space="preserve">biológicos </w:t>
      </w:r>
      <w:r w:rsidRPr="00141C3A">
        <w:rPr>
          <w:rFonts w:ascii="Times New Roman" w:hAnsi="Times New Roman"/>
          <w:sz w:val="24"/>
          <w:lang w:eastAsia="pt-PT"/>
        </w:rPr>
        <w:t>implicado</w:t>
      </w:r>
      <w:r w:rsidR="00141C3A">
        <w:rPr>
          <w:rFonts w:ascii="Times New Roman" w:hAnsi="Times New Roman"/>
          <w:sz w:val="24"/>
          <w:lang w:eastAsia="pt-PT"/>
        </w:rPr>
        <w:t>s</w:t>
      </w:r>
      <w:r w:rsidRPr="00141C3A">
        <w:rPr>
          <w:rFonts w:ascii="Times New Roman" w:hAnsi="Times New Roman"/>
          <w:sz w:val="24"/>
          <w:lang w:eastAsia="pt-PT"/>
        </w:rPr>
        <w:t xml:space="preserve">, </w:t>
      </w:r>
      <w:r w:rsidR="00141C3A">
        <w:rPr>
          <w:rFonts w:ascii="Times New Roman" w:hAnsi="Times New Roman"/>
          <w:sz w:val="24"/>
          <w:lang w:eastAsia="pt-PT"/>
        </w:rPr>
        <w:t>est</w:t>
      </w:r>
      <w:r w:rsidRPr="00141C3A">
        <w:rPr>
          <w:rFonts w:ascii="Times New Roman" w:hAnsi="Times New Roman"/>
          <w:sz w:val="24"/>
          <w:lang w:eastAsia="pt-PT"/>
        </w:rPr>
        <w:t xml:space="preserve">as estatísticas não </w:t>
      </w:r>
      <w:r w:rsidR="00141C3A">
        <w:rPr>
          <w:rFonts w:ascii="Times New Roman" w:hAnsi="Times New Roman"/>
          <w:sz w:val="24"/>
          <w:lang w:eastAsia="pt-PT"/>
        </w:rPr>
        <w:t>sofreram alte</w:t>
      </w:r>
      <w:r w:rsidRPr="00141C3A">
        <w:rPr>
          <w:rFonts w:ascii="Times New Roman" w:hAnsi="Times New Roman"/>
          <w:sz w:val="24"/>
          <w:lang w:eastAsia="pt-PT"/>
        </w:rPr>
        <w:t>r</w:t>
      </w:r>
      <w:r w:rsidR="00141C3A">
        <w:rPr>
          <w:rFonts w:ascii="Times New Roman" w:hAnsi="Times New Roman"/>
          <w:sz w:val="24"/>
          <w:lang w:eastAsia="pt-PT"/>
        </w:rPr>
        <w:t>ações</w:t>
      </w:r>
      <w:r w:rsidRPr="00141C3A">
        <w:rPr>
          <w:rFonts w:ascii="Times New Roman" w:hAnsi="Times New Roman"/>
          <w:sz w:val="24"/>
          <w:lang w:eastAsia="pt-PT"/>
        </w:rPr>
        <w:t xml:space="preserve"> a não ser que ocorra</w:t>
      </w:r>
      <w:r w:rsidR="00141C3A">
        <w:rPr>
          <w:rFonts w:ascii="Times New Roman" w:hAnsi="Times New Roman"/>
          <w:sz w:val="24"/>
          <w:lang w:eastAsia="pt-PT"/>
        </w:rPr>
        <w:t xml:space="preserve"> uma reorientação do conceito de</w:t>
      </w:r>
      <w:r w:rsidRPr="00141C3A">
        <w:rPr>
          <w:rFonts w:ascii="Times New Roman" w:hAnsi="Times New Roman"/>
          <w:sz w:val="24"/>
          <w:lang w:eastAsia="pt-PT"/>
        </w:rPr>
        <w:t xml:space="preserve"> utilização de produtos naturais como novos agentes quimiopreventivos</w:t>
      </w:r>
      <w:r w:rsidR="00141C3A">
        <w:rPr>
          <w:rFonts w:ascii="Times New Roman" w:hAnsi="Times New Roman"/>
          <w:sz w:val="24"/>
          <w:lang w:eastAsia="pt-PT"/>
        </w:rPr>
        <w:t xml:space="preserve"> (Reddy </w:t>
      </w:r>
      <w:r w:rsidR="00141C3A" w:rsidRPr="00141C3A">
        <w:rPr>
          <w:rFonts w:ascii="Times New Roman" w:hAnsi="Times New Roman"/>
          <w:i/>
          <w:sz w:val="24"/>
          <w:lang w:eastAsia="pt-PT"/>
        </w:rPr>
        <w:t>et al</w:t>
      </w:r>
      <w:r w:rsidR="00141C3A">
        <w:rPr>
          <w:rFonts w:ascii="Times New Roman" w:hAnsi="Times New Roman"/>
          <w:sz w:val="24"/>
          <w:lang w:eastAsia="pt-PT"/>
        </w:rPr>
        <w:t>., 2003)</w:t>
      </w:r>
      <w:r w:rsidRPr="00141C3A">
        <w:rPr>
          <w:rFonts w:ascii="Times New Roman" w:hAnsi="Times New Roman"/>
          <w:sz w:val="24"/>
          <w:lang w:eastAsia="pt-PT"/>
        </w:rPr>
        <w:t>. Os compostos naturais ou semi</w:t>
      </w:r>
      <w:r w:rsidR="007A2D70" w:rsidRPr="00141C3A">
        <w:rPr>
          <w:rFonts w:ascii="Times New Roman" w:hAnsi="Times New Roman"/>
          <w:sz w:val="24"/>
          <w:lang w:eastAsia="pt-PT"/>
        </w:rPr>
        <w:t>-</w:t>
      </w:r>
      <w:r w:rsidRPr="00141C3A">
        <w:rPr>
          <w:rFonts w:ascii="Times New Roman" w:hAnsi="Times New Roman"/>
          <w:sz w:val="24"/>
          <w:lang w:eastAsia="pt-PT"/>
        </w:rPr>
        <w:t>sintéticos podem ser utilizados no bloqueio, ou na prevenção do desenvolvimento de cancros de carácter invasivo</w:t>
      </w:r>
      <w:r w:rsidR="00141C3A">
        <w:rPr>
          <w:rFonts w:ascii="Times New Roman" w:hAnsi="Times New Roman"/>
          <w:sz w:val="24"/>
          <w:lang w:eastAsia="pt-PT"/>
        </w:rPr>
        <w:t>, e a</w:t>
      </w:r>
      <w:r w:rsidR="007A2D70" w:rsidRPr="00141C3A">
        <w:rPr>
          <w:rFonts w:ascii="Times New Roman" w:hAnsi="Times New Roman"/>
          <w:sz w:val="24"/>
          <w:lang w:eastAsia="pt-PT"/>
        </w:rPr>
        <w:t xml:space="preserve"> carcinogénese celular </w:t>
      </w:r>
      <w:r w:rsidR="00141C3A">
        <w:rPr>
          <w:rFonts w:ascii="Times New Roman" w:hAnsi="Times New Roman"/>
          <w:sz w:val="24"/>
          <w:lang w:eastAsia="pt-PT"/>
        </w:rPr>
        <w:t xml:space="preserve">pode encontrar-se </w:t>
      </w:r>
      <w:r w:rsidR="007A2D70" w:rsidRPr="00141C3A">
        <w:rPr>
          <w:rFonts w:ascii="Times New Roman" w:hAnsi="Times New Roman"/>
          <w:sz w:val="24"/>
          <w:lang w:eastAsia="pt-PT"/>
        </w:rPr>
        <w:t xml:space="preserve">na base para a identificação de compostos preventivos, do seu modo de acção, e em última instância do sucesso ou fracasso do seu uso </w:t>
      </w:r>
      <w:r w:rsidR="00141C3A">
        <w:rPr>
          <w:rFonts w:ascii="Times New Roman" w:hAnsi="Times New Roman"/>
          <w:sz w:val="24"/>
          <w:lang w:eastAsia="pt-PT"/>
        </w:rPr>
        <w:t>como</w:t>
      </w:r>
      <w:r w:rsidR="007A2D70" w:rsidRPr="00141C3A">
        <w:rPr>
          <w:rFonts w:ascii="Times New Roman" w:hAnsi="Times New Roman"/>
          <w:sz w:val="24"/>
          <w:lang w:eastAsia="pt-PT"/>
        </w:rPr>
        <w:t xml:space="preserve"> terapia</w:t>
      </w:r>
      <w:r w:rsidR="00141C3A">
        <w:rPr>
          <w:rFonts w:ascii="Times New Roman" w:hAnsi="Times New Roman"/>
          <w:sz w:val="24"/>
          <w:lang w:eastAsia="pt-PT"/>
        </w:rPr>
        <w:t xml:space="preserve"> nestas neoplasias (Reddy </w:t>
      </w:r>
      <w:r w:rsidR="00141C3A" w:rsidRPr="00141C3A">
        <w:rPr>
          <w:rFonts w:ascii="Times New Roman" w:hAnsi="Times New Roman"/>
          <w:i/>
          <w:sz w:val="24"/>
          <w:lang w:eastAsia="pt-PT"/>
        </w:rPr>
        <w:t>et al</w:t>
      </w:r>
      <w:r w:rsidR="00141C3A">
        <w:rPr>
          <w:rFonts w:ascii="Times New Roman" w:hAnsi="Times New Roman"/>
          <w:sz w:val="24"/>
          <w:lang w:eastAsia="pt-PT"/>
        </w:rPr>
        <w:t>., 2003)</w:t>
      </w:r>
      <w:r w:rsidR="007A2D70" w:rsidRPr="00141C3A">
        <w:rPr>
          <w:rFonts w:ascii="Times New Roman" w:hAnsi="Times New Roman"/>
          <w:sz w:val="24"/>
          <w:lang w:eastAsia="pt-PT"/>
        </w:rPr>
        <w:t xml:space="preserve">. </w:t>
      </w:r>
    </w:p>
    <w:p w:rsidR="00D57856" w:rsidRPr="00141C3A" w:rsidRDefault="00D57856" w:rsidP="00141C3A">
      <w:pPr>
        <w:autoSpaceDE w:val="0"/>
        <w:autoSpaceDN w:val="0"/>
        <w:adjustRightInd w:val="0"/>
        <w:spacing w:after="0"/>
        <w:jc w:val="both"/>
        <w:rPr>
          <w:rFonts w:ascii="Times New Roman" w:hAnsi="Times New Roman"/>
          <w:sz w:val="24"/>
          <w:lang w:eastAsia="pt-PT"/>
        </w:rPr>
      </w:pPr>
    </w:p>
    <w:p w:rsidR="006B707A" w:rsidRPr="008A2BB6" w:rsidRDefault="007A2D70" w:rsidP="008A2BB6">
      <w:pPr>
        <w:autoSpaceDE w:val="0"/>
        <w:autoSpaceDN w:val="0"/>
        <w:adjustRightInd w:val="0"/>
        <w:jc w:val="both"/>
        <w:rPr>
          <w:rFonts w:ascii="AdvTT5843c571" w:hAnsi="AdvTT5843c571" w:cs="AdvTT5843c571"/>
          <w:sz w:val="20"/>
          <w:szCs w:val="20"/>
          <w:lang w:eastAsia="pt-PT"/>
        </w:rPr>
      </w:pPr>
      <w:r w:rsidRPr="00141C3A">
        <w:rPr>
          <w:rFonts w:ascii="Times New Roman" w:hAnsi="Times New Roman"/>
          <w:sz w:val="24"/>
          <w:lang w:eastAsia="pt-PT"/>
        </w:rPr>
        <w:tab/>
        <w:t xml:space="preserve">Presentemente, </w:t>
      </w:r>
      <w:r w:rsidR="00141C3A">
        <w:rPr>
          <w:rFonts w:ascii="Times New Roman" w:hAnsi="Times New Roman"/>
          <w:sz w:val="24"/>
          <w:lang w:eastAsia="pt-PT"/>
        </w:rPr>
        <w:t xml:space="preserve">considera-se que </w:t>
      </w:r>
      <w:r w:rsidRPr="00141C3A">
        <w:rPr>
          <w:rFonts w:ascii="Times New Roman" w:hAnsi="Times New Roman"/>
          <w:sz w:val="24"/>
          <w:lang w:eastAsia="pt-PT"/>
        </w:rPr>
        <w:t>o cancro pode ser originado a partir de uma de quatro causas principais: dieta desequilibrada, predisposição genética, agressões do meio ambiente, e pelo factor idade</w:t>
      </w:r>
      <w:r w:rsidR="00551AC9">
        <w:rPr>
          <w:rFonts w:ascii="Times New Roman" w:hAnsi="Times New Roman"/>
          <w:sz w:val="24"/>
          <w:lang w:eastAsia="pt-PT"/>
        </w:rPr>
        <w:t xml:space="preserve"> (Reddy </w:t>
      </w:r>
      <w:r w:rsidR="00551AC9" w:rsidRPr="00141C3A">
        <w:rPr>
          <w:rFonts w:ascii="Times New Roman" w:hAnsi="Times New Roman"/>
          <w:i/>
          <w:sz w:val="24"/>
          <w:lang w:eastAsia="pt-PT"/>
        </w:rPr>
        <w:t>et al</w:t>
      </w:r>
      <w:r w:rsidR="00551AC9">
        <w:rPr>
          <w:rFonts w:ascii="Times New Roman" w:hAnsi="Times New Roman"/>
          <w:sz w:val="24"/>
          <w:lang w:eastAsia="pt-PT"/>
        </w:rPr>
        <w:t>., 2003)</w:t>
      </w:r>
      <w:r w:rsidRPr="00141C3A">
        <w:rPr>
          <w:rFonts w:ascii="Times New Roman" w:hAnsi="Times New Roman"/>
          <w:sz w:val="24"/>
          <w:lang w:eastAsia="pt-PT"/>
        </w:rPr>
        <w:t>. Mundialmente estima-se que 35% de todos os cancros tenham origem numa dieta desequilibrada</w:t>
      </w:r>
      <w:r w:rsidR="00551AC9">
        <w:rPr>
          <w:rFonts w:ascii="Times New Roman" w:hAnsi="Times New Roman"/>
          <w:sz w:val="24"/>
          <w:lang w:eastAsia="pt-PT"/>
        </w:rPr>
        <w:t xml:space="preserve"> (Huang </w:t>
      </w:r>
      <w:r w:rsidR="00551AC9" w:rsidRPr="00551AC9">
        <w:rPr>
          <w:rFonts w:ascii="Times New Roman" w:hAnsi="Times New Roman"/>
          <w:i/>
          <w:sz w:val="24"/>
          <w:lang w:eastAsia="pt-PT"/>
        </w:rPr>
        <w:t>et al</w:t>
      </w:r>
      <w:r w:rsidR="00551AC9">
        <w:rPr>
          <w:rFonts w:ascii="Times New Roman" w:hAnsi="Times New Roman"/>
          <w:sz w:val="24"/>
          <w:lang w:eastAsia="pt-PT"/>
        </w:rPr>
        <w:t>.</w:t>
      </w:r>
      <w:r w:rsidRPr="00141C3A">
        <w:rPr>
          <w:rFonts w:ascii="Times New Roman" w:hAnsi="Times New Roman"/>
          <w:sz w:val="24"/>
          <w:lang w:eastAsia="pt-PT"/>
        </w:rPr>
        <w:t>,</w:t>
      </w:r>
      <w:r w:rsidR="00551AC9">
        <w:rPr>
          <w:rFonts w:ascii="Times New Roman" w:hAnsi="Times New Roman"/>
          <w:sz w:val="24"/>
          <w:lang w:eastAsia="pt-PT"/>
        </w:rPr>
        <w:t xml:space="preserve"> 2010)</w:t>
      </w:r>
      <w:r w:rsidRPr="00141C3A">
        <w:rPr>
          <w:rFonts w:ascii="Times New Roman" w:hAnsi="Times New Roman"/>
          <w:sz w:val="24"/>
          <w:lang w:eastAsia="pt-PT"/>
        </w:rPr>
        <w:t xml:space="preserve"> </w:t>
      </w:r>
      <w:r w:rsidR="0079348A">
        <w:rPr>
          <w:rFonts w:ascii="Times New Roman" w:hAnsi="Times New Roman"/>
          <w:sz w:val="24"/>
          <w:lang w:eastAsia="pt-PT"/>
        </w:rPr>
        <w:t>e adicionando-lhe os factores consumo de álcool</w:t>
      </w:r>
      <w:r w:rsidRPr="00141C3A">
        <w:rPr>
          <w:rFonts w:ascii="Times New Roman" w:hAnsi="Times New Roman"/>
          <w:sz w:val="24"/>
          <w:lang w:eastAsia="pt-PT"/>
        </w:rPr>
        <w:t xml:space="preserve"> e tabaco</w:t>
      </w:r>
      <w:r w:rsidR="0079348A">
        <w:rPr>
          <w:rFonts w:ascii="Times New Roman" w:hAnsi="Times New Roman"/>
          <w:sz w:val="24"/>
          <w:lang w:eastAsia="pt-PT"/>
        </w:rPr>
        <w:t>,</w:t>
      </w:r>
      <w:r w:rsidRPr="00141C3A">
        <w:rPr>
          <w:rFonts w:ascii="Times New Roman" w:hAnsi="Times New Roman"/>
          <w:sz w:val="24"/>
          <w:lang w:eastAsia="pt-PT"/>
        </w:rPr>
        <w:t xml:space="preserve"> esta percentagem sobe para os 60%.</w:t>
      </w:r>
      <w:r w:rsidR="008A2BB6">
        <w:rPr>
          <w:rFonts w:ascii="Times New Roman" w:hAnsi="Times New Roman"/>
          <w:sz w:val="24"/>
          <w:lang w:eastAsia="pt-PT"/>
        </w:rPr>
        <w:t xml:space="preserve"> Os casos de cancro associados a uma</w:t>
      </w:r>
      <w:r w:rsidR="00141C3A">
        <w:rPr>
          <w:rFonts w:ascii="Times New Roman" w:hAnsi="Times New Roman"/>
          <w:sz w:val="24"/>
          <w:lang w:eastAsia="pt-PT"/>
        </w:rPr>
        <w:t xml:space="preserve"> predisposição genética </w:t>
      </w:r>
      <w:r w:rsidR="008A2BB6">
        <w:rPr>
          <w:rFonts w:ascii="Times New Roman" w:hAnsi="Times New Roman"/>
          <w:sz w:val="24"/>
          <w:lang w:eastAsia="pt-PT"/>
        </w:rPr>
        <w:t>a</w:t>
      </w:r>
      <w:r w:rsidR="00141C3A">
        <w:rPr>
          <w:rFonts w:ascii="Times New Roman" w:hAnsi="Times New Roman"/>
          <w:sz w:val="24"/>
          <w:lang w:eastAsia="pt-PT"/>
        </w:rPr>
        <w:t>presenta</w:t>
      </w:r>
      <w:r w:rsidR="008A2BB6">
        <w:rPr>
          <w:rFonts w:ascii="Times New Roman" w:hAnsi="Times New Roman"/>
          <w:sz w:val="24"/>
          <w:lang w:eastAsia="pt-PT"/>
        </w:rPr>
        <w:t xml:space="preserve">m uma percentagem de </w:t>
      </w:r>
      <w:r w:rsidR="00141C3A">
        <w:rPr>
          <w:rFonts w:ascii="Times New Roman" w:hAnsi="Times New Roman"/>
          <w:sz w:val="24"/>
          <w:lang w:eastAsia="pt-PT"/>
        </w:rPr>
        <w:t>20%</w:t>
      </w:r>
      <w:r w:rsidR="008A2BB6">
        <w:rPr>
          <w:rFonts w:ascii="Times New Roman" w:hAnsi="Times New Roman"/>
          <w:sz w:val="24"/>
          <w:lang w:eastAsia="pt-PT"/>
        </w:rPr>
        <w:t xml:space="preserve">, mas são os carcinogéneos ambientais tais como poluição das águas, radiação, vírus e medicação, os responsáveis pela maioria dos casos (Reddy </w:t>
      </w:r>
      <w:r w:rsidR="008A2BB6" w:rsidRPr="00141C3A">
        <w:rPr>
          <w:rFonts w:ascii="Times New Roman" w:hAnsi="Times New Roman"/>
          <w:i/>
          <w:sz w:val="24"/>
          <w:lang w:eastAsia="pt-PT"/>
        </w:rPr>
        <w:t>et al</w:t>
      </w:r>
      <w:r w:rsidR="008A2BB6">
        <w:rPr>
          <w:rFonts w:ascii="Times New Roman" w:hAnsi="Times New Roman"/>
          <w:sz w:val="24"/>
          <w:lang w:eastAsia="pt-PT"/>
        </w:rPr>
        <w:t xml:space="preserve">., 2003). </w:t>
      </w:r>
    </w:p>
    <w:p w:rsidR="00AF3EE8" w:rsidRPr="00C56655" w:rsidRDefault="000677B2" w:rsidP="007E57E6">
      <w:pPr>
        <w:autoSpaceDE w:val="0"/>
        <w:autoSpaceDN w:val="0"/>
        <w:adjustRightInd w:val="0"/>
        <w:jc w:val="both"/>
        <w:rPr>
          <w:rFonts w:ascii="Times New Roman" w:hAnsi="Times New Roman"/>
          <w:sz w:val="24"/>
          <w:szCs w:val="24"/>
          <w:lang w:eastAsia="pt-PT"/>
        </w:rPr>
      </w:pPr>
      <w:r>
        <w:rPr>
          <w:rFonts w:ascii="Times New Roman" w:hAnsi="Times New Roman"/>
          <w:sz w:val="24"/>
          <w:lang w:eastAsia="pt-PT"/>
        </w:rPr>
        <w:tab/>
      </w:r>
      <w:r w:rsidR="006A0930">
        <w:rPr>
          <w:rFonts w:ascii="Times New Roman" w:hAnsi="Times New Roman"/>
          <w:sz w:val="24"/>
          <w:lang w:eastAsia="pt-PT"/>
        </w:rPr>
        <w:t xml:space="preserve">Existem numerosos carcinogéneos fisiológicos e bioquímicos, por exemplo a radiação ultravioleta e a radiação de ionização, o tabaco, infecções por vírus (vírus da hepatite B causando cancro hepático), </w:t>
      </w:r>
      <w:r w:rsidR="00C56655">
        <w:rPr>
          <w:rFonts w:ascii="Times New Roman" w:hAnsi="Times New Roman"/>
          <w:sz w:val="24"/>
          <w:lang w:eastAsia="pt-PT"/>
        </w:rPr>
        <w:t xml:space="preserve">agentes </w:t>
      </w:r>
      <w:r w:rsidR="006A0930">
        <w:rPr>
          <w:rFonts w:ascii="Times New Roman" w:hAnsi="Times New Roman"/>
          <w:sz w:val="24"/>
          <w:lang w:eastAsia="pt-PT"/>
        </w:rPr>
        <w:t xml:space="preserve">bacterianos </w:t>
      </w:r>
      <w:r w:rsidR="006A0930" w:rsidRPr="006A0930">
        <w:rPr>
          <w:rFonts w:ascii="Times New Roman" w:hAnsi="Times New Roman"/>
          <w:sz w:val="24"/>
          <w:szCs w:val="24"/>
          <w:lang w:eastAsia="pt-PT"/>
        </w:rPr>
        <w:t>(</w:t>
      </w:r>
      <w:r w:rsidR="006A0930" w:rsidRPr="006A0930">
        <w:rPr>
          <w:rFonts w:ascii="Times New Roman" w:hAnsi="Times New Roman"/>
          <w:i/>
          <w:iCs/>
          <w:sz w:val="24"/>
          <w:szCs w:val="24"/>
          <w:lang w:eastAsia="pt-PT"/>
        </w:rPr>
        <w:t xml:space="preserve">Helicobacter pylori </w:t>
      </w:r>
      <w:r w:rsidR="006A0930" w:rsidRPr="006A0930">
        <w:rPr>
          <w:rFonts w:ascii="Times New Roman" w:hAnsi="Times New Roman"/>
          <w:iCs/>
          <w:sz w:val="24"/>
          <w:szCs w:val="24"/>
          <w:lang w:eastAsia="pt-PT"/>
        </w:rPr>
        <w:t>causando cancro gástrico)</w:t>
      </w:r>
      <w:r w:rsidR="006A0930" w:rsidRPr="006A0930">
        <w:rPr>
          <w:rFonts w:ascii="Times New Roman" w:hAnsi="Times New Roman"/>
          <w:sz w:val="24"/>
          <w:szCs w:val="24"/>
          <w:lang w:eastAsia="pt-PT"/>
        </w:rPr>
        <w:t>,</w:t>
      </w:r>
      <w:r w:rsidR="006A0930">
        <w:rPr>
          <w:rFonts w:ascii="Times New Roman" w:hAnsi="Times New Roman"/>
          <w:sz w:val="24"/>
          <w:szCs w:val="24"/>
          <w:lang w:eastAsia="pt-PT"/>
        </w:rPr>
        <w:t xml:space="preserve"> parasitas (</w:t>
      </w:r>
      <w:r w:rsidR="006A0930" w:rsidRPr="006A0930">
        <w:rPr>
          <w:rFonts w:ascii="Times New Roman" w:hAnsi="Times New Roman"/>
          <w:sz w:val="24"/>
          <w:szCs w:val="20"/>
          <w:lang w:eastAsia="pt-PT"/>
        </w:rPr>
        <w:t>schistosomiasis</w:t>
      </w:r>
      <w:r w:rsidR="006A0930">
        <w:rPr>
          <w:rFonts w:ascii="Times New Roman" w:hAnsi="Times New Roman"/>
          <w:sz w:val="24"/>
          <w:szCs w:val="20"/>
          <w:lang w:eastAsia="pt-PT"/>
        </w:rPr>
        <w:t xml:space="preserve"> causando cancro da bexiga</w:t>
      </w:r>
      <w:r w:rsidR="00C56655">
        <w:rPr>
          <w:rFonts w:ascii="Times New Roman" w:hAnsi="Times New Roman"/>
          <w:sz w:val="24"/>
          <w:szCs w:val="20"/>
          <w:lang w:eastAsia="pt-PT"/>
        </w:rPr>
        <w:t>)</w:t>
      </w:r>
      <w:r w:rsidR="006A0930">
        <w:rPr>
          <w:rFonts w:ascii="Times New Roman" w:hAnsi="Times New Roman"/>
          <w:sz w:val="24"/>
          <w:szCs w:val="20"/>
          <w:lang w:eastAsia="pt-PT"/>
        </w:rPr>
        <w:t>,</w:t>
      </w:r>
      <w:r w:rsidR="00C56655">
        <w:rPr>
          <w:rFonts w:ascii="Times New Roman" w:hAnsi="Times New Roman"/>
          <w:sz w:val="24"/>
          <w:szCs w:val="20"/>
          <w:lang w:eastAsia="pt-PT"/>
        </w:rPr>
        <w:t xml:space="preserve"> e</w:t>
      </w:r>
      <w:r w:rsidR="006A0930">
        <w:rPr>
          <w:rFonts w:ascii="Times New Roman" w:hAnsi="Times New Roman"/>
          <w:sz w:val="24"/>
          <w:szCs w:val="20"/>
          <w:lang w:eastAsia="pt-PT"/>
        </w:rPr>
        <w:t xml:space="preserve"> contaminaç</w:t>
      </w:r>
      <w:r w:rsidR="00C56655">
        <w:rPr>
          <w:rFonts w:ascii="Times New Roman" w:hAnsi="Times New Roman"/>
          <w:sz w:val="24"/>
          <w:szCs w:val="20"/>
          <w:lang w:eastAsia="pt-PT"/>
        </w:rPr>
        <w:t>ã</w:t>
      </w:r>
      <w:r w:rsidR="006A0930">
        <w:rPr>
          <w:rFonts w:ascii="Times New Roman" w:hAnsi="Times New Roman"/>
          <w:sz w:val="24"/>
          <w:szCs w:val="20"/>
          <w:lang w:eastAsia="pt-PT"/>
        </w:rPr>
        <w:t xml:space="preserve">o dos alimentos </w:t>
      </w:r>
      <w:r w:rsidR="00C56655">
        <w:rPr>
          <w:rFonts w:ascii="Times New Roman" w:hAnsi="Times New Roman"/>
          <w:sz w:val="24"/>
          <w:szCs w:val="20"/>
          <w:lang w:eastAsia="pt-PT"/>
        </w:rPr>
        <w:t xml:space="preserve">por </w:t>
      </w:r>
      <w:r w:rsidR="006A0930">
        <w:rPr>
          <w:rFonts w:ascii="Times New Roman" w:hAnsi="Times New Roman"/>
          <w:sz w:val="24"/>
          <w:szCs w:val="20"/>
          <w:lang w:eastAsia="pt-PT"/>
        </w:rPr>
        <w:t>micotoxinas</w:t>
      </w:r>
      <w:r w:rsidR="00C56655">
        <w:rPr>
          <w:rFonts w:ascii="Times New Roman" w:hAnsi="Times New Roman"/>
          <w:sz w:val="24"/>
          <w:szCs w:val="20"/>
          <w:lang w:eastAsia="pt-PT"/>
        </w:rPr>
        <w:t xml:space="preserve"> (aflotoxinas causando cancro hepático), entre outros (</w:t>
      </w:r>
      <w:r w:rsidR="00C56655">
        <w:rPr>
          <w:rFonts w:ascii="Times New Roman" w:hAnsi="Times New Roman"/>
          <w:sz w:val="24"/>
          <w:lang w:eastAsia="pt-PT"/>
        </w:rPr>
        <w:t xml:space="preserve">Huang </w:t>
      </w:r>
      <w:r w:rsidR="00C56655" w:rsidRPr="000677B2">
        <w:rPr>
          <w:rFonts w:ascii="Times New Roman" w:hAnsi="Times New Roman"/>
          <w:i/>
          <w:sz w:val="24"/>
          <w:lang w:eastAsia="pt-PT"/>
        </w:rPr>
        <w:t>et al</w:t>
      </w:r>
      <w:r w:rsidR="00C56655">
        <w:rPr>
          <w:rFonts w:ascii="Times New Roman" w:hAnsi="Times New Roman"/>
          <w:sz w:val="24"/>
          <w:lang w:eastAsia="pt-PT"/>
        </w:rPr>
        <w:t>., 2010)</w:t>
      </w:r>
      <w:r w:rsidR="00C56655">
        <w:rPr>
          <w:rFonts w:ascii="Times New Roman" w:hAnsi="Times New Roman"/>
          <w:sz w:val="24"/>
          <w:szCs w:val="20"/>
          <w:lang w:eastAsia="pt-PT"/>
        </w:rPr>
        <w:t xml:space="preserve">. </w:t>
      </w:r>
      <w:r w:rsidR="00C56655" w:rsidRPr="00B245FE">
        <w:rPr>
          <w:rFonts w:ascii="Times New Roman" w:hAnsi="Times New Roman"/>
          <w:sz w:val="24"/>
          <w:lang w:eastAsia="pt-PT"/>
        </w:rPr>
        <w:t>A exposição</w:t>
      </w:r>
      <w:r w:rsidR="00C56655">
        <w:rPr>
          <w:rFonts w:ascii="Times New Roman" w:hAnsi="Times New Roman"/>
          <w:sz w:val="24"/>
          <w:lang w:eastAsia="pt-PT"/>
        </w:rPr>
        <w:t xml:space="preserve"> </w:t>
      </w:r>
      <w:r w:rsidR="00C56655" w:rsidRPr="00B245FE">
        <w:rPr>
          <w:rFonts w:ascii="Times New Roman" w:hAnsi="Times New Roman"/>
          <w:sz w:val="24"/>
          <w:lang w:eastAsia="pt-PT"/>
        </w:rPr>
        <w:t>a este tipo de agentes pode causar o</w:t>
      </w:r>
      <w:r w:rsidR="00C56655">
        <w:rPr>
          <w:rFonts w:ascii="Times New Roman" w:hAnsi="Times New Roman"/>
          <w:sz w:val="24"/>
          <w:lang w:eastAsia="pt-PT"/>
        </w:rPr>
        <w:t xml:space="preserve"> </w:t>
      </w:r>
      <w:r w:rsidR="00C56655" w:rsidRPr="00B245FE">
        <w:rPr>
          <w:rFonts w:ascii="Times New Roman" w:hAnsi="Times New Roman"/>
          <w:sz w:val="24"/>
          <w:lang w:eastAsia="pt-PT"/>
        </w:rPr>
        <w:t>desenvolvimento de cancro, pela</w:t>
      </w:r>
      <w:r w:rsidR="00C56655">
        <w:rPr>
          <w:rFonts w:ascii="Times New Roman" w:hAnsi="Times New Roman"/>
          <w:sz w:val="24"/>
          <w:lang w:eastAsia="pt-PT"/>
        </w:rPr>
        <w:t xml:space="preserve"> </w:t>
      </w:r>
      <w:r w:rsidR="00C56655" w:rsidRPr="00B245FE">
        <w:rPr>
          <w:rFonts w:ascii="Times New Roman" w:hAnsi="Times New Roman"/>
          <w:sz w:val="24"/>
          <w:lang w:eastAsia="pt-PT"/>
        </w:rPr>
        <w:t>produção de efeitos genotóxicos no</w:t>
      </w:r>
      <w:r w:rsidR="00C56655">
        <w:rPr>
          <w:rFonts w:ascii="Times New Roman" w:hAnsi="Times New Roman"/>
          <w:sz w:val="24"/>
          <w:lang w:eastAsia="pt-PT"/>
        </w:rPr>
        <w:t xml:space="preserve"> ADN</w:t>
      </w:r>
      <w:r w:rsidR="00C56655" w:rsidRPr="00B245FE">
        <w:rPr>
          <w:rFonts w:ascii="Times New Roman" w:hAnsi="Times New Roman"/>
          <w:sz w:val="24"/>
          <w:lang w:eastAsia="pt-PT"/>
        </w:rPr>
        <w:t>, ou pelo aumento da proliferação</w:t>
      </w:r>
      <w:r w:rsidR="00C56655">
        <w:rPr>
          <w:rFonts w:ascii="Times New Roman" w:hAnsi="Times New Roman"/>
          <w:sz w:val="24"/>
          <w:lang w:eastAsia="pt-PT"/>
        </w:rPr>
        <w:t xml:space="preserve"> </w:t>
      </w:r>
      <w:r w:rsidR="00C56655" w:rsidRPr="00B245FE">
        <w:rPr>
          <w:rFonts w:ascii="Times New Roman" w:hAnsi="Times New Roman"/>
          <w:sz w:val="24"/>
          <w:lang w:eastAsia="pt-PT"/>
        </w:rPr>
        <w:t xml:space="preserve">celular, ou ambos (Burtis </w:t>
      </w:r>
      <w:r w:rsidR="00C56655" w:rsidRPr="00A9705D">
        <w:rPr>
          <w:rFonts w:ascii="Times New Roman" w:hAnsi="Times New Roman"/>
          <w:i/>
          <w:sz w:val="24"/>
          <w:szCs w:val="24"/>
        </w:rPr>
        <w:t>et al</w:t>
      </w:r>
      <w:r w:rsidR="00C56655">
        <w:rPr>
          <w:rFonts w:ascii="Times New Roman" w:hAnsi="Times New Roman"/>
          <w:sz w:val="24"/>
          <w:szCs w:val="24"/>
        </w:rPr>
        <w:t>., 2008</w:t>
      </w:r>
      <w:r w:rsidR="00C56655">
        <w:rPr>
          <w:rFonts w:ascii="Times New Roman" w:hAnsi="Times New Roman"/>
          <w:sz w:val="24"/>
          <w:lang w:eastAsia="pt-PT"/>
        </w:rPr>
        <w:t>).</w:t>
      </w:r>
      <w:r w:rsidR="00C56655" w:rsidRPr="000677B2">
        <w:rPr>
          <w:sz w:val="23"/>
          <w:szCs w:val="23"/>
        </w:rPr>
        <w:t xml:space="preserve"> </w:t>
      </w:r>
      <w:r w:rsidR="00C56655" w:rsidRPr="00C56655">
        <w:rPr>
          <w:rFonts w:ascii="Times New Roman" w:hAnsi="Times New Roman"/>
          <w:sz w:val="24"/>
          <w:lang w:eastAsia="pt-PT"/>
        </w:rPr>
        <w:t xml:space="preserve">Alguns tipos de cancro devem-se </w:t>
      </w:r>
      <w:r w:rsidR="00C56655">
        <w:rPr>
          <w:rFonts w:ascii="Times New Roman" w:hAnsi="Times New Roman"/>
          <w:sz w:val="24"/>
          <w:lang w:eastAsia="pt-PT"/>
        </w:rPr>
        <w:t xml:space="preserve">à subprodução de </w:t>
      </w:r>
      <w:r w:rsidR="00C56655" w:rsidRPr="00C56655">
        <w:rPr>
          <w:rFonts w:ascii="Times New Roman" w:hAnsi="Times New Roman"/>
          <w:sz w:val="24"/>
          <w:lang w:eastAsia="pt-PT"/>
        </w:rPr>
        <w:t>radicais livres d</w:t>
      </w:r>
      <w:r w:rsidR="00C56655">
        <w:rPr>
          <w:rFonts w:ascii="Times New Roman" w:hAnsi="Times New Roman"/>
          <w:sz w:val="24"/>
          <w:lang w:eastAsia="pt-PT"/>
        </w:rPr>
        <w:t xml:space="preserve">e oxigénio e outras espécies reactivas de oxigénio, que causam danos oxidativos ao nível das biomoléculas essenciais à vida, os lípidos, proteínas e ADN </w:t>
      </w:r>
      <w:r w:rsidR="00C56655">
        <w:rPr>
          <w:rFonts w:ascii="Times New Roman" w:hAnsi="Times New Roman"/>
          <w:sz w:val="24"/>
          <w:szCs w:val="20"/>
          <w:lang w:eastAsia="pt-PT"/>
        </w:rPr>
        <w:t>(</w:t>
      </w:r>
      <w:r w:rsidR="00C56655">
        <w:rPr>
          <w:rFonts w:ascii="Times New Roman" w:hAnsi="Times New Roman"/>
          <w:sz w:val="24"/>
          <w:lang w:eastAsia="pt-PT"/>
        </w:rPr>
        <w:t xml:space="preserve">Huang </w:t>
      </w:r>
      <w:r w:rsidR="00C56655" w:rsidRPr="000677B2">
        <w:rPr>
          <w:rFonts w:ascii="Times New Roman" w:hAnsi="Times New Roman"/>
          <w:i/>
          <w:sz w:val="24"/>
          <w:lang w:eastAsia="pt-PT"/>
        </w:rPr>
        <w:t>et al</w:t>
      </w:r>
      <w:r w:rsidR="00C56655">
        <w:rPr>
          <w:rFonts w:ascii="Times New Roman" w:hAnsi="Times New Roman"/>
          <w:sz w:val="24"/>
          <w:lang w:eastAsia="pt-PT"/>
        </w:rPr>
        <w:t>., 2010).</w:t>
      </w:r>
      <w:r w:rsidR="00C56655">
        <w:rPr>
          <w:rFonts w:ascii="Times New Roman" w:hAnsi="Times New Roman"/>
          <w:sz w:val="24"/>
          <w:szCs w:val="24"/>
          <w:lang w:eastAsia="pt-PT"/>
        </w:rPr>
        <w:t xml:space="preserve"> </w:t>
      </w:r>
      <w:r w:rsidRPr="000677B2">
        <w:rPr>
          <w:rFonts w:ascii="Times New Roman" w:hAnsi="Times New Roman"/>
          <w:sz w:val="24"/>
          <w:lang w:eastAsia="pt-PT"/>
        </w:rPr>
        <w:t xml:space="preserve">É efectivamente na dieta, que estes carcinogéneos iniciam a primeira fase do processo de crescimento tumoral. </w:t>
      </w:r>
      <w:r w:rsidRPr="000677B2">
        <w:rPr>
          <w:rFonts w:ascii="Times New Roman" w:hAnsi="Times New Roman"/>
          <w:sz w:val="24"/>
          <w:szCs w:val="23"/>
        </w:rPr>
        <w:t xml:space="preserve">A combinação de certos alimentos pode resultar num efeito cumulativo, e uma dieta desequilibrada associada a outros factores de risco, como a poluição ambiental, a exposição excessiva a radiações UV, a falta de exercício físico e </w:t>
      </w:r>
      <w:r w:rsidRPr="000677B2">
        <w:rPr>
          <w:rFonts w:ascii="Times New Roman" w:hAnsi="Times New Roman"/>
          <w:iCs/>
          <w:sz w:val="24"/>
          <w:szCs w:val="23"/>
        </w:rPr>
        <w:t>stress</w:t>
      </w:r>
      <w:r w:rsidRPr="000677B2">
        <w:rPr>
          <w:rFonts w:ascii="Times New Roman" w:hAnsi="Times New Roman"/>
          <w:sz w:val="24"/>
          <w:szCs w:val="23"/>
        </w:rPr>
        <w:t>, criam uma maior predisposição para o desenvolvimento das fases iniciais do processo carcinogénico</w:t>
      </w:r>
      <w:r>
        <w:rPr>
          <w:rFonts w:ascii="Times New Roman" w:hAnsi="Times New Roman"/>
          <w:sz w:val="24"/>
          <w:szCs w:val="23"/>
        </w:rPr>
        <w:t xml:space="preserve"> </w:t>
      </w:r>
      <w:r w:rsidRPr="000677B2">
        <w:rPr>
          <w:rFonts w:ascii="Times New Roman" w:hAnsi="Times New Roman"/>
          <w:sz w:val="24"/>
          <w:lang w:eastAsia="pt-PT"/>
        </w:rPr>
        <w:t xml:space="preserve">(Reddy </w:t>
      </w:r>
      <w:r w:rsidRPr="000677B2">
        <w:rPr>
          <w:rFonts w:ascii="Times New Roman" w:hAnsi="Times New Roman"/>
          <w:i/>
          <w:sz w:val="24"/>
          <w:lang w:eastAsia="pt-PT"/>
        </w:rPr>
        <w:t>et al</w:t>
      </w:r>
      <w:r>
        <w:rPr>
          <w:rFonts w:ascii="Times New Roman" w:hAnsi="Times New Roman"/>
          <w:sz w:val="24"/>
          <w:lang w:eastAsia="pt-PT"/>
        </w:rPr>
        <w:t>., 2003).</w:t>
      </w:r>
      <w:r w:rsidR="00C56655">
        <w:rPr>
          <w:rFonts w:ascii="Times New Roman" w:hAnsi="Times New Roman"/>
          <w:sz w:val="24"/>
          <w:lang w:eastAsia="pt-PT"/>
        </w:rPr>
        <w:t xml:space="preserve"> </w:t>
      </w:r>
    </w:p>
    <w:p w:rsidR="005A0E33" w:rsidRPr="005A0E33" w:rsidRDefault="00AF3EE8" w:rsidP="00FF39C8">
      <w:pPr>
        <w:autoSpaceDE w:val="0"/>
        <w:autoSpaceDN w:val="0"/>
        <w:adjustRightInd w:val="0"/>
        <w:jc w:val="both"/>
        <w:rPr>
          <w:rFonts w:ascii="Times New Roman" w:hAnsi="Times New Roman"/>
          <w:sz w:val="24"/>
          <w:lang w:eastAsia="pt-PT"/>
        </w:rPr>
      </w:pPr>
      <w:r w:rsidRPr="002407E3">
        <w:rPr>
          <w:rFonts w:ascii="Times New Roman" w:hAnsi="Times New Roman"/>
          <w:sz w:val="24"/>
          <w:lang w:eastAsia="pt-PT"/>
        </w:rPr>
        <w:tab/>
      </w:r>
      <w:r w:rsidR="007E57E6">
        <w:rPr>
          <w:rFonts w:ascii="Times New Roman" w:hAnsi="Times New Roman"/>
          <w:sz w:val="24"/>
          <w:lang w:eastAsia="pt-PT"/>
        </w:rPr>
        <w:t xml:space="preserve">Os efeitos do crescimento tumoral podem ser locais ou sistémicos, e se o seu crescimento não for controlado eficientemente com recurso a diferentes estratégias de </w:t>
      </w:r>
      <w:r w:rsidR="007E57E6">
        <w:rPr>
          <w:rFonts w:ascii="Times New Roman" w:hAnsi="Times New Roman"/>
          <w:sz w:val="24"/>
          <w:lang w:eastAsia="pt-PT"/>
        </w:rPr>
        <w:lastRenderedPageBreak/>
        <w:t>tratamento, as consequências podem incluir a obstrução de vasos sanguíneos, de vasos</w:t>
      </w:r>
      <w:r w:rsidR="00B245FE">
        <w:rPr>
          <w:rFonts w:ascii="Times New Roman" w:hAnsi="Times New Roman"/>
          <w:sz w:val="24"/>
          <w:lang w:eastAsia="pt-PT"/>
        </w:rPr>
        <w:t xml:space="preserve"> </w:t>
      </w:r>
      <w:r w:rsidR="007E57E6">
        <w:rPr>
          <w:rFonts w:ascii="Times New Roman" w:hAnsi="Times New Roman"/>
          <w:sz w:val="24"/>
          <w:lang w:eastAsia="pt-PT"/>
        </w:rPr>
        <w:t>linfáticos ou ductos, danos no sistem</w:t>
      </w:r>
      <w:r w:rsidR="00B245FE">
        <w:rPr>
          <w:rFonts w:ascii="Times New Roman" w:hAnsi="Times New Roman"/>
          <w:sz w:val="24"/>
          <w:lang w:eastAsia="pt-PT"/>
        </w:rPr>
        <w:t>a nervoso, hemorragias, infecções graves</w:t>
      </w:r>
      <w:r w:rsidR="007E57E6">
        <w:rPr>
          <w:rFonts w:ascii="Times New Roman" w:hAnsi="Times New Roman"/>
          <w:sz w:val="24"/>
          <w:lang w:eastAsia="pt-PT"/>
        </w:rPr>
        <w:t xml:space="preserve">, necrose dos tecidos circundantes </w:t>
      </w:r>
      <w:r w:rsidR="00B245FE">
        <w:rPr>
          <w:rFonts w:ascii="Times New Roman" w:hAnsi="Times New Roman"/>
          <w:sz w:val="24"/>
          <w:lang w:eastAsia="pt-PT"/>
        </w:rPr>
        <w:t>e eventual</w:t>
      </w:r>
      <w:r w:rsidR="00FF39C8">
        <w:rPr>
          <w:rFonts w:ascii="Times New Roman" w:hAnsi="Times New Roman"/>
          <w:sz w:val="24"/>
          <w:lang w:eastAsia="pt-PT"/>
        </w:rPr>
        <w:t>mente conduzir à</w:t>
      </w:r>
      <w:r w:rsidR="00B245FE">
        <w:rPr>
          <w:rFonts w:ascii="Times New Roman" w:hAnsi="Times New Roman"/>
          <w:sz w:val="24"/>
          <w:lang w:eastAsia="pt-PT"/>
        </w:rPr>
        <w:t xml:space="preserve"> morte </w:t>
      </w:r>
      <w:r w:rsidR="00B245FE">
        <w:rPr>
          <w:rFonts w:ascii="Times New Roman" w:hAnsi="Times New Roman"/>
          <w:sz w:val="24"/>
          <w:szCs w:val="24"/>
        </w:rPr>
        <w:t xml:space="preserve">(Gaw </w:t>
      </w:r>
      <w:r w:rsidR="00B245FE" w:rsidRPr="005A0E33">
        <w:rPr>
          <w:rFonts w:ascii="Times New Roman" w:hAnsi="Times New Roman"/>
          <w:i/>
          <w:sz w:val="24"/>
          <w:szCs w:val="24"/>
        </w:rPr>
        <w:t>et al</w:t>
      </w:r>
      <w:r w:rsidR="00B245FE">
        <w:rPr>
          <w:rFonts w:ascii="Times New Roman" w:hAnsi="Times New Roman"/>
          <w:sz w:val="24"/>
          <w:szCs w:val="24"/>
        </w:rPr>
        <w:t>., 2008)</w:t>
      </w:r>
      <w:r w:rsidR="00B245FE">
        <w:rPr>
          <w:rFonts w:ascii="Times New Roman" w:hAnsi="Times New Roman"/>
          <w:sz w:val="24"/>
          <w:lang w:eastAsia="pt-PT"/>
        </w:rPr>
        <w:t xml:space="preserve">. </w:t>
      </w:r>
      <w:r w:rsidR="00FF39C8" w:rsidRPr="00FF39C8">
        <w:rPr>
          <w:rFonts w:ascii="Times New Roman" w:hAnsi="Times New Roman"/>
          <w:sz w:val="24"/>
          <w:lang w:eastAsia="pt-PT"/>
        </w:rPr>
        <w:t>Os avanços da genética molecular têm contribuído para um melhor</w:t>
      </w:r>
      <w:r w:rsidR="00FF39C8">
        <w:rPr>
          <w:rFonts w:ascii="Times New Roman" w:hAnsi="Times New Roman"/>
          <w:sz w:val="24"/>
          <w:lang w:eastAsia="pt-PT"/>
        </w:rPr>
        <w:t xml:space="preserve"> </w:t>
      </w:r>
      <w:r w:rsidR="00FF39C8" w:rsidRPr="00FF39C8">
        <w:rPr>
          <w:rFonts w:ascii="Times New Roman" w:hAnsi="Times New Roman"/>
          <w:sz w:val="24"/>
          <w:lang w:eastAsia="pt-PT"/>
        </w:rPr>
        <w:t>entendimento da génese do cancro humano. A proliferação normal das células é regulada por</w:t>
      </w:r>
      <w:r w:rsidR="00FF39C8">
        <w:rPr>
          <w:rFonts w:ascii="Times New Roman" w:hAnsi="Times New Roman"/>
          <w:sz w:val="24"/>
          <w:lang w:eastAsia="pt-PT"/>
        </w:rPr>
        <w:t xml:space="preserve"> </w:t>
      </w:r>
      <w:r w:rsidR="00FF39C8" w:rsidRPr="00FF39C8">
        <w:rPr>
          <w:rFonts w:ascii="Times New Roman" w:hAnsi="Times New Roman"/>
          <w:sz w:val="24"/>
          <w:lang w:eastAsia="pt-PT"/>
        </w:rPr>
        <w:t>oncogenes, e contra-balançada por elementos com função de restringir o seu crescimento</w:t>
      </w:r>
      <w:r w:rsidR="00FF39C8">
        <w:rPr>
          <w:rFonts w:ascii="Times New Roman" w:hAnsi="Times New Roman"/>
          <w:sz w:val="24"/>
          <w:lang w:eastAsia="pt-PT"/>
        </w:rPr>
        <w:t xml:space="preserve"> designados</w:t>
      </w:r>
      <w:r w:rsidR="00FF39C8" w:rsidRPr="00FF39C8">
        <w:rPr>
          <w:rFonts w:ascii="Times New Roman" w:hAnsi="Times New Roman"/>
          <w:sz w:val="24"/>
          <w:lang w:eastAsia="pt-PT"/>
        </w:rPr>
        <w:t xml:space="preserve"> de genes supressores d</w:t>
      </w:r>
      <w:r w:rsidR="00FF39C8">
        <w:rPr>
          <w:rFonts w:ascii="Times New Roman" w:hAnsi="Times New Roman"/>
          <w:sz w:val="24"/>
          <w:lang w:eastAsia="pt-PT"/>
        </w:rPr>
        <w:t>e tumores. O desenvolvimento tumoral</w:t>
      </w:r>
      <w:r w:rsidR="00FF39C8" w:rsidRPr="00FF39C8">
        <w:rPr>
          <w:rFonts w:ascii="Times New Roman" w:hAnsi="Times New Roman"/>
          <w:sz w:val="24"/>
          <w:lang w:eastAsia="pt-PT"/>
        </w:rPr>
        <w:t xml:space="preserve"> parece estar</w:t>
      </w:r>
      <w:r w:rsidR="00FF39C8">
        <w:rPr>
          <w:rFonts w:ascii="Times New Roman" w:hAnsi="Times New Roman"/>
          <w:sz w:val="24"/>
          <w:lang w:eastAsia="pt-PT"/>
        </w:rPr>
        <w:t xml:space="preserve"> assim </w:t>
      </w:r>
      <w:r w:rsidR="00FF39C8" w:rsidRPr="00FF39C8">
        <w:rPr>
          <w:rFonts w:ascii="Times New Roman" w:hAnsi="Times New Roman"/>
          <w:sz w:val="24"/>
          <w:lang w:eastAsia="pt-PT"/>
        </w:rPr>
        <w:t>implicado com a activaç</w:t>
      </w:r>
      <w:r w:rsidR="00FF39C8">
        <w:rPr>
          <w:rFonts w:ascii="Times New Roman" w:hAnsi="Times New Roman"/>
          <w:sz w:val="24"/>
          <w:lang w:eastAsia="pt-PT"/>
        </w:rPr>
        <w:t>ão ou alteração da expressão de</w:t>
      </w:r>
      <w:r w:rsidR="00FF39C8" w:rsidRPr="00FF39C8">
        <w:rPr>
          <w:rFonts w:ascii="Times New Roman" w:hAnsi="Times New Roman"/>
          <w:sz w:val="24"/>
          <w:lang w:eastAsia="pt-PT"/>
        </w:rPr>
        <w:t xml:space="preserve"> oncogenes, ou pela perda ou</w:t>
      </w:r>
      <w:r w:rsidR="00FF39C8">
        <w:rPr>
          <w:rFonts w:ascii="Times New Roman" w:hAnsi="Times New Roman"/>
          <w:sz w:val="24"/>
          <w:lang w:eastAsia="pt-PT"/>
        </w:rPr>
        <w:t xml:space="preserve"> </w:t>
      </w:r>
      <w:r w:rsidR="00FF39C8" w:rsidRPr="00FF39C8">
        <w:rPr>
          <w:rFonts w:ascii="Times New Roman" w:hAnsi="Times New Roman"/>
          <w:sz w:val="24"/>
          <w:lang w:eastAsia="pt-PT"/>
        </w:rPr>
        <w:t xml:space="preserve">inactivação de genes supressores de tumores </w:t>
      </w:r>
      <w:r w:rsidR="00FF39C8" w:rsidRPr="00B245FE">
        <w:rPr>
          <w:rFonts w:ascii="Times New Roman" w:hAnsi="Times New Roman"/>
          <w:sz w:val="24"/>
          <w:lang w:eastAsia="pt-PT"/>
        </w:rPr>
        <w:t xml:space="preserve">(Burtis </w:t>
      </w:r>
      <w:r w:rsidR="00FF39C8" w:rsidRPr="00A9705D">
        <w:rPr>
          <w:rFonts w:ascii="Times New Roman" w:hAnsi="Times New Roman"/>
          <w:i/>
          <w:sz w:val="24"/>
          <w:szCs w:val="24"/>
        </w:rPr>
        <w:t>et al</w:t>
      </w:r>
      <w:r w:rsidR="00FF39C8">
        <w:rPr>
          <w:rFonts w:ascii="Times New Roman" w:hAnsi="Times New Roman"/>
          <w:sz w:val="24"/>
          <w:szCs w:val="24"/>
        </w:rPr>
        <w:t>., 2008</w:t>
      </w:r>
      <w:r w:rsidR="00FF39C8">
        <w:rPr>
          <w:rFonts w:ascii="Times New Roman" w:hAnsi="Times New Roman"/>
          <w:sz w:val="24"/>
          <w:lang w:eastAsia="pt-PT"/>
        </w:rPr>
        <w:t>).</w:t>
      </w:r>
    </w:p>
    <w:p w:rsidR="002342E0" w:rsidRPr="00CE01D0" w:rsidRDefault="00B245FE" w:rsidP="00CE01D0">
      <w:pPr>
        <w:autoSpaceDE w:val="0"/>
        <w:autoSpaceDN w:val="0"/>
        <w:adjustRightInd w:val="0"/>
        <w:jc w:val="both"/>
        <w:rPr>
          <w:rFonts w:ascii="Times New Roman" w:hAnsi="Times New Roman"/>
          <w:sz w:val="24"/>
          <w:lang w:eastAsia="pt-PT"/>
        </w:rPr>
      </w:pPr>
      <w:r>
        <w:rPr>
          <w:rFonts w:ascii="Times New Roman" w:hAnsi="Times New Roman"/>
          <w:sz w:val="24"/>
          <w:lang w:eastAsia="pt-PT"/>
        </w:rPr>
        <w:tab/>
      </w:r>
      <w:r w:rsidR="00416C60">
        <w:rPr>
          <w:rFonts w:ascii="Times New Roman" w:hAnsi="Times New Roman"/>
          <w:sz w:val="24"/>
          <w:lang w:eastAsia="pt-PT"/>
        </w:rPr>
        <w:t>O processo carcinogénico envolve várias etapas de alterações genéticas que afectam proto-oncogenes ou genes supressores de tumores numa ún</w:t>
      </w:r>
      <w:r w:rsidR="003B16CD">
        <w:rPr>
          <w:rFonts w:ascii="Times New Roman" w:hAnsi="Times New Roman"/>
          <w:sz w:val="24"/>
          <w:lang w:eastAsia="pt-PT"/>
        </w:rPr>
        <w:t>ica célula ou em células clone, abrangendo três etapas essenciais,</w:t>
      </w:r>
      <w:r w:rsidR="003B16CD" w:rsidRPr="003B16CD">
        <w:rPr>
          <w:rFonts w:ascii="Times New Roman" w:hAnsi="Times New Roman"/>
          <w:sz w:val="24"/>
          <w:lang w:eastAsia="pt-PT"/>
        </w:rPr>
        <w:t xml:space="preserve"> iniciação, promoção e progressão (Reddy </w:t>
      </w:r>
      <w:r w:rsidR="003B16CD" w:rsidRPr="00116E01">
        <w:rPr>
          <w:rFonts w:ascii="Times New Roman" w:hAnsi="Times New Roman"/>
          <w:i/>
          <w:sz w:val="24"/>
          <w:lang w:eastAsia="pt-PT"/>
        </w:rPr>
        <w:t>et al</w:t>
      </w:r>
      <w:r w:rsidR="003B16CD" w:rsidRPr="003B16CD">
        <w:rPr>
          <w:rFonts w:ascii="Times New Roman" w:hAnsi="Times New Roman"/>
          <w:sz w:val="24"/>
          <w:lang w:eastAsia="pt-PT"/>
        </w:rPr>
        <w:t>., 2003).</w:t>
      </w:r>
      <w:r w:rsidR="003B16CD">
        <w:rPr>
          <w:rFonts w:ascii="Times New Roman" w:hAnsi="Times New Roman"/>
          <w:sz w:val="24"/>
          <w:lang w:eastAsia="pt-PT"/>
        </w:rPr>
        <w:t xml:space="preserve"> </w:t>
      </w:r>
      <w:r w:rsidR="00416C60">
        <w:rPr>
          <w:rFonts w:ascii="Times New Roman" w:hAnsi="Times New Roman"/>
          <w:sz w:val="24"/>
          <w:lang w:eastAsia="pt-PT"/>
        </w:rPr>
        <w:t>Esta</w:t>
      </w:r>
      <w:r w:rsidR="00CE01D0">
        <w:rPr>
          <w:rFonts w:ascii="Times New Roman" w:hAnsi="Times New Roman"/>
          <w:sz w:val="24"/>
          <w:lang w:eastAsia="pt-PT"/>
        </w:rPr>
        <w:t>s alterações</w:t>
      </w:r>
      <w:r w:rsidR="00416C60">
        <w:rPr>
          <w:rFonts w:ascii="Times New Roman" w:hAnsi="Times New Roman"/>
          <w:sz w:val="24"/>
          <w:lang w:eastAsia="pt-PT"/>
        </w:rPr>
        <w:t xml:space="preserve"> genética</w:t>
      </w:r>
      <w:r w:rsidR="00732FC2">
        <w:rPr>
          <w:rFonts w:ascii="Times New Roman" w:hAnsi="Times New Roman"/>
          <w:sz w:val="24"/>
          <w:lang w:eastAsia="pt-PT"/>
        </w:rPr>
        <w:t>s</w:t>
      </w:r>
      <w:r w:rsidR="00416C60">
        <w:rPr>
          <w:rFonts w:ascii="Times New Roman" w:hAnsi="Times New Roman"/>
          <w:sz w:val="24"/>
          <w:lang w:eastAsia="pt-PT"/>
        </w:rPr>
        <w:t xml:space="preserve"> pode</w:t>
      </w:r>
      <w:r w:rsidR="00CE01D0">
        <w:rPr>
          <w:rFonts w:ascii="Times New Roman" w:hAnsi="Times New Roman"/>
          <w:sz w:val="24"/>
          <w:lang w:eastAsia="pt-PT"/>
        </w:rPr>
        <w:t>m</w:t>
      </w:r>
      <w:r w:rsidR="00416C60">
        <w:rPr>
          <w:rFonts w:ascii="Times New Roman" w:hAnsi="Times New Roman"/>
          <w:sz w:val="24"/>
          <w:lang w:eastAsia="pt-PT"/>
        </w:rPr>
        <w:t xml:space="preserve"> ser iniciada</w:t>
      </w:r>
      <w:r w:rsidR="00CE01D0">
        <w:rPr>
          <w:rFonts w:ascii="Times New Roman" w:hAnsi="Times New Roman"/>
          <w:sz w:val="24"/>
          <w:lang w:eastAsia="pt-PT"/>
        </w:rPr>
        <w:t>s</w:t>
      </w:r>
      <w:r w:rsidR="00416C60">
        <w:rPr>
          <w:rFonts w:ascii="Times New Roman" w:hAnsi="Times New Roman"/>
          <w:sz w:val="24"/>
          <w:lang w:eastAsia="pt-PT"/>
        </w:rPr>
        <w:t xml:space="preserve"> por crescentes e persistentes danos no ADN, causando danos permanentes na informação genética aquando dos fenómenos de replicação de ADN e de divisão celular. </w:t>
      </w:r>
      <w:r w:rsidR="00CE01D0">
        <w:rPr>
          <w:rFonts w:ascii="Times New Roman" w:hAnsi="Times New Roman"/>
          <w:sz w:val="24"/>
          <w:lang w:eastAsia="pt-PT"/>
        </w:rPr>
        <w:t>As e</w:t>
      </w:r>
      <w:r w:rsidR="00416C60">
        <w:rPr>
          <w:rFonts w:ascii="Times New Roman" w:hAnsi="Times New Roman"/>
          <w:sz w:val="24"/>
          <w:lang w:eastAsia="pt-PT"/>
        </w:rPr>
        <w:t xml:space="preserve">spécies reactivas de oxigénio e azoto constituem potenciais agentes carcinogénicos uma vez que podem directa e indirectamente induzir alterações estruturais no ADN por reacções de oxidação, metilação, depurinação, e </w:t>
      </w:r>
      <w:r w:rsidR="00416C60" w:rsidRPr="0043082D">
        <w:rPr>
          <w:rFonts w:ascii="Times New Roman" w:hAnsi="Times New Roman"/>
          <w:sz w:val="24"/>
          <w:lang w:eastAsia="pt-PT"/>
        </w:rPr>
        <w:t>desaminação.</w:t>
      </w:r>
      <w:r w:rsidR="00416C60">
        <w:rPr>
          <w:rFonts w:ascii="Times New Roman" w:hAnsi="Times New Roman"/>
          <w:sz w:val="24"/>
          <w:lang w:eastAsia="pt-PT"/>
        </w:rPr>
        <w:t xml:space="preserve"> A capacidade de alguns fitoquimicos, nomeadamente polifenóis de actuar enquanto anti-carcinogénicos, pela inibição de danos no ADN causados por oxidação encontra-se bem documentada. O número e posição dos grupos hidroxilo na estrutura química do flavonóide parecem exercer um papel determinante no potencial antioxidante e citoprotector destes compostos (Duthie </w:t>
      </w:r>
      <w:r w:rsidR="00416C60" w:rsidRPr="00A9705D">
        <w:rPr>
          <w:rFonts w:ascii="Times New Roman" w:hAnsi="Times New Roman"/>
          <w:i/>
          <w:sz w:val="24"/>
          <w:szCs w:val="24"/>
        </w:rPr>
        <w:t>et al</w:t>
      </w:r>
      <w:r w:rsidR="00416C60" w:rsidRPr="003B16CD">
        <w:rPr>
          <w:rFonts w:ascii="Times New Roman" w:hAnsi="Times New Roman"/>
          <w:sz w:val="24"/>
          <w:lang w:eastAsia="pt-PT"/>
        </w:rPr>
        <w:t>., 2000</w:t>
      </w:r>
      <w:r w:rsidR="00416C60">
        <w:rPr>
          <w:rFonts w:ascii="Times New Roman" w:hAnsi="Times New Roman"/>
          <w:sz w:val="24"/>
          <w:lang w:eastAsia="pt-PT"/>
        </w:rPr>
        <w:t xml:space="preserve">). </w:t>
      </w:r>
      <w:r w:rsidR="00416C60" w:rsidRPr="00787481">
        <w:rPr>
          <w:rFonts w:ascii="Times New Roman" w:hAnsi="Times New Roman"/>
          <w:color w:val="000000"/>
          <w:sz w:val="24"/>
          <w:szCs w:val="23"/>
          <w:lang w:eastAsia="pt-PT"/>
        </w:rPr>
        <w:tab/>
      </w:r>
    </w:p>
    <w:p w:rsidR="00732FC2" w:rsidRDefault="00732FC2" w:rsidP="0083246F">
      <w:pPr>
        <w:pStyle w:val="Default"/>
        <w:spacing w:after="240" w:line="276" w:lineRule="auto"/>
        <w:ind w:firstLine="708"/>
        <w:jc w:val="both"/>
      </w:pPr>
      <w:r w:rsidRPr="00317FCE">
        <w:rPr>
          <w:szCs w:val="23"/>
        </w:rPr>
        <w:t xml:space="preserve">Os genes que controlam a apoptose exercem um efeito importante no crescimento tumoral através da interrupção do processo apoptótico que conduz à iniciação, progressão e metastização tumoral. </w:t>
      </w:r>
      <w:r>
        <w:rPr>
          <w:szCs w:val="23"/>
        </w:rPr>
        <w:t xml:space="preserve">Pensa-se que </w:t>
      </w:r>
      <w:r w:rsidRPr="00317FCE">
        <w:rPr>
          <w:szCs w:val="23"/>
        </w:rPr>
        <w:t xml:space="preserve">um dos mecanismos de supressão tumoral dos produtos naturais acontecerá por indução de apoptose, desta forma </w:t>
      </w:r>
      <w:r>
        <w:rPr>
          <w:szCs w:val="23"/>
        </w:rPr>
        <w:t xml:space="preserve">é proporcionada </w:t>
      </w:r>
      <w:r w:rsidRPr="00317FCE">
        <w:rPr>
          <w:szCs w:val="23"/>
        </w:rPr>
        <w:t xml:space="preserve">uma base genética para a terapia anti-cancerígena </w:t>
      </w:r>
      <w:r>
        <w:rPr>
          <w:szCs w:val="23"/>
        </w:rPr>
        <w:t>na utilização</w:t>
      </w:r>
      <w:r w:rsidRPr="00317FCE">
        <w:rPr>
          <w:szCs w:val="23"/>
        </w:rPr>
        <w:t xml:space="preserve"> </w:t>
      </w:r>
      <w:r>
        <w:rPr>
          <w:szCs w:val="23"/>
        </w:rPr>
        <w:t>d</w:t>
      </w:r>
      <w:r w:rsidRPr="00317FCE">
        <w:rPr>
          <w:szCs w:val="23"/>
        </w:rPr>
        <w:t>estes produtos</w:t>
      </w:r>
      <w:r>
        <w:rPr>
          <w:szCs w:val="23"/>
        </w:rPr>
        <w:t xml:space="preserve"> </w:t>
      </w:r>
      <w:r w:rsidRPr="00317FCE">
        <w:rPr>
          <w:szCs w:val="23"/>
        </w:rPr>
        <w:t xml:space="preserve">(Reddy </w:t>
      </w:r>
      <w:r w:rsidRPr="00116E01">
        <w:rPr>
          <w:i/>
          <w:szCs w:val="23"/>
        </w:rPr>
        <w:t>et al</w:t>
      </w:r>
      <w:r w:rsidRPr="00317FCE">
        <w:rPr>
          <w:szCs w:val="23"/>
        </w:rPr>
        <w:t>., 2003).</w:t>
      </w:r>
      <w:r>
        <w:rPr>
          <w:szCs w:val="23"/>
        </w:rPr>
        <w:t xml:space="preserve"> </w:t>
      </w:r>
      <w:r>
        <w:t>No cenário actual torna-se premente a identificação dos genes implicados nos processos de proliferação tumoral para a compreensão da base molecular implicada na metástase tumoral (</w:t>
      </w:r>
      <w:r w:rsidRPr="000677B2">
        <w:t xml:space="preserve">Gupta </w:t>
      </w:r>
      <w:r w:rsidRPr="000677B2">
        <w:rPr>
          <w:i/>
        </w:rPr>
        <w:t>et al</w:t>
      </w:r>
      <w:r w:rsidRPr="000677B2">
        <w:t>., 2007).</w:t>
      </w:r>
    </w:p>
    <w:p w:rsidR="00F06E52" w:rsidRPr="000677B2" w:rsidRDefault="00F06E52" w:rsidP="0083246F">
      <w:pPr>
        <w:pStyle w:val="Default"/>
        <w:spacing w:after="240" w:line="276" w:lineRule="auto"/>
        <w:ind w:firstLine="708"/>
        <w:jc w:val="both"/>
      </w:pPr>
    </w:p>
    <w:p w:rsidR="00416C60" w:rsidRDefault="00F06E52" w:rsidP="00A33698">
      <w:pPr>
        <w:pStyle w:val="PargrafodaLista"/>
        <w:numPr>
          <w:ilvl w:val="1"/>
          <w:numId w:val="38"/>
        </w:numPr>
        <w:spacing w:after="0"/>
        <w:jc w:val="both"/>
        <w:rPr>
          <w:rFonts w:ascii="Times New Roman" w:hAnsi="Times New Roman"/>
          <w:b/>
          <w:sz w:val="28"/>
          <w:szCs w:val="28"/>
        </w:rPr>
      </w:pPr>
      <w:r>
        <w:rPr>
          <w:rFonts w:ascii="Times New Roman" w:hAnsi="Times New Roman"/>
          <w:b/>
          <w:sz w:val="28"/>
          <w:szCs w:val="28"/>
        </w:rPr>
        <w:t xml:space="preserve"> </w:t>
      </w:r>
      <w:r w:rsidR="00416C60">
        <w:rPr>
          <w:rFonts w:ascii="Times New Roman" w:hAnsi="Times New Roman"/>
          <w:b/>
          <w:sz w:val="28"/>
          <w:szCs w:val="28"/>
        </w:rPr>
        <w:t>Cancro da Mama</w:t>
      </w:r>
    </w:p>
    <w:p w:rsidR="00F06E52" w:rsidRDefault="00F06E52" w:rsidP="00F06E52">
      <w:pPr>
        <w:spacing w:after="0"/>
        <w:jc w:val="both"/>
        <w:rPr>
          <w:rFonts w:ascii="Times New Roman" w:hAnsi="Times New Roman"/>
          <w:b/>
          <w:sz w:val="28"/>
          <w:szCs w:val="28"/>
        </w:rPr>
      </w:pPr>
    </w:p>
    <w:p w:rsidR="00F06E52" w:rsidRDefault="00F06E52" w:rsidP="00116E01">
      <w:pPr>
        <w:ind w:firstLine="708"/>
        <w:jc w:val="both"/>
        <w:rPr>
          <w:rFonts w:ascii="Times New Roman" w:hAnsi="Times New Roman"/>
          <w:sz w:val="24"/>
          <w:lang w:eastAsia="pt-PT"/>
        </w:rPr>
      </w:pPr>
      <w:r w:rsidRPr="009717BF">
        <w:rPr>
          <w:rFonts w:ascii="Times New Roman" w:hAnsi="Times New Roman"/>
          <w:sz w:val="24"/>
          <w:lang w:eastAsia="pt-PT"/>
        </w:rPr>
        <w:t xml:space="preserve">Anualmente, </w:t>
      </w:r>
      <w:r>
        <w:rPr>
          <w:rFonts w:ascii="Times New Roman" w:hAnsi="Times New Roman"/>
          <w:sz w:val="24"/>
          <w:lang w:eastAsia="pt-PT"/>
        </w:rPr>
        <w:t>mais de</w:t>
      </w:r>
      <w:r w:rsidRPr="009717BF">
        <w:rPr>
          <w:rFonts w:ascii="Times New Roman" w:hAnsi="Times New Roman"/>
          <w:sz w:val="24"/>
          <w:lang w:eastAsia="pt-PT"/>
        </w:rPr>
        <w:t xml:space="preserve"> 1,2 milhões de mulheres são diagnostica</w:t>
      </w:r>
      <w:r>
        <w:rPr>
          <w:rFonts w:ascii="Times New Roman" w:hAnsi="Times New Roman"/>
          <w:sz w:val="24"/>
          <w:lang w:eastAsia="pt-PT"/>
        </w:rPr>
        <w:t>das com cancro da mama em todo o mundo, sendo que mais de</w:t>
      </w:r>
      <w:r w:rsidRPr="009717BF">
        <w:rPr>
          <w:rFonts w:ascii="Times New Roman" w:hAnsi="Times New Roman"/>
          <w:sz w:val="24"/>
          <w:lang w:eastAsia="pt-PT"/>
        </w:rPr>
        <w:t xml:space="preserve"> 400 mil pacientes, morrem devido a esta patologia</w:t>
      </w:r>
      <w:r>
        <w:rPr>
          <w:rFonts w:ascii="Times New Roman" w:hAnsi="Times New Roman"/>
          <w:sz w:val="24"/>
          <w:lang w:eastAsia="pt-PT"/>
        </w:rPr>
        <w:t xml:space="preserve">. </w:t>
      </w:r>
      <w:r w:rsidRPr="009717BF">
        <w:rPr>
          <w:rFonts w:ascii="Times New Roman" w:hAnsi="Times New Roman"/>
          <w:sz w:val="24"/>
          <w:lang w:eastAsia="pt-PT"/>
        </w:rPr>
        <w:t xml:space="preserve">Em Portugal, o cancro da mama representa o carcinoma com taxas de incidência e mortalidade </w:t>
      </w:r>
      <w:r>
        <w:rPr>
          <w:rFonts w:ascii="Times New Roman" w:hAnsi="Times New Roman"/>
          <w:sz w:val="24"/>
          <w:lang w:eastAsia="pt-PT"/>
        </w:rPr>
        <w:t xml:space="preserve">mais </w:t>
      </w:r>
      <w:r w:rsidRPr="009717BF">
        <w:rPr>
          <w:rFonts w:ascii="Times New Roman" w:hAnsi="Times New Roman"/>
          <w:sz w:val="24"/>
          <w:lang w:eastAsia="pt-PT"/>
        </w:rPr>
        <w:t>elevadas para o sexo feminino</w:t>
      </w:r>
      <w:r>
        <w:rPr>
          <w:rFonts w:ascii="Times New Roman" w:hAnsi="Times New Roman"/>
          <w:sz w:val="24"/>
          <w:lang w:eastAsia="pt-PT"/>
        </w:rPr>
        <w:t>, com cerca de 27,7% e 15,9%,</w:t>
      </w:r>
      <w:r w:rsidRPr="009717BF">
        <w:rPr>
          <w:rFonts w:ascii="Times New Roman" w:hAnsi="Times New Roman"/>
          <w:sz w:val="24"/>
          <w:lang w:eastAsia="pt-PT"/>
        </w:rPr>
        <w:t xml:space="preserve"> </w:t>
      </w:r>
      <w:r>
        <w:rPr>
          <w:rFonts w:ascii="Times New Roman" w:hAnsi="Times New Roman"/>
          <w:sz w:val="24"/>
          <w:lang w:eastAsia="pt-PT"/>
        </w:rPr>
        <w:t>respectivamente.</w:t>
      </w:r>
      <w:r w:rsidRPr="009717BF">
        <w:rPr>
          <w:rFonts w:ascii="Times New Roman" w:hAnsi="Times New Roman"/>
          <w:sz w:val="24"/>
          <w:lang w:eastAsia="pt-PT"/>
        </w:rPr>
        <w:t xml:space="preserve"> (Dumitrescu </w:t>
      </w:r>
      <w:r w:rsidRPr="009717BF">
        <w:rPr>
          <w:rFonts w:ascii="Times New Roman" w:hAnsi="Times New Roman"/>
          <w:i/>
          <w:sz w:val="24"/>
          <w:lang w:eastAsia="pt-PT"/>
        </w:rPr>
        <w:t>et al</w:t>
      </w:r>
      <w:r w:rsidRPr="009717BF">
        <w:rPr>
          <w:rFonts w:ascii="Times New Roman" w:hAnsi="Times New Roman"/>
          <w:sz w:val="24"/>
          <w:lang w:eastAsia="pt-PT"/>
        </w:rPr>
        <w:t xml:space="preserve">., 2005; Gaudet </w:t>
      </w:r>
      <w:r w:rsidRPr="009717BF">
        <w:rPr>
          <w:rFonts w:ascii="Times New Roman" w:hAnsi="Times New Roman"/>
          <w:i/>
          <w:sz w:val="24"/>
          <w:lang w:eastAsia="pt-PT"/>
        </w:rPr>
        <w:t>et al</w:t>
      </w:r>
      <w:r w:rsidRPr="009717BF">
        <w:rPr>
          <w:rFonts w:ascii="Times New Roman" w:hAnsi="Times New Roman"/>
          <w:sz w:val="24"/>
          <w:lang w:eastAsia="pt-PT"/>
        </w:rPr>
        <w:t xml:space="preserve">., </w:t>
      </w:r>
      <w:r>
        <w:rPr>
          <w:rFonts w:ascii="Times New Roman" w:hAnsi="Times New Roman"/>
          <w:sz w:val="24"/>
          <w:lang w:eastAsia="pt-PT"/>
        </w:rPr>
        <w:t xml:space="preserve">2006; Globocan, 2008). </w:t>
      </w:r>
      <w:r w:rsidRPr="000E2ED3">
        <w:rPr>
          <w:rFonts w:ascii="Times New Roman" w:hAnsi="Times New Roman"/>
          <w:sz w:val="24"/>
          <w:lang w:eastAsia="pt-PT"/>
        </w:rPr>
        <w:t>Desde 1940</w:t>
      </w:r>
      <w:r>
        <w:rPr>
          <w:rFonts w:ascii="Times New Roman" w:hAnsi="Times New Roman"/>
          <w:sz w:val="24"/>
          <w:lang w:eastAsia="pt-PT"/>
        </w:rPr>
        <w:t xml:space="preserve"> a incidência de cancro da mama tem crescido em muito países </w:t>
      </w:r>
      <w:r>
        <w:rPr>
          <w:rFonts w:ascii="Times New Roman" w:hAnsi="Times New Roman"/>
          <w:sz w:val="24"/>
          <w:lang w:eastAsia="pt-PT"/>
        </w:rPr>
        <w:lastRenderedPageBreak/>
        <w:t xml:space="preserve">industrializados, verificando-se em uma maior ocorrência na Europa Ocidental, Estados Unidos da América e Canadá, e uma menor na Ásia. A implementação do exame de mamografia de despiste como método de prevenção e pré-diagnóstico, e a exposição a factores de risco como o tabagismo, o álcool, o adiamento da maternidade e a diminuição do número de filhos, o uso de terapia hormonal de substituição, entre outros, podem justificar o aumento da sua incidência nestes países (Bouchardy </w:t>
      </w:r>
      <w:r w:rsidRPr="000E2ED3">
        <w:rPr>
          <w:rFonts w:ascii="Times New Roman" w:hAnsi="Times New Roman"/>
          <w:i/>
          <w:sz w:val="24"/>
          <w:lang w:eastAsia="pt-PT"/>
        </w:rPr>
        <w:t>et al</w:t>
      </w:r>
      <w:r>
        <w:rPr>
          <w:rFonts w:ascii="Times New Roman" w:hAnsi="Times New Roman"/>
          <w:sz w:val="24"/>
          <w:lang w:eastAsia="pt-PT"/>
        </w:rPr>
        <w:t xml:space="preserve">., 2006; Granados-Principal </w:t>
      </w:r>
      <w:r w:rsidRPr="000E2ED3">
        <w:rPr>
          <w:rFonts w:ascii="Times New Roman" w:hAnsi="Times New Roman"/>
          <w:i/>
          <w:sz w:val="24"/>
          <w:lang w:eastAsia="pt-PT"/>
        </w:rPr>
        <w:t>et al</w:t>
      </w:r>
      <w:r>
        <w:rPr>
          <w:rFonts w:ascii="Times New Roman" w:hAnsi="Times New Roman"/>
          <w:sz w:val="24"/>
          <w:lang w:eastAsia="pt-PT"/>
        </w:rPr>
        <w:t xml:space="preserve">., 2010). Sabe-se que vários factores </w:t>
      </w:r>
      <w:r w:rsidR="00F645A9">
        <w:rPr>
          <w:rFonts w:ascii="Times New Roman" w:hAnsi="Times New Roman"/>
          <w:sz w:val="24"/>
          <w:lang w:eastAsia="pt-PT"/>
        </w:rPr>
        <w:t xml:space="preserve">de natureza reprodutiva e hormonal, </w:t>
      </w:r>
      <w:r>
        <w:rPr>
          <w:rFonts w:ascii="Times New Roman" w:hAnsi="Times New Roman"/>
          <w:sz w:val="24"/>
          <w:lang w:eastAsia="pt-PT"/>
        </w:rPr>
        <w:t>tais como a idade da menarca, idade da primeira gravidez, número de gravidezes, e idade da menopausa, alteram a exposição a hormonas endógenas, intervindo no risco de cancro da mama</w:t>
      </w:r>
      <w:r w:rsidR="00F645A9">
        <w:rPr>
          <w:rFonts w:ascii="Times New Roman" w:hAnsi="Times New Roman"/>
          <w:sz w:val="24"/>
          <w:lang w:eastAsia="pt-PT"/>
        </w:rPr>
        <w:t xml:space="preserve">. Quanto à dieta, factores </w:t>
      </w:r>
      <w:r w:rsidR="004E35FB">
        <w:rPr>
          <w:rFonts w:ascii="Times New Roman" w:hAnsi="Times New Roman"/>
          <w:sz w:val="24"/>
          <w:lang w:eastAsia="pt-PT"/>
        </w:rPr>
        <w:t>certamente</w:t>
      </w:r>
      <w:r w:rsidR="00F645A9">
        <w:rPr>
          <w:rFonts w:ascii="Times New Roman" w:hAnsi="Times New Roman"/>
          <w:sz w:val="24"/>
          <w:lang w:eastAsia="pt-PT"/>
        </w:rPr>
        <w:t xml:space="preserve"> implicados no aumento do risco de desenvolvimento desta neoplasia</w:t>
      </w:r>
      <w:r w:rsidR="004E35FB">
        <w:rPr>
          <w:rFonts w:ascii="Times New Roman" w:hAnsi="Times New Roman"/>
          <w:sz w:val="24"/>
          <w:lang w:eastAsia="pt-PT"/>
        </w:rPr>
        <w:t>,</w:t>
      </w:r>
      <w:r w:rsidR="00F645A9">
        <w:rPr>
          <w:rFonts w:ascii="Times New Roman" w:hAnsi="Times New Roman"/>
          <w:sz w:val="24"/>
          <w:lang w:eastAsia="pt-PT"/>
        </w:rPr>
        <w:t xml:space="preserve"> são a obesidade em mulheres </w:t>
      </w:r>
      <w:r w:rsidR="004E35FB">
        <w:rPr>
          <w:rFonts w:ascii="Times New Roman" w:hAnsi="Times New Roman"/>
          <w:sz w:val="24"/>
          <w:lang w:eastAsia="pt-PT"/>
        </w:rPr>
        <w:t>pós-menopáusicas, e o consumo de álcool</w:t>
      </w:r>
      <w:r>
        <w:rPr>
          <w:rFonts w:ascii="Times New Roman" w:hAnsi="Times New Roman"/>
          <w:sz w:val="24"/>
          <w:lang w:eastAsia="pt-PT"/>
        </w:rPr>
        <w:t xml:space="preserve"> (Dunning </w:t>
      </w:r>
      <w:r w:rsidRPr="000E2ED3">
        <w:rPr>
          <w:rFonts w:ascii="Times New Roman" w:hAnsi="Times New Roman"/>
          <w:i/>
          <w:sz w:val="24"/>
          <w:lang w:eastAsia="pt-PT"/>
        </w:rPr>
        <w:t>et al</w:t>
      </w:r>
      <w:r>
        <w:rPr>
          <w:rFonts w:ascii="Times New Roman" w:hAnsi="Times New Roman"/>
          <w:sz w:val="24"/>
          <w:lang w:eastAsia="pt-PT"/>
        </w:rPr>
        <w:t>., 1999</w:t>
      </w:r>
      <w:r w:rsidR="004E35FB">
        <w:rPr>
          <w:rFonts w:ascii="Times New Roman" w:hAnsi="Times New Roman"/>
          <w:sz w:val="24"/>
          <w:lang w:eastAsia="pt-PT"/>
        </w:rPr>
        <w:t>; Key, 2011</w:t>
      </w:r>
      <w:r>
        <w:rPr>
          <w:rFonts w:ascii="Times New Roman" w:hAnsi="Times New Roman"/>
          <w:sz w:val="24"/>
          <w:lang w:eastAsia="pt-PT"/>
        </w:rPr>
        <w:t xml:space="preserve">). </w:t>
      </w:r>
    </w:p>
    <w:p w:rsidR="00F06E52" w:rsidRPr="00133165" w:rsidRDefault="00133165" w:rsidP="00133165">
      <w:pPr>
        <w:ind w:firstLine="708"/>
        <w:jc w:val="center"/>
        <w:rPr>
          <w:rFonts w:ascii="Times New Roman" w:hAnsi="Times New Roman"/>
          <w:sz w:val="24"/>
          <w:lang w:eastAsia="pt-PT"/>
        </w:rPr>
      </w:pPr>
      <w:r>
        <w:rPr>
          <w:noProof/>
          <w:lang w:eastAsia="pt-PT"/>
        </w:rPr>
        <w:drawing>
          <wp:inline distT="0" distB="0" distL="0" distR="0">
            <wp:extent cx="3959552" cy="2518301"/>
            <wp:effectExtent l="19050" t="0" r="2848" b="0"/>
            <wp:docPr id="43" name="Imagem 4" descr="http://globocan.iarc.fr/data/GLOBOCAN_MAP2_13072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obocan.iarc.fr/data/GLOBOCAN_MAP2_13072466.png"/>
                    <pic:cNvPicPr>
                      <a:picLocks noChangeAspect="1" noChangeArrowheads="1"/>
                    </pic:cNvPicPr>
                  </pic:nvPicPr>
                  <pic:blipFill>
                    <a:blip r:embed="rId16" cstate="print"/>
                    <a:srcRect t="15258"/>
                    <a:stretch>
                      <a:fillRect/>
                    </a:stretch>
                  </pic:blipFill>
                  <pic:spPr bwMode="auto">
                    <a:xfrm>
                      <a:off x="0" y="0"/>
                      <a:ext cx="3962640" cy="2520265"/>
                    </a:xfrm>
                    <a:prstGeom prst="rect">
                      <a:avLst/>
                    </a:prstGeom>
                    <a:noFill/>
                    <a:ln w="9525">
                      <a:noFill/>
                      <a:miter lim="800000"/>
                      <a:headEnd/>
                      <a:tailEnd/>
                    </a:ln>
                  </pic:spPr>
                </pic:pic>
              </a:graphicData>
            </a:graphic>
          </wp:inline>
        </w:drawing>
      </w:r>
    </w:p>
    <w:p w:rsidR="00F06E52" w:rsidRDefault="00F06E52" w:rsidP="00F06E52">
      <w:pPr>
        <w:pStyle w:val="Legenda"/>
        <w:jc w:val="both"/>
        <w:rPr>
          <w:rFonts w:ascii="Times New Roman" w:hAnsi="Times New Roman"/>
          <w:b w:val="0"/>
          <w:color w:val="auto"/>
          <w:sz w:val="20"/>
        </w:rPr>
      </w:pPr>
      <w:r w:rsidRPr="00EC78F2">
        <w:rPr>
          <w:rFonts w:ascii="Times New Roman" w:hAnsi="Times New Roman"/>
          <w:sz w:val="20"/>
        </w:rPr>
        <w:t xml:space="preserve">Figura </w:t>
      </w:r>
      <w:r w:rsidR="00EC7637">
        <w:rPr>
          <w:rFonts w:ascii="Times New Roman" w:hAnsi="Times New Roman"/>
          <w:sz w:val="20"/>
        </w:rPr>
        <w:t>9</w:t>
      </w:r>
      <w:r w:rsidRPr="00EC78F2">
        <w:rPr>
          <w:rFonts w:ascii="Times New Roman" w:hAnsi="Times New Roman"/>
          <w:sz w:val="20"/>
        </w:rPr>
        <w:t xml:space="preserve"> – </w:t>
      </w:r>
      <w:r w:rsidRPr="00EC78F2">
        <w:rPr>
          <w:rFonts w:ascii="Times New Roman" w:hAnsi="Times New Roman"/>
          <w:b w:val="0"/>
          <w:color w:val="auto"/>
          <w:sz w:val="20"/>
        </w:rPr>
        <w:t>Taxa mundial de incidência de cancro d</w:t>
      </w:r>
      <w:r>
        <w:rPr>
          <w:rFonts w:ascii="Times New Roman" w:hAnsi="Times New Roman"/>
          <w:b w:val="0"/>
          <w:color w:val="auto"/>
          <w:sz w:val="20"/>
        </w:rPr>
        <w:t>a</w:t>
      </w:r>
      <w:r w:rsidRPr="00EC78F2">
        <w:rPr>
          <w:rFonts w:ascii="Times New Roman" w:hAnsi="Times New Roman"/>
          <w:b w:val="0"/>
          <w:color w:val="auto"/>
          <w:sz w:val="20"/>
        </w:rPr>
        <w:t xml:space="preserve"> mama. As taxas de incidência reportam-se a 100.000 indivíduos do sexo feminino e a todas as faixas etárias (adaptado de GLOBOCAN</w:t>
      </w:r>
      <w:r w:rsidR="00584697">
        <w:rPr>
          <w:rFonts w:ascii="Times New Roman" w:hAnsi="Times New Roman"/>
          <w:b w:val="0"/>
          <w:color w:val="auto"/>
          <w:sz w:val="20"/>
        </w:rPr>
        <w:t>,</w:t>
      </w:r>
      <w:r w:rsidRPr="00EC78F2">
        <w:rPr>
          <w:rFonts w:ascii="Times New Roman" w:hAnsi="Times New Roman"/>
          <w:b w:val="0"/>
          <w:color w:val="auto"/>
          <w:sz w:val="20"/>
        </w:rPr>
        <w:t xml:space="preserve"> 2008).</w:t>
      </w:r>
    </w:p>
    <w:p w:rsidR="00F06E52" w:rsidRDefault="007B02FE" w:rsidP="00133165">
      <w:pPr>
        <w:jc w:val="center"/>
      </w:pPr>
      <w:r>
        <w:rPr>
          <w:noProof/>
          <w:lang w:eastAsia="pt-PT"/>
        </w:rPr>
        <w:pict>
          <v:oval id="_x0000_s1031" style="position:absolute;left:0;text-align:left;margin-left:84pt;margin-top:112.7pt;width:13.75pt;height:31.3pt;rotation:2567393fd;z-index:251663360" filled="f" strokecolor="yellow" strokeweight="1.5pt"/>
        </w:pict>
      </w:r>
      <w:r w:rsidR="00133165">
        <w:rPr>
          <w:noProof/>
          <w:lang w:eastAsia="pt-PT"/>
        </w:rPr>
        <w:drawing>
          <wp:inline distT="0" distB="0" distL="0" distR="0">
            <wp:extent cx="4242849" cy="2334021"/>
            <wp:effectExtent l="19050" t="0" r="5301" b="0"/>
            <wp:docPr id="44" name="Imagem 1" descr="http://globocan.iarc.fr/data/GLOBOCAN_BP_3393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obocan.iarc.fr/data/GLOBOCAN_BP_33935171.png"/>
                    <pic:cNvPicPr>
                      <a:picLocks noChangeAspect="1" noChangeArrowheads="1"/>
                    </pic:cNvPicPr>
                  </pic:nvPicPr>
                  <pic:blipFill>
                    <a:blip r:embed="rId17" cstate="print"/>
                    <a:srcRect t="12121"/>
                    <a:stretch>
                      <a:fillRect/>
                    </a:stretch>
                  </pic:blipFill>
                  <pic:spPr bwMode="auto">
                    <a:xfrm>
                      <a:off x="0" y="0"/>
                      <a:ext cx="4248978" cy="2337392"/>
                    </a:xfrm>
                    <a:prstGeom prst="rect">
                      <a:avLst/>
                    </a:prstGeom>
                    <a:noFill/>
                    <a:ln w="9525">
                      <a:noFill/>
                      <a:miter lim="800000"/>
                      <a:headEnd/>
                      <a:tailEnd/>
                    </a:ln>
                  </pic:spPr>
                </pic:pic>
              </a:graphicData>
            </a:graphic>
          </wp:inline>
        </w:drawing>
      </w:r>
    </w:p>
    <w:p w:rsidR="00F06E52" w:rsidRPr="00840996" w:rsidRDefault="00F06E52" w:rsidP="00F06E52">
      <w:pPr>
        <w:pStyle w:val="Legenda"/>
        <w:jc w:val="both"/>
        <w:rPr>
          <w:rFonts w:ascii="Times New Roman" w:hAnsi="Times New Roman"/>
          <w:sz w:val="20"/>
          <w:szCs w:val="20"/>
          <w:lang w:eastAsia="pt-PT"/>
        </w:rPr>
      </w:pPr>
      <w:r w:rsidRPr="00840996">
        <w:rPr>
          <w:rFonts w:ascii="Times New Roman" w:hAnsi="Times New Roman"/>
          <w:sz w:val="20"/>
          <w:szCs w:val="20"/>
        </w:rPr>
        <w:t xml:space="preserve">Figura </w:t>
      </w:r>
      <w:r w:rsidR="00EC7637">
        <w:rPr>
          <w:rFonts w:ascii="Times New Roman" w:hAnsi="Times New Roman"/>
          <w:sz w:val="20"/>
          <w:szCs w:val="20"/>
        </w:rPr>
        <w:t>10</w:t>
      </w:r>
      <w:r w:rsidRPr="00840996">
        <w:rPr>
          <w:rFonts w:ascii="Times New Roman" w:hAnsi="Times New Roman"/>
          <w:sz w:val="20"/>
          <w:szCs w:val="20"/>
        </w:rPr>
        <w:t xml:space="preserve"> – </w:t>
      </w:r>
      <w:r w:rsidRPr="00840996">
        <w:rPr>
          <w:rFonts w:ascii="Times New Roman" w:hAnsi="Times New Roman"/>
          <w:b w:val="0"/>
          <w:color w:val="auto"/>
          <w:sz w:val="20"/>
          <w:szCs w:val="20"/>
        </w:rPr>
        <w:t>Taxas de incidência e mortalidade por cancro em Portugal. Ambas as taxas reportam-se a indivíduos de ambos os sexos e de todas as faixas etárias. Destaque para o cancro da mama com a segunda maior incidência de cancro em Portugal</w:t>
      </w:r>
      <w:r w:rsidRPr="00840996">
        <w:rPr>
          <w:rFonts w:ascii="Times New Roman" w:hAnsi="Times New Roman"/>
          <w:sz w:val="20"/>
          <w:szCs w:val="20"/>
        </w:rPr>
        <w:t xml:space="preserve"> </w:t>
      </w:r>
      <w:r w:rsidRPr="00840996">
        <w:rPr>
          <w:rFonts w:ascii="Times New Roman" w:hAnsi="Times New Roman"/>
          <w:b w:val="0"/>
          <w:color w:val="auto"/>
          <w:sz w:val="20"/>
          <w:szCs w:val="20"/>
        </w:rPr>
        <w:t>(adaptado de GLOBOCAN</w:t>
      </w:r>
      <w:r w:rsidR="00584697">
        <w:rPr>
          <w:rFonts w:ascii="Times New Roman" w:hAnsi="Times New Roman"/>
          <w:b w:val="0"/>
          <w:color w:val="auto"/>
          <w:sz w:val="20"/>
          <w:szCs w:val="20"/>
        </w:rPr>
        <w:t>,</w:t>
      </w:r>
      <w:r w:rsidRPr="00840996">
        <w:rPr>
          <w:rFonts w:ascii="Times New Roman" w:hAnsi="Times New Roman"/>
          <w:b w:val="0"/>
          <w:color w:val="auto"/>
          <w:sz w:val="20"/>
          <w:szCs w:val="20"/>
        </w:rPr>
        <w:t xml:space="preserve"> 2008).</w:t>
      </w:r>
    </w:p>
    <w:p w:rsidR="00F06E52" w:rsidRDefault="00F06E52" w:rsidP="00F06E52">
      <w:pPr>
        <w:jc w:val="both"/>
        <w:rPr>
          <w:rFonts w:ascii="Times New Roman" w:hAnsi="Times New Roman"/>
          <w:sz w:val="24"/>
          <w:lang w:eastAsia="pt-PT"/>
        </w:rPr>
      </w:pPr>
    </w:p>
    <w:p w:rsidR="00F06E52" w:rsidRPr="00E40DF9" w:rsidRDefault="00F06E52" w:rsidP="00F06E52">
      <w:pPr>
        <w:ind w:firstLine="708"/>
        <w:jc w:val="both"/>
        <w:rPr>
          <w:rFonts w:asciiTheme="minorHAnsi" w:hAnsiTheme="minorHAnsi" w:cs="Calibri"/>
          <w:sz w:val="20"/>
          <w:lang w:eastAsia="pt-PT"/>
        </w:rPr>
      </w:pPr>
      <w:r w:rsidRPr="00A21A8D">
        <w:rPr>
          <w:rFonts w:ascii="Times New Roman" w:hAnsi="Times New Roman"/>
          <w:sz w:val="24"/>
          <w:szCs w:val="24"/>
          <w:lang w:eastAsia="pt-PT"/>
        </w:rPr>
        <w:t xml:space="preserve">O cancro da mama é uma doença heterogénea que engloba diferentes etiologias com características biológicas e clínicas bastante distintas, e consequentemente com diferenças significativas na resposta ao tratamento (Reis-Filho </w:t>
      </w:r>
      <w:r w:rsidRPr="00A21A8D">
        <w:rPr>
          <w:rFonts w:ascii="Times New Roman" w:hAnsi="Times New Roman"/>
          <w:i/>
          <w:sz w:val="24"/>
          <w:szCs w:val="24"/>
          <w:lang w:eastAsia="pt-PT"/>
        </w:rPr>
        <w:t>et al</w:t>
      </w:r>
      <w:r w:rsidRPr="00A21A8D">
        <w:rPr>
          <w:rFonts w:ascii="Times New Roman" w:hAnsi="Times New Roman"/>
          <w:sz w:val="24"/>
          <w:szCs w:val="24"/>
          <w:lang w:eastAsia="pt-PT"/>
        </w:rPr>
        <w:t xml:space="preserve">., 2008; Chen </w:t>
      </w:r>
      <w:r w:rsidRPr="00A21A8D">
        <w:rPr>
          <w:rFonts w:ascii="Times New Roman" w:hAnsi="Times New Roman"/>
          <w:i/>
          <w:sz w:val="24"/>
          <w:szCs w:val="24"/>
          <w:lang w:eastAsia="pt-PT"/>
        </w:rPr>
        <w:t>et al</w:t>
      </w:r>
      <w:r>
        <w:rPr>
          <w:rFonts w:ascii="Times New Roman" w:hAnsi="Times New Roman"/>
          <w:sz w:val="24"/>
          <w:szCs w:val="24"/>
          <w:lang w:eastAsia="pt-PT"/>
        </w:rPr>
        <w:t>., 2009). Esta neoplasia encontrava-se</w:t>
      </w:r>
      <w:r w:rsidRPr="00A21A8D">
        <w:rPr>
          <w:rFonts w:ascii="Times New Roman" w:hAnsi="Times New Roman"/>
          <w:sz w:val="24"/>
          <w:szCs w:val="24"/>
          <w:lang w:eastAsia="pt-PT"/>
        </w:rPr>
        <w:t xml:space="preserve"> subclassificada </w:t>
      </w:r>
      <w:r>
        <w:rPr>
          <w:rFonts w:ascii="Times New Roman" w:hAnsi="Times New Roman"/>
          <w:sz w:val="24"/>
          <w:szCs w:val="24"/>
          <w:lang w:eastAsia="pt-PT"/>
        </w:rPr>
        <w:t>ainda recentemente, segundo a</w:t>
      </w:r>
      <w:r w:rsidRPr="00A21A8D">
        <w:rPr>
          <w:rFonts w:ascii="Times New Roman" w:hAnsi="Times New Roman"/>
          <w:sz w:val="24"/>
          <w:szCs w:val="24"/>
          <w:lang w:eastAsia="pt-PT"/>
        </w:rPr>
        <w:t xml:space="preserve"> </w:t>
      </w:r>
      <w:r>
        <w:rPr>
          <w:rFonts w:ascii="Times New Roman" w:hAnsi="Times New Roman"/>
          <w:sz w:val="24"/>
          <w:szCs w:val="24"/>
          <w:lang w:eastAsia="pt-PT"/>
        </w:rPr>
        <w:t xml:space="preserve">sua </w:t>
      </w:r>
      <w:r w:rsidRPr="00A21A8D">
        <w:rPr>
          <w:rFonts w:ascii="Times New Roman" w:hAnsi="Times New Roman"/>
          <w:sz w:val="24"/>
          <w:szCs w:val="24"/>
          <w:lang w:eastAsia="pt-PT"/>
        </w:rPr>
        <w:t>morfologia celular</w:t>
      </w:r>
      <w:r>
        <w:rPr>
          <w:rFonts w:ascii="Times New Roman" w:hAnsi="Times New Roman"/>
          <w:sz w:val="24"/>
          <w:szCs w:val="24"/>
          <w:lang w:eastAsia="pt-PT"/>
        </w:rPr>
        <w:t xml:space="preserve"> e a </w:t>
      </w:r>
      <w:r w:rsidRPr="00A21A8D">
        <w:rPr>
          <w:rFonts w:ascii="Times New Roman" w:hAnsi="Times New Roman"/>
          <w:sz w:val="24"/>
          <w:szCs w:val="24"/>
          <w:lang w:eastAsia="pt-PT"/>
        </w:rPr>
        <w:t>expressão de diversos receptores hormonais</w:t>
      </w:r>
      <w:r>
        <w:rPr>
          <w:rFonts w:ascii="Times New Roman" w:hAnsi="Times New Roman"/>
          <w:sz w:val="24"/>
          <w:szCs w:val="24"/>
          <w:lang w:eastAsia="pt-PT"/>
        </w:rPr>
        <w:t xml:space="preserve">, nomeadamente </w:t>
      </w:r>
      <w:r w:rsidRPr="003A04C9">
        <w:rPr>
          <w:rFonts w:ascii="Times New Roman" w:hAnsi="Times New Roman"/>
          <w:sz w:val="24"/>
          <w:szCs w:val="24"/>
          <w:lang w:eastAsia="pt-PT"/>
        </w:rPr>
        <w:t>o receptor de estrogénio (RE), o receptor de progesterona (RPg)</w:t>
      </w:r>
      <w:r>
        <w:rPr>
          <w:rFonts w:ascii="Times New Roman" w:hAnsi="Times New Roman"/>
          <w:sz w:val="24"/>
          <w:szCs w:val="24"/>
          <w:lang w:eastAsia="pt-PT"/>
        </w:rPr>
        <w:t xml:space="preserve"> </w:t>
      </w:r>
      <w:r w:rsidRPr="003A04C9">
        <w:rPr>
          <w:rFonts w:ascii="Times New Roman" w:hAnsi="Times New Roman"/>
          <w:sz w:val="24"/>
          <w:szCs w:val="24"/>
          <w:lang w:eastAsia="pt-PT"/>
        </w:rPr>
        <w:t xml:space="preserve">e a expressão do receptor tipo 2 do factor de crescimento epidérmico </w:t>
      </w:r>
      <w:r>
        <w:rPr>
          <w:rFonts w:ascii="Times New Roman" w:hAnsi="Times New Roman"/>
          <w:sz w:val="24"/>
          <w:szCs w:val="24"/>
          <w:lang w:eastAsia="pt-PT"/>
        </w:rPr>
        <w:t xml:space="preserve">humano </w:t>
      </w:r>
      <w:r w:rsidRPr="003A04C9">
        <w:rPr>
          <w:rFonts w:ascii="Times New Roman" w:hAnsi="Times New Roman"/>
          <w:sz w:val="24"/>
          <w:szCs w:val="24"/>
          <w:lang w:eastAsia="pt-PT"/>
        </w:rPr>
        <w:t>(HER</w:t>
      </w:r>
      <w:r>
        <w:rPr>
          <w:rFonts w:ascii="Times New Roman" w:hAnsi="Times New Roman"/>
          <w:sz w:val="24"/>
          <w:szCs w:val="24"/>
          <w:lang w:eastAsia="pt-PT"/>
        </w:rPr>
        <w:t>-</w:t>
      </w:r>
      <w:r w:rsidRPr="003A04C9">
        <w:rPr>
          <w:rFonts w:ascii="Times New Roman" w:hAnsi="Times New Roman"/>
          <w:sz w:val="24"/>
          <w:szCs w:val="24"/>
          <w:lang w:eastAsia="pt-PT"/>
        </w:rPr>
        <w:t>2)</w:t>
      </w:r>
      <w:r>
        <w:rPr>
          <w:rFonts w:ascii="Times New Roman" w:hAnsi="Times New Roman"/>
          <w:sz w:val="24"/>
          <w:szCs w:val="24"/>
          <w:lang w:eastAsia="pt-PT"/>
        </w:rPr>
        <w:t xml:space="preserve">, identificáveis através de técnicas de imunohistoquímica </w:t>
      </w:r>
      <w:r w:rsidRPr="003A04C9">
        <w:rPr>
          <w:rFonts w:ascii="Times New Roman" w:hAnsi="Times New Roman"/>
          <w:sz w:val="24"/>
          <w:szCs w:val="24"/>
          <w:lang w:eastAsia="pt-PT"/>
        </w:rPr>
        <w:t xml:space="preserve">(Cleator </w:t>
      </w:r>
      <w:r w:rsidRPr="00116E01">
        <w:rPr>
          <w:rFonts w:ascii="Times New Roman" w:hAnsi="Times New Roman"/>
          <w:i/>
          <w:sz w:val="24"/>
          <w:szCs w:val="24"/>
          <w:lang w:eastAsia="pt-PT"/>
        </w:rPr>
        <w:t>et al</w:t>
      </w:r>
      <w:r w:rsidRPr="003A04C9">
        <w:rPr>
          <w:rFonts w:ascii="Times New Roman" w:hAnsi="Times New Roman"/>
          <w:sz w:val="24"/>
          <w:szCs w:val="24"/>
          <w:lang w:eastAsia="pt-PT"/>
        </w:rPr>
        <w:t>., 2007</w:t>
      </w:r>
      <w:r>
        <w:rPr>
          <w:rFonts w:ascii="Times New Roman" w:hAnsi="Times New Roman"/>
          <w:sz w:val="24"/>
          <w:szCs w:val="24"/>
          <w:lang w:eastAsia="pt-PT"/>
        </w:rPr>
        <w:t xml:space="preserve">; </w:t>
      </w:r>
      <w:r w:rsidRPr="00A21A8D">
        <w:rPr>
          <w:rFonts w:ascii="Times New Roman" w:hAnsi="Times New Roman"/>
          <w:sz w:val="24"/>
          <w:szCs w:val="24"/>
          <w:lang w:eastAsia="pt-PT"/>
        </w:rPr>
        <w:t xml:space="preserve">Reis-Filho </w:t>
      </w:r>
      <w:r w:rsidRPr="00116E01">
        <w:rPr>
          <w:rFonts w:ascii="Times New Roman" w:hAnsi="Times New Roman"/>
          <w:i/>
          <w:sz w:val="24"/>
          <w:szCs w:val="24"/>
          <w:lang w:eastAsia="pt-PT"/>
        </w:rPr>
        <w:t>et al</w:t>
      </w:r>
      <w:r w:rsidRPr="00A21A8D">
        <w:rPr>
          <w:rFonts w:ascii="Times New Roman" w:hAnsi="Times New Roman"/>
          <w:sz w:val="24"/>
          <w:szCs w:val="24"/>
          <w:lang w:eastAsia="pt-PT"/>
        </w:rPr>
        <w:t>., 2008</w:t>
      </w:r>
      <w:r w:rsidRPr="003A04C9">
        <w:rPr>
          <w:rFonts w:ascii="Times New Roman" w:hAnsi="Times New Roman"/>
          <w:sz w:val="24"/>
          <w:szCs w:val="24"/>
          <w:lang w:eastAsia="pt-PT"/>
        </w:rPr>
        <w:t>)</w:t>
      </w:r>
      <w:r>
        <w:rPr>
          <w:rFonts w:ascii="Times New Roman" w:hAnsi="Times New Roman"/>
          <w:sz w:val="24"/>
          <w:szCs w:val="24"/>
          <w:lang w:eastAsia="pt-PT"/>
        </w:rPr>
        <w:t xml:space="preserve">. Uma nova </w:t>
      </w:r>
      <w:r w:rsidRPr="003A04C9">
        <w:rPr>
          <w:rFonts w:ascii="Times New Roman" w:hAnsi="Times New Roman"/>
          <w:sz w:val="24"/>
          <w:szCs w:val="24"/>
          <w:lang w:eastAsia="pt-PT"/>
        </w:rPr>
        <w:t xml:space="preserve">reclassificação </w:t>
      </w:r>
      <w:r>
        <w:rPr>
          <w:rFonts w:ascii="Times New Roman" w:hAnsi="Times New Roman"/>
          <w:sz w:val="24"/>
          <w:szCs w:val="24"/>
          <w:lang w:eastAsia="pt-PT"/>
        </w:rPr>
        <w:t>com base na</w:t>
      </w:r>
      <w:r w:rsidRPr="003A04C9">
        <w:rPr>
          <w:rFonts w:ascii="Times New Roman" w:hAnsi="Times New Roman"/>
          <w:sz w:val="24"/>
          <w:szCs w:val="24"/>
          <w:lang w:eastAsia="pt-PT"/>
        </w:rPr>
        <w:t xml:space="preserve"> análise da </w:t>
      </w:r>
      <w:r>
        <w:rPr>
          <w:rFonts w:ascii="Times New Roman" w:hAnsi="Times New Roman"/>
          <w:sz w:val="24"/>
          <w:szCs w:val="24"/>
          <w:lang w:eastAsia="pt-PT"/>
        </w:rPr>
        <w:t xml:space="preserve">sua </w:t>
      </w:r>
      <w:r w:rsidRPr="003A04C9">
        <w:rPr>
          <w:rFonts w:ascii="Times New Roman" w:hAnsi="Times New Roman"/>
          <w:sz w:val="24"/>
          <w:szCs w:val="24"/>
          <w:lang w:eastAsia="pt-PT"/>
        </w:rPr>
        <w:t xml:space="preserve">expressão </w:t>
      </w:r>
      <w:r>
        <w:rPr>
          <w:rFonts w:ascii="Times New Roman" w:hAnsi="Times New Roman"/>
          <w:sz w:val="24"/>
          <w:szCs w:val="24"/>
          <w:lang w:eastAsia="pt-PT"/>
        </w:rPr>
        <w:t>genica, permitiu a criação de vários subgrupos com c</w:t>
      </w:r>
      <w:r w:rsidR="00BF57D0">
        <w:rPr>
          <w:rFonts w:ascii="Times New Roman" w:hAnsi="Times New Roman"/>
          <w:sz w:val="24"/>
          <w:szCs w:val="24"/>
          <w:lang w:eastAsia="pt-PT"/>
        </w:rPr>
        <w:t>aracterís</w:t>
      </w:r>
      <w:r>
        <w:rPr>
          <w:rFonts w:ascii="Times New Roman" w:hAnsi="Times New Roman"/>
          <w:sz w:val="24"/>
          <w:szCs w:val="24"/>
          <w:lang w:eastAsia="pt-PT"/>
        </w:rPr>
        <w:t>ticas moleculares comuns. Assim passou-se a</w:t>
      </w:r>
      <w:r w:rsidRPr="003A04C9">
        <w:rPr>
          <w:rFonts w:ascii="Times New Roman" w:hAnsi="Times New Roman"/>
          <w:sz w:val="24"/>
          <w:szCs w:val="24"/>
          <w:lang w:eastAsia="pt-PT"/>
        </w:rPr>
        <w:t xml:space="preserve"> considerar cinco tipos distintos de cancro da mam</w:t>
      </w:r>
      <w:r>
        <w:rPr>
          <w:rFonts w:ascii="Times New Roman" w:hAnsi="Times New Roman"/>
          <w:sz w:val="24"/>
          <w:szCs w:val="24"/>
          <w:lang w:eastAsia="pt-PT"/>
        </w:rPr>
        <w:t>a:</w:t>
      </w:r>
      <w:r w:rsidRPr="003A04C9">
        <w:rPr>
          <w:rFonts w:ascii="Times New Roman" w:hAnsi="Times New Roman"/>
          <w:sz w:val="24"/>
          <w:szCs w:val="24"/>
          <w:lang w:eastAsia="pt-PT"/>
        </w:rPr>
        <w:t xml:space="preserve"> dois grupos positivos para RE, designados como subtipos luminais (A e B), devido às características partilhadas com</w:t>
      </w:r>
      <w:r>
        <w:rPr>
          <w:rFonts w:ascii="Times New Roman" w:hAnsi="Times New Roman"/>
          <w:sz w:val="24"/>
          <w:szCs w:val="24"/>
          <w:lang w:eastAsia="pt-PT"/>
        </w:rPr>
        <w:t xml:space="preserve"> as células epiteliais luminais</w:t>
      </w:r>
      <w:r w:rsidRPr="003A04C9">
        <w:rPr>
          <w:rFonts w:ascii="Times New Roman" w:hAnsi="Times New Roman"/>
          <w:sz w:val="24"/>
          <w:szCs w:val="24"/>
          <w:lang w:eastAsia="pt-PT"/>
        </w:rPr>
        <w:t xml:space="preserve"> da camada inter</w:t>
      </w:r>
      <w:r>
        <w:rPr>
          <w:rFonts w:ascii="Times New Roman" w:hAnsi="Times New Roman"/>
          <w:sz w:val="24"/>
          <w:szCs w:val="24"/>
          <w:lang w:eastAsia="pt-PT"/>
        </w:rPr>
        <w:t>na do revestimento do ducto;</w:t>
      </w:r>
      <w:r w:rsidRPr="003A04C9">
        <w:rPr>
          <w:rFonts w:ascii="Times New Roman" w:hAnsi="Times New Roman"/>
          <w:sz w:val="24"/>
          <w:szCs w:val="24"/>
          <w:lang w:eastAsia="pt-PT"/>
        </w:rPr>
        <w:t xml:space="preserve"> um grupo que sobre-expressa o gene HER</w:t>
      </w:r>
      <w:r>
        <w:rPr>
          <w:rFonts w:ascii="Times New Roman" w:hAnsi="Times New Roman"/>
          <w:sz w:val="24"/>
          <w:szCs w:val="24"/>
          <w:lang w:eastAsia="pt-PT"/>
        </w:rPr>
        <w:t>-2; e</w:t>
      </w:r>
      <w:r w:rsidRPr="003A04C9">
        <w:rPr>
          <w:rFonts w:ascii="Times New Roman" w:hAnsi="Times New Roman"/>
          <w:sz w:val="24"/>
          <w:szCs w:val="24"/>
          <w:lang w:eastAsia="pt-PT"/>
        </w:rPr>
        <w:t xml:space="preserve"> um grupo caracterizado pela </w:t>
      </w:r>
      <w:r>
        <w:rPr>
          <w:rFonts w:ascii="Times New Roman" w:hAnsi="Times New Roman"/>
          <w:sz w:val="24"/>
          <w:szCs w:val="24"/>
          <w:lang w:eastAsia="pt-PT"/>
        </w:rPr>
        <w:t>elevada</w:t>
      </w:r>
      <w:r w:rsidRPr="003A04C9">
        <w:rPr>
          <w:rFonts w:ascii="Times New Roman" w:hAnsi="Times New Roman"/>
          <w:sz w:val="24"/>
          <w:szCs w:val="24"/>
          <w:lang w:eastAsia="pt-PT"/>
        </w:rPr>
        <w:t xml:space="preserve"> expressão de genes de células epiteliais basais e </w:t>
      </w:r>
      <w:r>
        <w:rPr>
          <w:rFonts w:ascii="Times New Roman" w:hAnsi="Times New Roman"/>
          <w:sz w:val="24"/>
          <w:szCs w:val="24"/>
          <w:lang w:eastAsia="pt-PT"/>
        </w:rPr>
        <w:t>reduzida</w:t>
      </w:r>
      <w:r w:rsidRPr="003A04C9">
        <w:rPr>
          <w:rFonts w:ascii="Times New Roman" w:hAnsi="Times New Roman"/>
          <w:sz w:val="24"/>
          <w:szCs w:val="24"/>
          <w:lang w:eastAsia="pt-PT"/>
        </w:rPr>
        <w:t xml:space="preserve"> expressão de genes de células epiteliais luminais (Cleator </w:t>
      </w:r>
      <w:r w:rsidRPr="00116E01">
        <w:rPr>
          <w:rFonts w:ascii="Times New Roman" w:hAnsi="Times New Roman"/>
          <w:i/>
          <w:sz w:val="24"/>
          <w:szCs w:val="24"/>
          <w:lang w:eastAsia="pt-PT"/>
        </w:rPr>
        <w:t>et al</w:t>
      </w:r>
      <w:r w:rsidRPr="003A04C9">
        <w:rPr>
          <w:rFonts w:ascii="Times New Roman" w:hAnsi="Times New Roman"/>
          <w:sz w:val="24"/>
          <w:szCs w:val="24"/>
          <w:lang w:eastAsia="pt-PT"/>
        </w:rPr>
        <w:t xml:space="preserve">., 2007). </w:t>
      </w:r>
      <w:r>
        <w:rPr>
          <w:rFonts w:ascii="Times New Roman" w:hAnsi="Times New Roman"/>
          <w:sz w:val="24"/>
          <w:lang w:eastAsia="pt-PT"/>
        </w:rPr>
        <w:t xml:space="preserve">No entanto, cerca de 10 a 15% de todos os casos de cancro da mama em mulheres, não expressam os três receptores RE, RPg e HER-2, e por isso são designados de cancro da mama fenótipo triplo negativo (TNBC – </w:t>
      </w:r>
      <w:r w:rsidRPr="00733952">
        <w:rPr>
          <w:rFonts w:ascii="Times New Roman" w:hAnsi="Times New Roman"/>
          <w:i/>
          <w:sz w:val="24"/>
          <w:lang w:eastAsia="pt-PT"/>
        </w:rPr>
        <w:t>Triple Negative Breast Cancer</w:t>
      </w:r>
      <w:r>
        <w:rPr>
          <w:rFonts w:ascii="Times New Roman" w:hAnsi="Times New Roman"/>
          <w:sz w:val="24"/>
          <w:lang w:eastAsia="pt-PT"/>
        </w:rPr>
        <w:t xml:space="preserve">), constituindo assim o quinto grupo (Cleator </w:t>
      </w:r>
      <w:r w:rsidRPr="00217F0A">
        <w:rPr>
          <w:rFonts w:ascii="Times New Roman" w:hAnsi="Times New Roman"/>
          <w:i/>
          <w:sz w:val="24"/>
          <w:lang w:eastAsia="pt-PT"/>
        </w:rPr>
        <w:t>et al</w:t>
      </w:r>
      <w:r>
        <w:rPr>
          <w:rFonts w:ascii="Times New Roman" w:hAnsi="Times New Roman"/>
          <w:sz w:val="24"/>
          <w:lang w:eastAsia="pt-PT"/>
        </w:rPr>
        <w:t>., 2007; Reis-Filho</w:t>
      </w:r>
      <w:r w:rsidRPr="00E30D4C">
        <w:rPr>
          <w:rFonts w:ascii="Times New Roman" w:hAnsi="Times New Roman"/>
          <w:i/>
          <w:sz w:val="24"/>
          <w:lang w:eastAsia="pt-PT"/>
        </w:rPr>
        <w:t xml:space="preserve"> </w:t>
      </w:r>
      <w:r w:rsidRPr="00217F0A">
        <w:rPr>
          <w:rFonts w:ascii="Times New Roman" w:hAnsi="Times New Roman"/>
          <w:i/>
          <w:sz w:val="24"/>
          <w:lang w:eastAsia="pt-PT"/>
        </w:rPr>
        <w:t>et al</w:t>
      </w:r>
      <w:r>
        <w:rPr>
          <w:rFonts w:ascii="Times New Roman" w:hAnsi="Times New Roman"/>
          <w:sz w:val="24"/>
          <w:lang w:eastAsia="pt-PT"/>
        </w:rPr>
        <w:t xml:space="preserve">., 2008; </w:t>
      </w:r>
      <w:r w:rsidRPr="003A04C9">
        <w:rPr>
          <w:rFonts w:ascii="Times New Roman" w:hAnsi="Times New Roman"/>
          <w:sz w:val="24"/>
          <w:szCs w:val="24"/>
          <w:lang w:eastAsia="pt-PT"/>
        </w:rPr>
        <w:t>Schneider et al., 2008</w:t>
      </w:r>
      <w:r>
        <w:rPr>
          <w:rFonts w:ascii="Times New Roman" w:hAnsi="Times New Roman"/>
          <w:sz w:val="24"/>
          <w:szCs w:val="24"/>
          <w:lang w:eastAsia="pt-PT"/>
        </w:rPr>
        <w:t xml:space="preserve">; </w:t>
      </w:r>
      <w:r>
        <w:rPr>
          <w:rFonts w:ascii="Times New Roman" w:hAnsi="Times New Roman"/>
          <w:sz w:val="24"/>
          <w:lang w:eastAsia="pt-PT"/>
        </w:rPr>
        <w:t xml:space="preserve">Chen </w:t>
      </w:r>
      <w:r w:rsidRPr="00217F0A">
        <w:rPr>
          <w:rFonts w:ascii="Times New Roman" w:hAnsi="Times New Roman"/>
          <w:i/>
          <w:sz w:val="24"/>
          <w:lang w:eastAsia="pt-PT"/>
        </w:rPr>
        <w:t>et al</w:t>
      </w:r>
      <w:r>
        <w:rPr>
          <w:rFonts w:ascii="Times New Roman" w:hAnsi="Times New Roman"/>
          <w:sz w:val="24"/>
          <w:lang w:eastAsia="pt-PT"/>
        </w:rPr>
        <w:t xml:space="preserve">., 2009; </w:t>
      </w:r>
      <w:r w:rsidRPr="009717BF">
        <w:rPr>
          <w:rFonts w:ascii="Times New Roman" w:hAnsi="Times New Roman"/>
          <w:sz w:val="24"/>
          <w:lang w:eastAsia="pt-PT"/>
        </w:rPr>
        <w:t xml:space="preserve">Adams </w:t>
      </w:r>
      <w:r w:rsidRPr="009717BF">
        <w:rPr>
          <w:rFonts w:ascii="Times New Roman" w:hAnsi="Times New Roman"/>
          <w:i/>
          <w:sz w:val="24"/>
          <w:lang w:eastAsia="pt-PT"/>
        </w:rPr>
        <w:t>et al</w:t>
      </w:r>
      <w:r w:rsidRPr="009717BF">
        <w:rPr>
          <w:rFonts w:ascii="Times New Roman" w:hAnsi="Times New Roman"/>
          <w:sz w:val="24"/>
          <w:lang w:eastAsia="pt-PT"/>
        </w:rPr>
        <w:t>., 2010</w:t>
      </w:r>
      <w:r>
        <w:rPr>
          <w:rFonts w:ascii="Times New Roman" w:hAnsi="Times New Roman"/>
          <w:sz w:val="24"/>
          <w:lang w:eastAsia="pt-PT"/>
        </w:rPr>
        <w:t>).</w:t>
      </w:r>
      <w:r w:rsidRPr="00E40DF9">
        <w:rPr>
          <w:rFonts w:asciiTheme="minorHAnsi" w:hAnsiTheme="minorHAnsi"/>
          <w:szCs w:val="23"/>
        </w:rPr>
        <w:t xml:space="preserve"> </w:t>
      </w:r>
    </w:p>
    <w:p w:rsidR="00F06E52" w:rsidRDefault="00F06E52" w:rsidP="00F06E52">
      <w:pPr>
        <w:jc w:val="both"/>
        <w:rPr>
          <w:rFonts w:ascii="Times New Roman" w:hAnsi="Times New Roman"/>
          <w:sz w:val="24"/>
          <w:lang w:eastAsia="pt-PT"/>
        </w:rPr>
      </w:pPr>
      <w:r>
        <w:rPr>
          <w:rFonts w:ascii="Times New Roman" w:hAnsi="Times New Roman"/>
          <w:sz w:val="24"/>
          <w:lang w:eastAsia="pt-PT"/>
        </w:rPr>
        <w:tab/>
        <w:t xml:space="preserve">O TNBC apresenta uma maior incidência em mulheres pré-menopáusicas africanas, afro-americanas e latinas. O carácter agressivo deste subtipo de tumores deve-se: à sua diferenciação celular muito reduzida; ao facto de serem altamente malignos e com um risco de desenvolvimento de metástases cerca de duas vezes superior; ao seu comportamento refractário à terapia e por conseguinte à reduzida sobrevivência destes pacientes </w:t>
      </w:r>
      <w:r w:rsidRPr="00592532">
        <w:rPr>
          <w:rFonts w:ascii="Times New Roman" w:hAnsi="Times New Roman"/>
          <w:sz w:val="24"/>
          <w:lang w:eastAsia="pt-PT"/>
        </w:rPr>
        <w:t xml:space="preserve">(Cleator </w:t>
      </w:r>
      <w:r w:rsidRPr="00592532">
        <w:rPr>
          <w:rFonts w:ascii="Times New Roman" w:hAnsi="Times New Roman"/>
          <w:i/>
          <w:sz w:val="24"/>
          <w:lang w:eastAsia="pt-PT"/>
        </w:rPr>
        <w:t>et al</w:t>
      </w:r>
      <w:r w:rsidRPr="00592532">
        <w:rPr>
          <w:rFonts w:ascii="Times New Roman" w:hAnsi="Times New Roman"/>
          <w:sz w:val="24"/>
          <w:lang w:eastAsia="pt-PT"/>
        </w:rPr>
        <w:t xml:space="preserve">., 2007; </w:t>
      </w:r>
      <w:r>
        <w:rPr>
          <w:rFonts w:ascii="Times New Roman" w:hAnsi="Times New Roman"/>
          <w:sz w:val="24"/>
          <w:lang w:eastAsia="pt-PT"/>
        </w:rPr>
        <w:t>Reis-Filho</w:t>
      </w:r>
      <w:r w:rsidRPr="00E30D4C">
        <w:rPr>
          <w:rFonts w:ascii="Times New Roman" w:hAnsi="Times New Roman"/>
          <w:i/>
          <w:sz w:val="24"/>
          <w:lang w:eastAsia="pt-PT"/>
        </w:rPr>
        <w:t xml:space="preserve"> </w:t>
      </w:r>
      <w:r w:rsidRPr="00217F0A">
        <w:rPr>
          <w:rFonts w:ascii="Times New Roman" w:hAnsi="Times New Roman"/>
          <w:i/>
          <w:sz w:val="24"/>
          <w:lang w:eastAsia="pt-PT"/>
        </w:rPr>
        <w:t>et al</w:t>
      </w:r>
      <w:r>
        <w:rPr>
          <w:rFonts w:ascii="Times New Roman" w:hAnsi="Times New Roman"/>
          <w:sz w:val="24"/>
          <w:lang w:eastAsia="pt-PT"/>
        </w:rPr>
        <w:t xml:space="preserve">., 2008; </w:t>
      </w:r>
      <w:r w:rsidRPr="00592532">
        <w:rPr>
          <w:rFonts w:ascii="Times New Roman" w:hAnsi="Times New Roman"/>
          <w:sz w:val="24"/>
          <w:lang w:eastAsia="pt-PT"/>
        </w:rPr>
        <w:t xml:space="preserve">Chen </w:t>
      </w:r>
      <w:r w:rsidRPr="00592532">
        <w:rPr>
          <w:rFonts w:ascii="Times New Roman" w:hAnsi="Times New Roman"/>
          <w:i/>
          <w:sz w:val="24"/>
          <w:lang w:eastAsia="pt-PT"/>
        </w:rPr>
        <w:t>et al</w:t>
      </w:r>
      <w:r w:rsidRPr="00592532">
        <w:rPr>
          <w:rFonts w:ascii="Times New Roman" w:hAnsi="Times New Roman"/>
          <w:sz w:val="24"/>
          <w:lang w:eastAsia="pt-PT"/>
        </w:rPr>
        <w:t xml:space="preserve">., 2009; Adams </w:t>
      </w:r>
      <w:r w:rsidRPr="00592532">
        <w:rPr>
          <w:rFonts w:ascii="Times New Roman" w:hAnsi="Times New Roman"/>
          <w:i/>
          <w:sz w:val="24"/>
          <w:lang w:eastAsia="pt-PT"/>
        </w:rPr>
        <w:t>et al</w:t>
      </w:r>
      <w:r>
        <w:rPr>
          <w:rFonts w:ascii="Times New Roman" w:hAnsi="Times New Roman"/>
          <w:sz w:val="24"/>
          <w:lang w:eastAsia="pt-PT"/>
        </w:rPr>
        <w:t xml:space="preserve">., 2010). </w:t>
      </w:r>
    </w:p>
    <w:p w:rsidR="00F06E52" w:rsidRDefault="00F06E52" w:rsidP="00F06E52">
      <w:pPr>
        <w:jc w:val="both"/>
        <w:rPr>
          <w:rFonts w:ascii="Times New Roman" w:hAnsi="Times New Roman"/>
          <w:sz w:val="24"/>
          <w:lang w:eastAsia="pt-PT"/>
        </w:rPr>
      </w:pPr>
      <w:r>
        <w:rPr>
          <w:rFonts w:ascii="Times New Roman" w:hAnsi="Times New Roman"/>
          <w:sz w:val="24"/>
          <w:lang w:eastAsia="pt-PT"/>
        </w:rPr>
        <w:tab/>
        <w:t xml:space="preserve">O TNBC possui uma das maiores taxas de mortalidade, e caracteriza-se pelo seu historial clínico bastante agressivo e um prognóstico bastante desfavorável. O facto de possuir uma taxa de reincidência muito elevada, frequentemente pelo aparecimento de metástases no cérebro e abdómen, comparado com outros tipos de cancro da mama, torna a sua abordagem terapêutica extremamente difícil. Presentemente não existe nenhum modelo definido para o tratamento ou prevenção deste subtipo de tumores, sendo administrada a quimioterapia tradicional ao qual demonstra ser altamente resistente </w:t>
      </w:r>
      <w:r w:rsidRPr="00592532">
        <w:rPr>
          <w:rFonts w:ascii="Times New Roman" w:hAnsi="Times New Roman"/>
          <w:sz w:val="24"/>
          <w:lang w:eastAsia="pt-PT"/>
        </w:rPr>
        <w:t xml:space="preserve">(Cleator </w:t>
      </w:r>
      <w:r w:rsidRPr="00592532">
        <w:rPr>
          <w:rFonts w:ascii="Times New Roman" w:hAnsi="Times New Roman"/>
          <w:i/>
          <w:sz w:val="24"/>
          <w:lang w:eastAsia="pt-PT"/>
        </w:rPr>
        <w:t>et al</w:t>
      </w:r>
      <w:r w:rsidRPr="00592532">
        <w:rPr>
          <w:rFonts w:ascii="Times New Roman" w:hAnsi="Times New Roman"/>
          <w:sz w:val="24"/>
          <w:lang w:eastAsia="pt-PT"/>
        </w:rPr>
        <w:t xml:space="preserve">., 2007; Chen </w:t>
      </w:r>
      <w:r w:rsidRPr="00592532">
        <w:rPr>
          <w:rFonts w:ascii="Times New Roman" w:hAnsi="Times New Roman"/>
          <w:i/>
          <w:sz w:val="24"/>
          <w:lang w:eastAsia="pt-PT"/>
        </w:rPr>
        <w:t>et al</w:t>
      </w:r>
      <w:r w:rsidRPr="00592532">
        <w:rPr>
          <w:rFonts w:ascii="Times New Roman" w:hAnsi="Times New Roman"/>
          <w:sz w:val="24"/>
          <w:lang w:eastAsia="pt-PT"/>
        </w:rPr>
        <w:t xml:space="preserve">., 2009; Adams </w:t>
      </w:r>
      <w:r w:rsidRPr="00592532">
        <w:rPr>
          <w:rFonts w:ascii="Times New Roman" w:hAnsi="Times New Roman"/>
          <w:i/>
          <w:sz w:val="24"/>
          <w:lang w:eastAsia="pt-PT"/>
        </w:rPr>
        <w:t>et al</w:t>
      </w:r>
      <w:r w:rsidRPr="00592532">
        <w:rPr>
          <w:rFonts w:ascii="Times New Roman" w:hAnsi="Times New Roman"/>
          <w:sz w:val="24"/>
          <w:lang w:eastAsia="pt-PT"/>
        </w:rPr>
        <w:t xml:space="preserve">., 2010). </w:t>
      </w:r>
    </w:p>
    <w:p w:rsidR="00F06E52" w:rsidRDefault="00F06E52" w:rsidP="00F06E52">
      <w:pPr>
        <w:ind w:firstLine="708"/>
        <w:jc w:val="both"/>
        <w:rPr>
          <w:rFonts w:ascii="Times New Roman" w:hAnsi="Times New Roman"/>
          <w:sz w:val="24"/>
          <w:lang w:eastAsia="pt-PT"/>
        </w:rPr>
      </w:pPr>
      <w:r w:rsidRPr="009717BF">
        <w:rPr>
          <w:rFonts w:ascii="Times New Roman" w:hAnsi="Times New Roman"/>
          <w:sz w:val="24"/>
          <w:lang w:eastAsia="pt-PT"/>
        </w:rPr>
        <w:t>Presentemente os avanços</w:t>
      </w:r>
      <w:r w:rsidRPr="00592532">
        <w:rPr>
          <w:rFonts w:ascii="Times New Roman" w:hAnsi="Times New Roman"/>
          <w:sz w:val="24"/>
          <w:lang w:eastAsia="pt-PT"/>
        </w:rPr>
        <w:t xml:space="preserve"> </w:t>
      </w:r>
      <w:r w:rsidRPr="009717BF">
        <w:rPr>
          <w:rFonts w:ascii="Times New Roman" w:hAnsi="Times New Roman"/>
          <w:sz w:val="24"/>
          <w:lang w:eastAsia="pt-PT"/>
        </w:rPr>
        <w:t>têm sido muito restritos, e com um conhecimento limitado relativamente a estratégias para a sua prevenção</w:t>
      </w:r>
      <w:r>
        <w:rPr>
          <w:rFonts w:ascii="Times New Roman" w:hAnsi="Times New Roman"/>
          <w:sz w:val="24"/>
          <w:lang w:eastAsia="pt-PT"/>
        </w:rPr>
        <w:t>, torna</w:t>
      </w:r>
      <w:r w:rsidRPr="00A52E11">
        <w:rPr>
          <w:rFonts w:ascii="Times New Roman" w:hAnsi="Times New Roman"/>
          <w:sz w:val="24"/>
          <w:lang w:eastAsia="pt-PT"/>
        </w:rPr>
        <w:t xml:space="preserve">-se por isso </w:t>
      </w:r>
      <w:r w:rsidRPr="00A21A8D">
        <w:rPr>
          <w:rFonts w:ascii="Times New Roman" w:hAnsi="Times New Roman"/>
          <w:sz w:val="24"/>
          <w:szCs w:val="24"/>
          <w:lang w:eastAsia="pt-PT"/>
        </w:rPr>
        <w:t>fundamental</w:t>
      </w:r>
      <w:r>
        <w:rPr>
          <w:rFonts w:ascii="Times New Roman" w:hAnsi="Times New Roman"/>
          <w:sz w:val="24"/>
          <w:szCs w:val="24"/>
          <w:lang w:eastAsia="pt-PT"/>
        </w:rPr>
        <w:t xml:space="preserve"> o desenvolvimento de novas estratégias de quimioprevenção e de novos planos de tratamento para este agressivo subtipo de cancro da mama </w:t>
      </w:r>
      <w:r w:rsidRPr="009717BF">
        <w:rPr>
          <w:rFonts w:ascii="Times New Roman" w:hAnsi="Times New Roman"/>
          <w:sz w:val="24"/>
          <w:lang w:eastAsia="pt-PT"/>
        </w:rPr>
        <w:t xml:space="preserve">(Adams </w:t>
      </w:r>
      <w:r w:rsidRPr="009717BF">
        <w:rPr>
          <w:rFonts w:ascii="Times New Roman" w:hAnsi="Times New Roman"/>
          <w:i/>
          <w:sz w:val="24"/>
          <w:lang w:eastAsia="pt-PT"/>
        </w:rPr>
        <w:t>et al</w:t>
      </w:r>
      <w:r w:rsidRPr="009717BF">
        <w:rPr>
          <w:rFonts w:ascii="Times New Roman" w:hAnsi="Times New Roman"/>
          <w:sz w:val="24"/>
          <w:lang w:eastAsia="pt-PT"/>
        </w:rPr>
        <w:t>., 2010)</w:t>
      </w:r>
      <w:r>
        <w:rPr>
          <w:rFonts w:ascii="Times New Roman" w:hAnsi="Times New Roman"/>
          <w:sz w:val="24"/>
          <w:szCs w:val="24"/>
          <w:lang w:eastAsia="pt-PT"/>
        </w:rPr>
        <w:t>.</w:t>
      </w:r>
    </w:p>
    <w:p w:rsidR="007A17CD" w:rsidRPr="00F06E52" w:rsidRDefault="007A17CD" w:rsidP="00F06E52">
      <w:pPr>
        <w:spacing w:after="0"/>
        <w:jc w:val="both"/>
        <w:rPr>
          <w:rFonts w:ascii="Times New Roman" w:hAnsi="Times New Roman"/>
          <w:b/>
          <w:sz w:val="28"/>
          <w:szCs w:val="28"/>
        </w:rPr>
      </w:pPr>
    </w:p>
    <w:p w:rsidR="00F06E52" w:rsidRDefault="00F06E52" w:rsidP="00A33698">
      <w:pPr>
        <w:pStyle w:val="PargrafodaLista"/>
        <w:numPr>
          <w:ilvl w:val="1"/>
          <w:numId w:val="38"/>
        </w:numPr>
        <w:spacing w:after="0"/>
        <w:jc w:val="both"/>
        <w:rPr>
          <w:rFonts w:ascii="Times New Roman" w:hAnsi="Times New Roman"/>
          <w:b/>
          <w:sz w:val="28"/>
          <w:szCs w:val="28"/>
        </w:rPr>
      </w:pPr>
      <w:r>
        <w:rPr>
          <w:rFonts w:ascii="Times New Roman" w:hAnsi="Times New Roman"/>
          <w:b/>
          <w:sz w:val="28"/>
          <w:szCs w:val="28"/>
        </w:rPr>
        <w:t xml:space="preserve"> </w:t>
      </w:r>
      <w:r w:rsidRPr="00F06E52">
        <w:rPr>
          <w:rFonts w:ascii="Times New Roman" w:hAnsi="Times New Roman"/>
          <w:b/>
          <w:sz w:val="28"/>
          <w:szCs w:val="28"/>
        </w:rPr>
        <w:t>Potencial dos compostos fitoquímicos na prevenção e/ou tratamento do cancro da mama</w:t>
      </w:r>
    </w:p>
    <w:p w:rsidR="00A13692" w:rsidRDefault="00A13692" w:rsidP="00F06E52">
      <w:pPr>
        <w:jc w:val="both"/>
        <w:rPr>
          <w:rFonts w:ascii="Times New Roman" w:hAnsi="Times New Roman"/>
          <w:sz w:val="24"/>
          <w:lang w:eastAsia="pt-PT"/>
        </w:rPr>
      </w:pPr>
    </w:p>
    <w:p w:rsidR="0079348A" w:rsidRDefault="0079348A" w:rsidP="0067264E">
      <w:pPr>
        <w:ind w:firstLine="708"/>
        <w:jc w:val="both"/>
        <w:rPr>
          <w:rFonts w:ascii="Times New Roman" w:hAnsi="Times New Roman"/>
          <w:sz w:val="24"/>
          <w:lang w:eastAsia="pt-PT"/>
        </w:rPr>
      </w:pPr>
      <w:r>
        <w:rPr>
          <w:rFonts w:ascii="Times New Roman" w:hAnsi="Times New Roman"/>
          <w:sz w:val="24"/>
          <w:lang w:eastAsia="pt-PT"/>
        </w:rPr>
        <w:t>A associação entre o consumo de compostos fitoquímicos e a incidência de diferentes neoplasias em diferentes países</w:t>
      </w:r>
      <w:r w:rsidR="006735C9">
        <w:rPr>
          <w:rFonts w:ascii="Times New Roman" w:hAnsi="Times New Roman"/>
          <w:sz w:val="24"/>
          <w:lang w:eastAsia="pt-PT"/>
        </w:rPr>
        <w:t>,</w:t>
      </w:r>
      <w:r>
        <w:rPr>
          <w:rFonts w:ascii="Times New Roman" w:hAnsi="Times New Roman"/>
          <w:sz w:val="24"/>
          <w:lang w:eastAsia="pt-PT"/>
        </w:rPr>
        <w:t xml:space="preserve"> tem sido grandemente estudada de forma a perceber a relação entre ambos, e a contribuição e potencial destes compostos enquanto agentes bioprotectores e anti-carcinogénicos (Arts </w:t>
      </w:r>
      <w:r w:rsidRPr="000021BF">
        <w:rPr>
          <w:rFonts w:ascii="Times New Roman" w:hAnsi="Times New Roman"/>
          <w:sz w:val="24"/>
          <w:lang w:eastAsia="pt-PT"/>
        </w:rPr>
        <w:t>et al., 2011)</w:t>
      </w:r>
      <w:r>
        <w:rPr>
          <w:rFonts w:ascii="Times New Roman" w:hAnsi="Times New Roman"/>
          <w:sz w:val="24"/>
          <w:lang w:eastAsia="pt-PT"/>
        </w:rPr>
        <w:t xml:space="preserve">. </w:t>
      </w:r>
      <w:r w:rsidR="000021BF">
        <w:rPr>
          <w:rFonts w:ascii="Times New Roman" w:hAnsi="Times New Roman"/>
          <w:sz w:val="24"/>
          <w:lang w:eastAsia="pt-PT"/>
        </w:rPr>
        <w:t xml:space="preserve">Tem sido cada vez mais aceite o facto de que os agentes dietéticos podem suprimir a transformação, a hiperproliferação, a invasão, a angiogénese e a metástase de vários tumores. </w:t>
      </w:r>
      <w:r w:rsidR="0091553C">
        <w:rPr>
          <w:rFonts w:ascii="Times New Roman" w:hAnsi="Times New Roman"/>
          <w:sz w:val="24"/>
          <w:lang w:eastAsia="pt-PT"/>
        </w:rPr>
        <w:t>Estes agentes contêm</w:t>
      </w:r>
      <w:r w:rsidR="000021BF">
        <w:rPr>
          <w:rFonts w:ascii="Times New Roman" w:hAnsi="Times New Roman"/>
          <w:sz w:val="24"/>
          <w:lang w:eastAsia="pt-PT"/>
        </w:rPr>
        <w:t xml:space="preserve"> constituintes reconhecidos como bioactivos, e está a tornar-se cada vez mais claro o seu efeito pleiotrópico nas células tumorais, afectando várias moléculas implicadas na proliferação, invasão e metástase cancerígena</w:t>
      </w:r>
      <w:r w:rsidR="000021BF" w:rsidRPr="000021BF">
        <w:rPr>
          <w:rFonts w:ascii="Times New Roman" w:hAnsi="Times New Roman"/>
          <w:sz w:val="24"/>
          <w:szCs w:val="24"/>
        </w:rPr>
        <w:t xml:space="preserve"> </w:t>
      </w:r>
      <w:r w:rsidR="000021BF">
        <w:rPr>
          <w:rFonts w:ascii="Times New Roman" w:hAnsi="Times New Roman"/>
          <w:sz w:val="24"/>
          <w:szCs w:val="24"/>
        </w:rPr>
        <w:t>(</w:t>
      </w:r>
      <w:r w:rsidR="000021BF" w:rsidRPr="007B72C1">
        <w:rPr>
          <w:rFonts w:ascii="Times New Roman" w:hAnsi="Times New Roman"/>
          <w:sz w:val="24"/>
          <w:szCs w:val="24"/>
        </w:rPr>
        <w:t>Shanmugam</w:t>
      </w:r>
      <w:r w:rsidR="000021BF">
        <w:rPr>
          <w:rFonts w:ascii="Times New Roman" w:hAnsi="Times New Roman"/>
          <w:sz w:val="24"/>
          <w:szCs w:val="24"/>
        </w:rPr>
        <w:t xml:space="preserve"> </w:t>
      </w:r>
      <w:r w:rsidR="000021BF" w:rsidRPr="007B72C1">
        <w:rPr>
          <w:rFonts w:ascii="Times New Roman" w:hAnsi="Times New Roman"/>
          <w:i/>
          <w:sz w:val="24"/>
          <w:szCs w:val="24"/>
        </w:rPr>
        <w:t>et al</w:t>
      </w:r>
      <w:r w:rsidR="000021BF">
        <w:rPr>
          <w:rFonts w:ascii="Times New Roman" w:hAnsi="Times New Roman"/>
          <w:i/>
          <w:sz w:val="24"/>
          <w:szCs w:val="24"/>
        </w:rPr>
        <w:t>.</w:t>
      </w:r>
      <w:r w:rsidR="000021BF">
        <w:rPr>
          <w:rFonts w:ascii="Times New Roman" w:hAnsi="Times New Roman"/>
          <w:sz w:val="24"/>
          <w:szCs w:val="24"/>
        </w:rPr>
        <w:t>, 2011)</w:t>
      </w:r>
      <w:r w:rsidR="000021BF">
        <w:rPr>
          <w:rFonts w:ascii="Times New Roman" w:hAnsi="Times New Roman"/>
          <w:sz w:val="24"/>
          <w:lang w:eastAsia="pt-PT"/>
        </w:rPr>
        <w:t xml:space="preserve">. </w:t>
      </w:r>
      <w:r w:rsidR="00B94C02">
        <w:rPr>
          <w:rFonts w:ascii="Times New Roman" w:hAnsi="Times New Roman"/>
          <w:sz w:val="24"/>
          <w:lang w:eastAsia="pt-PT"/>
        </w:rPr>
        <w:t xml:space="preserve">Mais e metade de todas as prescrições de medicação anticancerígena aprovada internacionalmente entre o período de 1940 e 2006 foram produtos naturais ou seus derivados (Huang </w:t>
      </w:r>
      <w:r w:rsidR="00B94C02" w:rsidRPr="007B72C1">
        <w:rPr>
          <w:rFonts w:ascii="Times New Roman" w:hAnsi="Times New Roman"/>
          <w:i/>
          <w:sz w:val="24"/>
          <w:szCs w:val="24"/>
        </w:rPr>
        <w:t>et al</w:t>
      </w:r>
      <w:r w:rsidR="00B94C02">
        <w:rPr>
          <w:rFonts w:ascii="Times New Roman" w:hAnsi="Times New Roman"/>
          <w:i/>
          <w:sz w:val="24"/>
          <w:szCs w:val="24"/>
        </w:rPr>
        <w:t>.</w:t>
      </w:r>
      <w:r w:rsidR="00B94C02">
        <w:rPr>
          <w:rFonts w:ascii="Times New Roman" w:hAnsi="Times New Roman"/>
          <w:sz w:val="24"/>
          <w:szCs w:val="24"/>
        </w:rPr>
        <w:t>, 2010)</w:t>
      </w:r>
      <w:r w:rsidR="00B94C02">
        <w:rPr>
          <w:rFonts w:ascii="Times New Roman" w:hAnsi="Times New Roman"/>
          <w:sz w:val="24"/>
          <w:lang w:eastAsia="pt-PT"/>
        </w:rPr>
        <w:t xml:space="preserve">. </w:t>
      </w:r>
      <w:r w:rsidRPr="00742E5B">
        <w:rPr>
          <w:rFonts w:ascii="Times New Roman" w:hAnsi="Times New Roman"/>
          <w:sz w:val="24"/>
          <w:lang w:eastAsia="pt-PT"/>
        </w:rPr>
        <w:t xml:space="preserve">A fitoterapia é </w:t>
      </w:r>
      <w:r>
        <w:rPr>
          <w:rFonts w:ascii="Times New Roman" w:hAnsi="Times New Roman"/>
          <w:sz w:val="24"/>
          <w:lang w:eastAsia="pt-PT"/>
        </w:rPr>
        <w:t xml:space="preserve">assim actualmente </w:t>
      </w:r>
      <w:r w:rsidRPr="00742E5B">
        <w:rPr>
          <w:rFonts w:ascii="Times New Roman" w:hAnsi="Times New Roman"/>
          <w:sz w:val="24"/>
          <w:lang w:eastAsia="pt-PT"/>
        </w:rPr>
        <w:t xml:space="preserve">considerada um suporte emergente da medicina moderna no combate a diferentes tipos de patologias, nomeadamente doenças oncológicas. </w:t>
      </w:r>
      <w:r>
        <w:rPr>
          <w:rFonts w:ascii="Times New Roman" w:hAnsi="Times New Roman"/>
          <w:sz w:val="24"/>
          <w:lang w:eastAsia="pt-PT"/>
        </w:rPr>
        <w:t>Representando e</w:t>
      </w:r>
      <w:r w:rsidRPr="00742E5B">
        <w:rPr>
          <w:rFonts w:ascii="Times New Roman" w:hAnsi="Times New Roman"/>
          <w:sz w:val="24"/>
          <w:lang w:eastAsia="pt-PT"/>
        </w:rPr>
        <w:t>ste tipo de abordagem uma nova alternativa quer a nível da prevenção e/ou tratamento de neoplasias com deficitária resposta terapêutica.</w:t>
      </w:r>
      <w:r>
        <w:rPr>
          <w:rFonts w:ascii="Times New Roman" w:hAnsi="Times New Roman"/>
          <w:sz w:val="24"/>
          <w:lang w:eastAsia="pt-PT"/>
        </w:rPr>
        <w:t xml:space="preserve"> </w:t>
      </w:r>
    </w:p>
    <w:p w:rsidR="0083246F" w:rsidRDefault="00647D2B" w:rsidP="00116E01">
      <w:pPr>
        <w:tabs>
          <w:tab w:val="left" w:pos="709"/>
        </w:tabs>
        <w:ind w:firstLine="708"/>
        <w:jc w:val="both"/>
        <w:rPr>
          <w:rFonts w:ascii="Times New Roman" w:hAnsi="Times New Roman"/>
          <w:sz w:val="24"/>
          <w:lang w:eastAsia="pt-PT"/>
        </w:rPr>
      </w:pPr>
      <w:r>
        <w:rPr>
          <w:rFonts w:ascii="Times New Roman" w:hAnsi="Times New Roman"/>
          <w:sz w:val="24"/>
          <w:lang w:eastAsia="pt-PT"/>
        </w:rPr>
        <w:t xml:space="preserve">Fortes evidências epidemiológicas </w:t>
      </w:r>
      <w:r w:rsidR="00F06E52">
        <w:rPr>
          <w:rFonts w:ascii="Times New Roman" w:hAnsi="Times New Roman"/>
          <w:sz w:val="24"/>
          <w:lang w:eastAsia="pt-PT"/>
        </w:rPr>
        <w:t>sugerem que as populações benefi</w:t>
      </w:r>
      <w:r>
        <w:rPr>
          <w:rFonts w:ascii="Times New Roman" w:hAnsi="Times New Roman"/>
          <w:sz w:val="24"/>
          <w:lang w:eastAsia="pt-PT"/>
        </w:rPr>
        <w:t xml:space="preserve">ciadas pelo consumo da dieta mediterrânica possuem uma baixa incidência de várias neoplasias, nomeadamente cancro da mama, da pele, e do cólon. A oxidação das proteínas, do ADN e dos lípidos contribui para o desenvolvimento </w:t>
      </w:r>
      <w:r w:rsidR="0083246F">
        <w:rPr>
          <w:rFonts w:ascii="Times New Roman" w:hAnsi="Times New Roman"/>
          <w:sz w:val="24"/>
          <w:lang w:eastAsia="pt-PT"/>
        </w:rPr>
        <w:t>cancerígeno</w:t>
      </w:r>
      <w:r>
        <w:rPr>
          <w:rFonts w:ascii="Times New Roman" w:hAnsi="Times New Roman"/>
          <w:sz w:val="24"/>
          <w:lang w:eastAsia="pt-PT"/>
        </w:rPr>
        <w:t xml:space="preserve">, e o consumo de antioxidantes acredita-se que reduza o risco de ocorrência dos processos de mutagénese e de carcinogénese. Os antioxidantes da dieta mediterrânica provêm essencialmente de produtos com alto valor nutritivo como o azeite, os frutos variados e vegetais que constituem grande parte desta dieta. A contribuição do azeite na aparente dieta quimiopreventiva encontra-se bem documentada. A maioria dos compostos activos do azeite é lipossolúvel, no entanto os fenóis glicosídicos não o são, e por isso são mais susceptíveis de ser armazenados no tecido gordo. Adicionalmente o ácido oleico é incorporado na membrana fosfolipídica das células de tecido mamário, resultando na diminuição da peroxidação lipídica. Este factos, podem efectivamente estar na origem do efeito quimiopreventivo para o cancro da mama, e na baixa incidência desta neoplasia verificada nos países da região Mediterrânica (Waterman </w:t>
      </w:r>
      <w:r w:rsidRPr="00647D2B">
        <w:rPr>
          <w:rFonts w:ascii="Times New Roman" w:hAnsi="Times New Roman"/>
          <w:i/>
          <w:sz w:val="24"/>
          <w:lang w:eastAsia="pt-PT"/>
        </w:rPr>
        <w:t>et al</w:t>
      </w:r>
      <w:r>
        <w:rPr>
          <w:rFonts w:ascii="Times New Roman" w:hAnsi="Times New Roman"/>
          <w:sz w:val="24"/>
          <w:lang w:eastAsia="pt-PT"/>
        </w:rPr>
        <w:t xml:space="preserve">., 2007). </w:t>
      </w:r>
    </w:p>
    <w:p w:rsidR="00F06E52" w:rsidRDefault="00A715FB" w:rsidP="00116E01">
      <w:pPr>
        <w:ind w:firstLine="708"/>
        <w:jc w:val="both"/>
        <w:rPr>
          <w:rFonts w:ascii="Times New Roman" w:hAnsi="Times New Roman"/>
          <w:sz w:val="24"/>
          <w:lang w:eastAsia="pt-PT"/>
        </w:rPr>
      </w:pPr>
      <w:r>
        <w:rPr>
          <w:rFonts w:ascii="Times New Roman" w:hAnsi="Times New Roman"/>
          <w:sz w:val="24"/>
          <w:lang w:eastAsia="pt-PT"/>
        </w:rPr>
        <w:t>Os p</w:t>
      </w:r>
      <w:r w:rsidR="00F06E52" w:rsidRPr="00A715FB">
        <w:rPr>
          <w:rFonts w:ascii="Times New Roman" w:hAnsi="Times New Roman"/>
          <w:sz w:val="24"/>
          <w:lang w:eastAsia="pt-PT"/>
        </w:rPr>
        <w:t xml:space="preserve">rogressos notáveis </w:t>
      </w:r>
      <w:r w:rsidRPr="00A715FB">
        <w:rPr>
          <w:rFonts w:ascii="Times New Roman" w:hAnsi="Times New Roman"/>
          <w:sz w:val="24"/>
          <w:lang w:eastAsia="pt-PT"/>
        </w:rPr>
        <w:t>no desdobramento d</w:t>
      </w:r>
      <w:r>
        <w:rPr>
          <w:rFonts w:ascii="Times New Roman" w:hAnsi="Times New Roman"/>
          <w:sz w:val="24"/>
          <w:lang w:eastAsia="pt-PT"/>
        </w:rPr>
        <w:t xml:space="preserve">a oncobiologia nos últimos anos conduziram à descoberta de diferentes modos de intervenção no processo carcinogénico. Porque o stress oxidativo e inflamatório contribuem para a transformação maligna, os agentes dietéticos com propriedades antioxidante, anti-inflamatória, e proapoptótica serão excelentes candidatos na prevenção da maioria das neoplasias. </w:t>
      </w:r>
      <w:r w:rsidRPr="00A715FB">
        <w:rPr>
          <w:rFonts w:ascii="Times New Roman" w:hAnsi="Times New Roman"/>
          <w:sz w:val="24"/>
          <w:lang w:eastAsia="pt-PT"/>
        </w:rPr>
        <w:t>Vários agentes obtidos na d</w:t>
      </w:r>
      <w:r>
        <w:rPr>
          <w:rFonts w:ascii="Times New Roman" w:hAnsi="Times New Roman"/>
          <w:sz w:val="24"/>
          <w:lang w:eastAsia="pt-PT"/>
        </w:rPr>
        <w:t xml:space="preserve">ieta foram identificados como capazes de </w:t>
      </w:r>
      <w:r w:rsidR="005E035E">
        <w:rPr>
          <w:rFonts w:ascii="Times New Roman" w:hAnsi="Times New Roman"/>
          <w:sz w:val="24"/>
          <w:lang w:eastAsia="pt-PT"/>
        </w:rPr>
        <w:t xml:space="preserve">intervir </w:t>
      </w:r>
      <w:r w:rsidR="005E035E">
        <w:rPr>
          <w:rFonts w:ascii="Times New Roman" w:hAnsi="Times New Roman"/>
          <w:sz w:val="24"/>
          <w:lang w:eastAsia="pt-PT"/>
        </w:rPr>
        <w:lastRenderedPageBreak/>
        <w:t xml:space="preserve">na modulação de </w:t>
      </w:r>
      <w:r>
        <w:rPr>
          <w:rFonts w:ascii="Times New Roman" w:hAnsi="Times New Roman"/>
          <w:sz w:val="24"/>
          <w:lang w:eastAsia="pt-PT"/>
        </w:rPr>
        <w:t>diversos processos bioquímicos envolvidos na carcinogénese</w:t>
      </w:r>
      <w:r w:rsidR="00050E0D">
        <w:rPr>
          <w:rFonts w:ascii="Times New Roman" w:hAnsi="Times New Roman"/>
          <w:sz w:val="24"/>
          <w:lang w:eastAsia="pt-PT"/>
        </w:rPr>
        <w:t xml:space="preserve"> (iniciação, promoção e progressão), bem como vias d</w:t>
      </w:r>
      <w:r w:rsidR="006A0930">
        <w:rPr>
          <w:rFonts w:ascii="Times New Roman" w:hAnsi="Times New Roman"/>
          <w:sz w:val="24"/>
          <w:lang w:eastAsia="pt-PT"/>
        </w:rPr>
        <w:t>e sinalização celular, e a</w:t>
      </w:r>
      <w:r w:rsidR="00050E0D">
        <w:rPr>
          <w:rFonts w:ascii="Times New Roman" w:hAnsi="Times New Roman"/>
          <w:sz w:val="24"/>
          <w:lang w:eastAsia="pt-PT"/>
        </w:rPr>
        <w:t xml:space="preserve"> compreensão do seu mecanismo de acção </w:t>
      </w:r>
      <w:r w:rsidR="00E61E68">
        <w:rPr>
          <w:rFonts w:ascii="Times New Roman" w:hAnsi="Times New Roman"/>
          <w:sz w:val="24"/>
          <w:lang w:eastAsia="pt-PT"/>
        </w:rPr>
        <w:t>proporcionaria novas oportunidades para a quimioprevenção, com base em alvos moleculares específicos. Ensaios clínicos em grande escala também são necessários para validar a aplicação biológica destes agentes, quer</w:t>
      </w:r>
      <w:r w:rsidR="00D54CEB">
        <w:rPr>
          <w:rFonts w:ascii="Times New Roman" w:hAnsi="Times New Roman"/>
          <w:sz w:val="24"/>
          <w:lang w:eastAsia="pt-PT"/>
        </w:rPr>
        <w:t xml:space="preserve"> isoladamente</w:t>
      </w:r>
      <w:r w:rsidR="00B2741B">
        <w:rPr>
          <w:rFonts w:ascii="Times New Roman" w:hAnsi="Times New Roman"/>
          <w:sz w:val="24"/>
          <w:lang w:eastAsia="pt-PT"/>
        </w:rPr>
        <w:t>,</w:t>
      </w:r>
      <w:r w:rsidR="00E61E68">
        <w:rPr>
          <w:rFonts w:ascii="Times New Roman" w:hAnsi="Times New Roman"/>
          <w:sz w:val="24"/>
          <w:lang w:eastAsia="pt-PT"/>
        </w:rPr>
        <w:t xml:space="preserve"> ou em combinação com os modelos </w:t>
      </w:r>
      <w:r w:rsidR="00D54CEB">
        <w:rPr>
          <w:rFonts w:ascii="Times New Roman" w:hAnsi="Times New Roman"/>
          <w:sz w:val="24"/>
          <w:lang w:eastAsia="pt-PT"/>
        </w:rPr>
        <w:t>de cuidados</w:t>
      </w:r>
      <w:r w:rsidR="00D54CEB" w:rsidRPr="00B2741B">
        <w:rPr>
          <w:rFonts w:ascii="Times New Roman" w:hAnsi="Times New Roman"/>
          <w:sz w:val="24"/>
          <w:szCs w:val="24"/>
        </w:rPr>
        <w:t xml:space="preserve"> </w:t>
      </w:r>
      <w:r w:rsidR="00E61E68">
        <w:rPr>
          <w:rFonts w:ascii="Times New Roman" w:hAnsi="Times New Roman"/>
          <w:sz w:val="24"/>
          <w:lang w:eastAsia="pt-PT"/>
        </w:rPr>
        <w:t xml:space="preserve">existentes </w:t>
      </w:r>
      <w:r w:rsidR="00B2741B">
        <w:rPr>
          <w:rFonts w:ascii="Times New Roman" w:hAnsi="Times New Roman"/>
          <w:sz w:val="24"/>
          <w:szCs w:val="24"/>
        </w:rPr>
        <w:t>(</w:t>
      </w:r>
      <w:r w:rsidR="006A0930">
        <w:rPr>
          <w:rFonts w:ascii="Times New Roman" w:hAnsi="Times New Roman"/>
          <w:sz w:val="24"/>
          <w:szCs w:val="24"/>
        </w:rPr>
        <w:t xml:space="preserve">Huang </w:t>
      </w:r>
      <w:r w:rsidR="006A0930" w:rsidRPr="007B72C1">
        <w:rPr>
          <w:rFonts w:ascii="Times New Roman" w:hAnsi="Times New Roman"/>
          <w:i/>
          <w:sz w:val="24"/>
          <w:szCs w:val="24"/>
        </w:rPr>
        <w:t>et al</w:t>
      </w:r>
      <w:r w:rsidR="006A0930">
        <w:rPr>
          <w:rFonts w:ascii="Times New Roman" w:hAnsi="Times New Roman"/>
          <w:i/>
          <w:sz w:val="24"/>
          <w:szCs w:val="24"/>
        </w:rPr>
        <w:t>.</w:t>
      </w:r>
      <w:r w:rsidR="006A0930">
        <w:rPr>
          <w:rFonts w:ascii="Times New Roman" w:hAnsi="Times New Roman"/>
          <w:sz w:val="24"/>
          <w:szCs w:val="24"/>
        </w:rPr>
        <w:t xml:space="preserve">, 2010; </w:t>
      </w:r>
      <w:r w:rsidR="00B2741B" w:rsidRPr="007B72C1">
        <w:rPr>
          <w:rFonts w:ascii="Times New Roman" w:hAnsi="Times New Roman"/>
          <w:sz w:val="24"/>
          <w:szCs w:val="24"/>
        </w:rPr>
        <w:t>Shanmugam</w:t>
      </w:r>
      <w:r w:rsidR="00B2741B">
        <w:rPr>
          <w:rFonts w:ascii="Times New Roman" w:hAnsi="Times New Roman"/>
          <w:sz w:val="24"/>
          <w:szCs w:val="24"/>
        </w:rPr>
        <w:t xml:space="preserve"> </w:t>
      </w:r>
      <w:r w:rsidR="00B2741B" w:rsidRPr="007B72C1">
        <w:rPr>
          <w:rFonts w:ascii="Times New Roman" w:hAnsi="Times New Roman"/>
          <w:i/>
          <w:sz w:val="24"/>
          <w:szCs w:val="24"/>
        </w:rPr>
        <w:t>et al</w:t>
      </w:r>
      <w:r w:rsidR="00B2741B">
        <w:rPr>
          <w:rFonts w:ascii="Times New Roman" w:hAnsi="Times New Roman"/>
          <w:i/>
          <w:sz w:val="24"/>
          <w:szCs w:val="24"/>
        </w:rPr>
        <w:t>.</w:t>
      </w:r>
      <w:r w:rsidR="00B2741B">
        <w:rPr>
          <w:rFonts w:ascii="Times New Roman" w:hAnsi="Times New Roman"/>
          <w:sz w:val="24"/>
          <w:szCs w:val="24"/>
        </w:rPr>
        <w:t>, 2011)</w:t>
      </w:r>
      <w:r w:rsidR="00E61E68">
        <w:rPr>
          <w:rFonts w:ascii="Times New Roman" w:hAnsi="Times New Roman"/>
          <w:sz w:val="24"/>
          <w:lang w:eastAsia="pt-PT"/>
        </w:rPr>
        <w:t xml:space="preserve">. </w:t>
      </w:r>
    </w:p>
    <w:p w:rsidR="00B43611" w:rsidRDefault="00B43611" w:rsidP="00B2741B">
      <w:pPr>
        <w:ind w:firstLine="360"/>
        <w:jc w:val="both"/>
        <w:rPr>
          <w:rFonts w:ascii="Times New Roman" w:hAnsi="Times New Roman"/>
          <w:sz w:val="24"/>
          <w:lang w:eastAsia="pt-PT"/>
        </w:rPr>
      </w:pPr>
      <w:r>
        <w:rPr>
          <w:rFonts w:ascii="Times New Roman" w:hAnsi="Times New Roman"/>
          <w:sz w:val="24"/>
          <w:lang w:eastAsia="pt-PT"/>
        </w:rPr>
        <w:tab/>
        <w:t>Evidências clínicas têm demonstrado que as estratégias de quimioprevenção pela utilização de fitoquímicos fenólicos, são uma abordagem não dispendiosa, rapidamente aplicável, aceitável, e acessível no controlo do cancro e seu acompanhamento terapêutico. No entanto, é necessária uma maior e melhor compreensão dos benefícios para a saúde</w:t>
      </w:r>
      <w:r w:rsidR="00062519">
        <w:rPr>
          <w:rFonts w:ascii="Times New Roman" w:hAnsi="Times New Roman"/>
          <w:sz w:val="24"/>
          <w:lang w:eastAsia="pt-PT"/>
        </w:rPr>
        <w:t>,</w:t>
      </w:r>
      <w:r>
        <w:rPr>
          <w:rFonts w:ascii="Times New Roman" w:hAnsi="Times New Roman"/>
          <w:sz w:val="24"/>
          <w:lang w:eastAsia="pt-PT"/>
        </w:rPr>
        <w:t xml:space="preserve"> e dos riscos possíveis da </w:t>
      </w:r>
      <w:r w:rsidR="00062519">
        <w:rPr>
          <w:rFonts w:ascii="Times New Roman" w:hAnsi="Times New Roman"/>
          <w:sz w:val="24"/>
          <w:lang w:eastAsia="pt-PT"/>
        </w:rPr>
        <w:t>utilização destes compostos enquanto suplementos dietéticos ou como terapias adjuvantes, para assegurar a sua segurança e eficácia (</w:t>
      </w:r>
      <w:r w:rsidR="00062519">
        <w:rPr>
          <w:rFonts w:ascii="Times New Roman" w:hAnsi="Times New Roman"/>
          <w:sz w:val="24"/>
          <w:szCs w:val="24"/>
        </w:rPr>
        <w:t xml:space="preserve">Huang </w:t>
      </w:r>
      <w:r w:rsidR="00062519" w:rsidRPr="007B72C1">
        <w:rPr>
          <w:rFonts w:ascii="Times New Roman" w:hAnsi="Times New Roman"/>
          <w:i/>
          <w:sz w:val="24"/>
          <w:szCs w:val="24"/>
        </w:rPr>
        <w:t>et al</w:t>
      </w:r>
      <w:r w:rsidR="00062519">
        <w:rPr>
          <w:rFonts w:ascii="Times New Roman" w:hAnsi="Times New Roman"/>
          <w:i/>
          <w:sz w:val="24"/>
          <w:szCs w:val="24"/>
        </w:rPr>
        <w:t>.</w:t>
      </w:r>
      <w:r w:rsidR="00062519">
        <w:rPr>
          <w:rFonts w:ascii="Times New Roman" w:hAnsi="Times New Roman"/>
          <w:sz w:val="24"/>
          <w:szCs w:val="24"/>
        </w:rPr>
        <w:t>, 2010)</w:t>
      </w:r>
      <w:r w:rsidR="00062519">
        <w:rPr>
          <w:rFonts w:ascii="Times New Roman" w:hAnsi="Times New Roman"/>
          <w:sz w:val="24"/>
          <w:lang w:eastAsia="pt-PT"/>
        </w:rPr>
        <w:t xml:space="preserve">.  </w:t>
      </w:r>
    </w:p>
    <w:p w:rsidR="00733952" w:rsidRPr="00C56F91" w:rsidRDefault="00733952" w:rsidP="00062519">
      <w:pPr>
        <w:ind w:firstLine="708"/>
        <w:jc w:val="both"/>
        <w:rPr>
          <w:rFonts w:ascii="Times New Roman" w:hAnsi="Times New Roman"/>
          <w:sz w:val="44"/>
          <w:lang w:eastAsia="pt-PT"/>
        </w:rPr>
      </w:pPr>
      <w:r w:rsidRPr="00C56F91">
        <w:rPr>
          <w:rStyle w:val="apple-style-span"/>
          <w:rFonts w:ascii="Times New Roman" w:hAnsi="Times New Roman"/>
          <w:color w:val="000000"/>
          <w:sz w:val="24"/>
          <w:szCs w:val="15"/>
        </w:rPr>
        <w:t xml:space="preserve">No presente trabalho foi estudada a resposta </w:t>
      </w:r>
      <w:r w:rsidR="00AB06E3" w:rsidRPr="00C56F91">
        <w:rPr>
          <w:rStyle w:val="apple-style-span"/>
          <w:rFonts w:ascii="Times New Roman" w:hAnsi="Times New Roman"/>
          <w:color w:val="000000"/>
          <w:sz w:val="24"/>
          <w:szCs w:val="15"/>
        </w:rPr>
        <w:t xml:space="preserve">antiproliferativa aos extractos aquosos concentrados </w:t>
      </w:r>
      <w:r w:rsidR="00B52ED5">
        <w:rPr>
          <w:rStyle w:val="apple-style-span"/>
          <w:rFonts w:ascii="Times New Roman" w:hAnsi="Times New Roman"/>
          <w:color w:val="000000"/>
          <w:sz w:val="24"/>
          <w:szCs w:val="15"/>
        </w:rPr>
        <w:t>derivad</w:t>
      </w:r>
      <w:r w:rsidR="00AB06E3" w:rsidRPr="00C56F91">
        <w:rPr>
          <w:rStyle w:val="apple-style-span"/>
          <w:rFonts w:ascii="Times New Roman" w:hAnsi="Times New Roman"/>
          <w:color w:val="000000"/>
          <w:sz w:val="24"/>
          <w:szCs w:val="15"/>
        </w:rPr>
        <w:t xml:space="preserve">os de bagaço de azeitona extractado, </w:t>
      </w:r>
      <w:r w:rsidRPr="00C56F91">
        <w:rPr>
          <w:rStyle w:val="apple-style-span"/>
          <w:rFonts w:ascii="Times New Roman" w:hAnsi="Times New Roman"/>
          <w:color w:val="000000"/>
          <w:sz w:val="24"/>
          <w:szCs w:val="15"/>
        </w:rPr>
        <w:t xml:space="preserve">de um modelo </w:t>
      </w:r>
      <w:r w:rsidRPr="00C56F91">
        <w:rPr>
          <w:rStyle w:val="apple-converted-space"/>
          <w:rFonts w:ascii="Times New Roman" w:hAnsi="Times New Roman"/>
          <w:color w:val="000000"/>
          <w:sz w:val="24"/>
          <w:szCs w:val="15"/>
        </w:rPr>
        <w:t> </w:t>
      </w:r>
      <w:r w:rsidRPr="00133444">
        <w:rPr>
          <w:rStyle w:val="nfase"/>
          <w:rFonts w:ascii="Times New Roman" w:hAnsi="Times New Roman"/>
          <w:i w:val="0"/>
          <w:color w:val="000000"/>
          <w:sz w:val="24"/>
          <w:szCs w:val="15"/>
        </w:rPr>
        <w:t>in vitro</w:t>
      </w:r>
      <w:r w:rsidR="00AB06E3" w:rsidRPr="00C56F91">
        <w:rPr>
          <w:rStyle w:val="apple-style-span"/>
          <w:rFonts w:ascii="Times New Roman" w:hAnsi="Times New Roman"/>
          <w:color w:val="000000"/>
          <w:sz w:val="24"/>
          <w:szCs w:val="15"/>
        </w:rPr>
        <w:t xml:space="preserve"> de carcinogénese mamária que mimetiza o crescimento das células tumorais da mama, </w:t>
      </w:r>
      <w:r w:rsidR="00AB06E3" w:rsidRPr="00C56F91">
        <w:rPr>
          <w:rFonts w:ascii="Times New Roman" w:hAnsi="Times New Roman"/>
          <w:sz w:val="24"/>
          <w:szCs w:val="24"/>
        </w:rPr>
        <w:t>a</w:t>
      </w:r>
      <w:r w:rsidR="00AE318B" w:rsidRPr="00C56F91">
        <w:rPr>
          <w:rFonts w:ascii="Times New Roman" w:hAnsi="Times New Roman"/>
          <w:sz w:val="24"/>
          <w:szCs w:val="24"/>
        </w:rPr>
        <w:t xml:space="preserve"> linha celular de cancro da mama fenótipo triplo negativo, denominada MDA-MB-231</w:t>
      </w:r>
      <w:r w:rsidR="004E5656">
        <w:rPr>
          <w:rFonts w:ascii="Times New Roman" w:hAnsi="Times New Roman"/>
          <w:sz w:val="24"/>
          <w:szCs w:val="24"/>
        </w:rPr>
        <w:t xml:space="preserve">, através do método de </w:t>
      </w:r>
      <w:r w:rsidR="001362F3" w:rsidRPr="00290FF2">
        <w:rPr>
          <w:rFonts w:ascii="Times New Roman" w:hAnsi="Times New Roman"/>
          <w:i/>
          <w:sz w:val="24"/>
          <w:szCs w:val="24"/>
        </w:rPr>
        <w:t>3-(4, 5-dimethylthiazolyl-2)-2, 5-diphenyltetrazolium bromide</w:t>
      </w:r>
      <w:r w:rsidR="001362F3">
        <w:rPr>
          <w:rFonts w:ascii="Times New Roman" w:hAnsi="Times New Roman"/>
          <w:sz w:val="24"/>
          <w:szCs w:val="24"/>
        </w:rPr>
        <w:t xml:space="preserve"> (</w:t>
      </w:r>
      <w:r w:rsidR="004E5656">
        <w:rPr>
          <w:rFonts w:ascii="Times New Roman" w:hAnsi="Times New Roman"/>
          <w:sz w:val="24"/>
          <w:szCs w:val="24"/>
        </w:rPr>
        <w:t>MTT</w:t>
      </w:r>
      <w:r w:rsidR="001362F3">
        <w:rPr>
          <w:rFonts w:ascii="Times New Roman" w:hAnsi="Times New Roman"/>
          <w:sz w:val="24"/>
          <w:szCs w:val="24"/>
        </w:rPr>
        <w:t>)</w:t>
      </w:r>
      <w:r w:rsidR="004E5656">
        <w:rPr>
          <w:rFonts w:ascii="Times New Roman" w:hAnsi="Times New Roman"/>
          <w:sz w:val="24"/>
          <w:szCs w:val="24"/>
        </w:rPr>
        <w:t>.</w:t>
      </w:r>
      <w:r w:rsidRPr="00C56F91">
        <w:rPr>
          <w:rStyle w:val="apple-style-span"/>
          <w:rFonts w:ascii="Times New Roman" w:hAnsi="Times New Roman"/>
          <w:color w:val="000000"/>
          <w:sz w:val="24"/>
          <w:szCs w:val="15"/>
        </w:rPr>
        <w:t xml:space="preserve"> </w:t>
      </w:r>
    </w:p>
    <w:p w:rsidR="00501A10" w:rsidRPr="009D011B" w:rsidRDefault="00501A10" w:rsidP="0079348A">
      <w:pPr>
        <w:pStyle w:val="PargrafodaLista"/>
        <w:ind w:left="0"/>
        <w:jc w:val="both"/>
        <w:rPr>
          <w:rFonts w:ascii="Times New Roman" w:hAnsi="Times New Roman"/>
          <w:b/>
          <w:sz w:val="28"/>
          <w:szCs w:val="28"/>
        </w:rPr>
      </w:pPr>
    </w:p>
    <w:p w:rsidR="00C15B44" w:rsidRPr="00050CE7" w:rsidRDefault="00C15B44" w:rsidP="00C15B44">
      <w:pPr>
        <w:autoSpaceDE w:val="0"/>
        <w:autoSpaceDN w:val="0"/>
        <w:adjustRightInd w:val="0"/>
        <w:spacing w:after="0" w:line="240" w:lineRule="auto"/>
        <w:jc w:val="both"/>
        <w:rPr>
          <w:rFonts w:ascii="Times New Roman" w:hAnsi="Times New Roman"/>
          <w:sz w:val="24"/>
          <w:szCs w:val="24"/>
        </w:rPr>
      </w:pPr>
    </w:p>
    <w:p w:rsidR="00C15B44" w:rsidRPr="00050CE7" w:rsidRDefault="00C15B44" w:rsidP="00C15B44">
      <w:pPr>
        <w:autoSpaceDE w:val="0"/>
        <w:autoSpaceDN w:val="0"/>
        <w:adjustRightInd w:val="0"/>
        <w:spacing w:after="0" w:line="240" w:lineRule="auto"/>
        <w:jc w:val="both"/>
        <w:rPr>
          <w:rFonts w:ascii="OptimaLT" w:hAnsi="OptimaLT" w:cs="OptimaLT"/>
          <w:sz w:val="24"/>
          <w:szCs w:val="24"/>
          <w:lang w:eastAsia="pt-PT"/>
        </w:rPr>
      </w:pPr>
    </w:p>
    <w:p w:rsidR="00C15B44" w:rsidRPr="00050CE7" w:rsidRDefault="00C15B44" w:rsidP="008D195F">
      <w:pPr>
        <w:autoSpaceDE w:val="0"/>
        <w:autoSpaceDN w:val="0"/>
        <w:adjustRightInd w:val="0"/>
        <w:spacing w:after="0" w:line="240" w:lineRule="auto"/>
        <w:rPr>
          <w:rFonts w:ascii="OptimaLT" w:hAnsi="OptimaLT" w:cs="OptimaLT"/>
          <w:sz w:val="24"/>
          <w:szCs w:val="24"/>
          <w:lang w:eastAsia="pt-PT"/>
        </w:rPr>
      </w:pPr>
    </w:p>
    <w:p w:rsidR="00B133A4" w:rsidRPr="00050CE7" w:rsidRDefault="00B133A4" w:rsidP="007B6DF8">
      <w:pPr>
        <w:spacing w:after="0" w:line="240" w:lineRule="auto"/>
        <w:jc w:val="center"/>
        <w:rPr>
          <w:rFonts w:asciiTheme="minorHAnsi" w:hAnsiTheme="minorHAnsi"/>
          <w:sz w:val="24"/>
          <w:szCs w:val="24"/>
        </w:rPr>
      </w:pPr>
    </w:p>
    <w:p w:rsidR="00E60045" w:rsidRPr="00050CE7" w:rsidRDefault="00E60045" w:rsidP="00E60045">
      <w:pPr>
        <w:jc w:val="right"/>
        <w:rPr>
          <w:b/>
          <w:sz w:val="24"/>
          <w:szCs w:val="24"/>
        </w:rPr>
      </w:pPr>
    </w:p>
    <w:p w:rsidR="00537423" w:rsidRDefault="00537423"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E60045">
      <w:pPr>
        <w:jc w:val="right"/>
        <w:rPr>
          <w:b/>
          <w:sz w:val="24"/>
          <w:szCs w:val="24"/>
        </w:rPr>
      </w:pPr>
    </w:p>
    <w:p w:rsidR="0077507E" w:rsidRDefault="0077507E"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4A53B1" w:rsidRDefault="004A53B1" w:rsidP="004A53B1">
      <w:pPr>
        <w:spacing w:after="0"/>
        <w:jc w:val="right"/>
        <w:rPr>
          <w:b/>
          <w:sz w:val="24"/>
          <w:szCs w:val="24"/>
        </w:rPr>
      </w:pPr>
    </w:p>
    <w:p w:rsidR="007A17CD" w:rsidRDefault="007A17CD" w:rsidP="004A53B1">
      <w:pPr>
        <w:spacing w:after="0"/>
        <w:jc w:val="right"/>
        <w:rPr>
          <w:b/>
          <w:sz w:val="24"/>
          <w:szCs w:val="24"/>
        </w:rPr>
      </w:pPr>
    </w:p>
    <w:p w:rsidR="007A17CD" w:rsidRDefault="007A17CD" w:rsidP="004A53B1">
      <w:pPr>
        <w:spacing w:after="0"/>
        <w:jc w:val="right"/>
        <w:rPr>
          <w:b/>
          <w:sz w:val="24"/>
          <w:szCs w:val="24"/>
        </w:rPr>
      </w:pPr>
    </w:p>
    <w:p w:rsidR="004A53B1" w:rsidRDefault="004A53B1" w:rsidP="004A53B1">
      <w:pPr>
        <w:spacing w:after="0"/>
        <w:jc w:val="right"/>
        <w:rPr>
          <w:b/>
          <w:sz w:val="24"/>
          <w:szCs w:val="24"/>
        </w:rPr>
      </w:pPr>
    </w:p>
    <w:p w:rsidR="004A53B1" w:rsidRPr="004A53B1" w:rsidRDefault="004A53B1" w:rsidP="00133165">
      <w:pPr>
        <w:spacing w:after="0"/>
        <w:rPr>
          <w:rFonts w:ascii="Times New Roman" w:hAnsi="Times New Roman"/>
          <w:b/>
          <w:sz w:val="24"/>
          <w:szCs w:val="24"/>
        </w:rPr>
      </w:pPr>
    </w:p>
    <w:p w:rsidR="0077507E" w:rsidRPr="004A53B1" w:rsidRDefault="0077507E" w:rsidP="004A53B1">
      <w:pPr>
        <w:spacing w:after="0"/>
        <w:jc w:val="right"/>
        <w:rPr>
          <w:rFonts w:ascii="Times New Roman" w:hAnsi="Times New Roman"/>
          <w:b/>
          <w:sz w:val="24"/>
          <w:szCs w:val="24"/>
        </w:rPr>
      </w:pPr>
    </w:p>
    <w:p w:rsidR="0077507E" w:rsidRPr="008D6D18" w:rsidRDefault="0077507E" w:rsidP="004A53B1">
      <w:pPr>
        <w:pStyle w:val="PargrafodaLista"/>
        <w:numPr>
          <w:ilvl w:val="0"/>
          <w:numId w:val="5"/>
        </w:numPr>
        <w:spacing w:after="0"/>
        <w:jc w:val="right"/>
        <w:rPr>
          <w:rFonts w:ascii="Times New Roman" w:hAnsi="Times New Roman"/>
          <w:b/>
          <w:sz w:val="32"/>
          <w:szCs w:val="28"/>
        </w:rPr>
      </w:pPr>
      <w:r>
        <w:rPr>
          <w:rFonts w:ascii="Times New Roman" w:hAnsi="Times New Roman"/>
          <w:b/>
          <w:sz w:val="32"/>
          <w:szCs w:val="28"/>
        </w:rPr>
        <w:t>Problemática e Objectivos</w:t>
      </w:r>
    </w:p>
    <w:p w:rsidR="0077507E" w:rsidRPr="00050CE7" w:rsidRDefault="0077507E" w:rsidP="00E60045">
      <w:pPr>
        <w:jc w:val="right"/>
        <w:rPr>
          <w:b/>
          <w:sz w:val="24"/>
          <w:szCs w:val="24"/>
        </w:rPr>
      </w:pPr>
    </w:p>
    <w:p w:rsidR="00537423" w:rsidRPr="00050CE7" w:rsidRDefault="00537423" w:rsidP="00E60045">
      <w:pPr>
        <w:jc w:val="right"/>
        <w:rPr>
          <w:b/>
          <w:sz w:val="24"/>
          <w:szCs w:val="24"/>
        </w:rPr>
      </w:pPr>
    </w:p>
    <w:p w:rsidR="00537423" w:rsidRPr="00050CE7" w:rsidRDefault="00537423" w:rsidP="00E60045">
      <w:pPr>
        <w:jc w:val="right"/>
        <w:rPr>
          <w:b/>
          <w:sz w:val="24"/>
          <w:szCs w:val="24"/>
        </w:rPr>
      </w:pPr>
    </w:p>
    <w:p w:rsidR="00537423" w:rsidRPr="00050CE7" w:rsidRDefault="00537423" w:rsidP="00E60045">
      <w:pPr>
        <w:jc w:val="right"/>
        <w:rPr>
          <w:b/>
          <w:sz w:val="24"/>
          <w:szCs w:val="24"/>
        </w:rPr>
      </w:pPr>
    </w:p>
    <w:p w:rsidR="00537423" w:rsidRPr="00050CE7" w:rsidRDefault="00537423" w:rsidP="00E60045">
      <w:pPr>
        <w:jc w:val="right"/>
        <w:rPr>
          <w:b/>
          <w:sz w:val="24"/>
          <w:szCs w:val="24"/>
        </w:rPr>
      </w:pPr>
    </w:p>
    <w:p w:rsidR="00537423" w:rsidRDefault="00537423" w:rsidP="00E60045">
      <w:pPr>
        <w:jc w:val="right"/>
        <w:rPr>
          <w:b/>
          <w:sz w:val="24"/>
          <w:szCs w:val="24"/>
        </w:rPr>
      </w:pPr>
    </w:p>
    <w:p w:rsidR="00BD2DFA" w:rsidRDefault="00BD2DFA" w:rsidP="00CB2F6D">
      <w:pPr>
        <w:rPr>
          <w:b/>
          <w:sz w:val="24"/>
          <w:szCs w:val="24"/>
        </w:rPr>
      </w:pPr>
    </w:p>
    <w:p w:rsidR="008B00B1" w:rsidRDefault="008B00B1" w:rsidP="00CB2F6D">
      <w:pPr>
        <w:rPr>
          <w:b/>
          <w:sz w:val="24"/>
          <w:szCs w:val="24"/>
        </w:rPr>
      </w:pPr>
    </w:p>
    <w:p w:rsidR="008B00B1" w:rsidRDefault="008B00B1" w:rsidP="00CB2F6D">
      <w:pPr>
        <w:rPr>
          <w:b/>
          <w:sz w:val="24"/>
          <w:szCs w:val="24"/>
        </w:rPr>
      </w:pPr>
    </w:p>
    <w:p w:rsidR="007A17CD" w:rsidRDefault="007A17CD" w:rsidP="00CB2F6D">
      <w:pPr>
        <w:rPr>
          <w:b/>
          <w:sz w:val="24"/>
          <w:szCs w:val="24"/>
        </w:rPr>
      </w:pPr>
    </w:p>
    <w:p w:rsidR="007A17CD" w:rsidRDefault="007A17CD" w:rsidP="00CB2F6D">
      <w:pPr>
        <w:rPr>
          <w:b/>
          <w:sz w:val="24"/>
          <w:szCs w:val="24"/>
        </w:rPr>
      </w:pPr>
    </w:p>
    <w:p w:rsidR="007A17CD" w:rsidRDefault="007A17CD" w:rsidP="00CB2F6D">
      <w:pPr>
        <w:rPr>
          <w:b/>
          <w:sz w:val="24"/>
          <w:szCs w:val="24"/>
        </w:rPr>
      </w:pPr>
    </w:p>
    <w:p w:rsidR="00BD2DFA" w:rsidRDefault="00BD2DFA" w:rsidP="00E60045">
      <w:pPr>
        <w:jc w:val="right"/>
        <w:rPr>
          <w:b/>
          <w:sz w:val="24"/>
          <w:szCs w:val="24"/>
        </w:rPr>
      </w:pPr>
    </w:p>
    <w:p w:rsidR="009A4018" w:rsidRDefault="0077507E" w:rsidP="0077507E">
      <w:pPr>
        <w:pStyle w:val="PargrafodaLista"/>
        <w:numPr>
          <w:ilvl w:val="0"/>
          <w:numId w:val="24"/>
        </w:numPr>
        <w:spacing w:after="0"/>
        <w:jc w:val="both"/>
        <w:rPr>
          <w:rFonts w:ascii="Times New Roman" w:hAnsi="Times New Roman"/>
          <w:b/>
          <w:sz w:val="28"/>
          <w:szCs w:val="28"/>
        </w:rPr>
      </w:pPr>
      <w:r w:rsidRPr="0077507E">
        <w:rPr>
          <w:rFonts w:ascii="Times New Roman" w:hAnsi="Times New Roman"/>
          <w:b/>
          <w:sz w:val="28"/>
          <w:szCs w:val="28"/>
        </w:rPr>
        <w:t>Problemática</w:t>
      </w:r>
    </w:p>
    <w:p w:rsidR="0077507E" w:rsidRDefault="0077507E" w:rsidP="0077507E">
      <w:pPr>
        <w:spacing w:after="0"/>
        <w:jc w:val="both"/>
        <w:rPr>
          <w:rFonts w:ascii="Times New Roman" w:hAnsi="Times New Roman"/>
          <w:b/>
          <w:sz w:val="28"/>
          <w:szCs w:val="28"/>
        </w:rPr>
      </w:pPr>
    </w:p>
    <w:p w:rsidR="0074159B" w:rsidRPr="00B150AB" w:rsidRDefault="0074159B" w:rsidP="000315F2">
      <w:pPr>
        <w:ind w:firstLine="708"/>
        <w:jc w:val="both"/>
        <w:rPr>
          <w:rStyle w:val="hps"/>
          <w:rFonts w:ascii="Times New Roman" w:hAnsi="Times New Roman"/>
          <w:color w:val="000000"/>
          <w:sz w:val="24"/>
          <w:szCs w:val="24"/>
        </w:rPr>
      </w:pPr>
      <w:r w:rsidRPr="00B150AB">
        <w:rPr>
          <w:rStyle w:val="hps"/>
          <w:rFonts w:ascii="Times New Roman" w:hAnsi="Times New Roman"/>
          <w:color w:val="000000"/>
          <w:sz w:val="24"/>
          <w:szCs w:val="24"/>
        </w:rPr>
        <w:t xml:space="preserve">A fitoterapia é hoje em dia considerada um suporte emergente da medicina moderna no combate a diferentes tipos de patologias, nomeadamente doenças oncológicas. </w:t>
      </w:r>
      <w:r w:rsidRPr="006F1BE8">
        <w:rPr>
          <w:rStyle w:val="hps"/>
          <w:rFonts w:ascii="Times New Roman" w:hAnsi="Times New Roman"/>
          <w:color w:val="000000"/>
          <w:sz w:val="24"/>
          <w:szCs w:val="24"/>
        </w:rPr>
        <w:t xml:space="preserve">Este tipo de abordagem representa uma nova alternativa quer a nível da prevenção e/ou tratamento de neoplasias com deficitária resposta terapêutica. </w:t>
      </w:r>
    </w:p>
    <w:p w:rsidR="00C93E91" w:rsidRDefault="00C93E91" w:rsidP="000315F2">
      <w:pPr>
        <w:ind w:firstLine="708"/>
        <w:jc w:val="both"/>
        <w:rPr>
          <w:rFonts w:ascii="Times New Roman" w:hAnsi="Times New Roman"/>
          <w:sz w:val="24"/>
          <w:szCs w:val="24"/>
        </w:rPr>
      </w:pPr>
      <w:r>
        <w:rPr>
          <w:rFonts w:ascii="Times New Roman" w:hAnsi="Times New Roman"/>
          <w:sz w:val="24"/>
          <w:lang w:eastAsia="pt-PT"/>
        </w:rPr>
        <w:t xml:space="preserve">A associação entre o consumo de compostos fitoquímicos, abundantes na dieta Mediterrânica, e a incidência de diferentes neoplasias em diferentes países, tem sido bastante explorada de forma a compreender a relação entre ambos, e a contribuição e potencial destes compostos enquanto agentes bioprotectores e anti-carcinogénicos. Fortes evidências epidemiológicas sugerem que as populações beneficiadas pelo consumo desta dieta possuem uma baixa incidência de várias neoplasias, nomeadamente de cancro da mama, da pele, e do cólon, </w:t>
      </w:r>
      <w:r>
        <w:rPr>
          <w:rFonts w:ascii="Times New Roman" w:hAnsi="Times New Roman"/>
          <w:sz w:val="24"/>
          <w:szCs w:val="24"/>
        </w:rPr>
        <w:t>encontrando-se esta diferença associada ao padrão de alimentação da região do Mediterrâneo.</w:t>
      </w:r>
    </w:p>
    <w:p w:rsidR="000315F2" w:rsidRPr="000315F2" w:rsidRDefault="000315F2" w:rsidP="00C93E91">
      <w:pPr>
        <w:ind w:firstLine="708"/>
        <w:jc w:val="both"/>
        <w:rPr>
          <w:rStyle w:val="hps"/>
          <w:rFonts w:ascii="Times New Roman" w:hAnsi="Times New Roman"/>
          <w:color w:val="000000"/>
          <w:sz w:val="24"/>
          <w:szCs w:val="24"/>
        </w:rPr>
      </w:pPr>
      <w:r w:rsidRPr="00B150AB">
        <w:rPr>
          <w:rStyle w:val="hps"/>
          <w:rFonts w:ascii="Times New Roman" w:hAnsi="Times New Roman"/>
          <w:color w:val="000000"/>
          <w:sz w:val="24"/>
          <w:szCs w:val="24"/>
        </w:rPr>
        <w:t xml:space="preserve">O azeite é rico em compostos fitoquímicos de elevado potencial biológico com aplicações valorizadas no ramo alimentar e terapêutico. O consumo directo deste tipo de gordura </w:t>
      </w:r>
      <w:r w:rsidRPr="00B150AB">
        <w:rPr>
          <w:rStyle w:val="hps"/>
          <w:rFonts w:ascii="Times New Roman" w:hAnsi="Times New Roman"/>
          <w:i/>
          <w:color w:val="000000"/>
          <w:sz w:val="24"/>
          <w:szCs w:val="24"/>
        </w:rPr>
        <w:t>versus</w:t>
      </w:r>
      <w:r w:rsidRPr="00B150AB">
        <w:rPr>
          <w:rStyle w:val="hps"/>
          <w:rFonts w:ascii="Times New Roman" w:hAnsi="Times New Roman"/>
          <w:color w:val="000000"/>
          <w:sz w:val="24"/>
          <w:szCs w:val="24"/>
        </w:rPr>
        <w:t xml:space="preserve"> a baixa taxa de incidência de cancro da mama </w:t>
      </w:r>
      <w:r w:rsidR="001937BC">
        <w:rPr>
          <w:rStyle w:val="hps"/>
          <w:rFonts w:ascii="Times New Roman" w:hAnsi="Times New Roman"/>
          <w:color w:val="000000"/>
          <w:sz w:val="24"/>
          <w:szCs w:val="24"/>
        </w:rPr>
        <w:t xml:space="preserve">nos </w:t>
      </w:r>
      <w:r w:rsidRPr="00B150AB">
        <w:rPr>
          <w:rStyle w:val="hps"/>
          <w:rFonts w:ascii="Times New Roman" w:hAnsi="Times New Roman"/>
          <w:color w:val="000000"/>
          <w:sz w:val="24"/>
          <w:szCs w:val="24"/>
        </w:rPr>
        <w:t xml:space="preserve">países </w:t>
      </w:r>
      <w:r w:rsidR="001937BC">
        <w:rPr>
          <w:rStyle w:val="hps"/>
          <w:rFonts w:ascii="Times New Roman" w:hAnsi="Times New Roman"/>
          <w:color w:val="000000"/>
          <w:sz w:val="24"/>
          <w:szCs w:val="24"/>
        </w:rPr>
        <w:t xml:space="preserve">da região Mediterrânica, </w:t>
      </w:r>
      <w:r w:rsidRPr="00B150AB">
        <w:rPr>
          <w:rStyle w:val="hps"/>
          <w:rFonts w:ascii="Times New Roman" w:hAnsi="Times New Roman"/>
          <w:color w:val="000000"/>
          <w:sz w:val="24"/>
          <w:szCs w:val="24"/>
        </w:rPr>
        <w:t xml:space="preserve">sugere um potencial efeito preventivo para o azeite. Em certas patologias humanas, como seja o caso das doenças cardiovasculares, o azeite induz a redução da pressão arterial e do colesterol sanguíneo, designadamente da lipoproteína de baixa densidade (LDL), verificando-se também uma baixa incidência de doenças crónicas degenerativas nos países </w:t>
      </w:r>
      <w:r>
        <w:rPr>
          <w:rStyle w:val="hps"/>
          <w:rFonts w:ascii="Times New Roman" w:hAnsi="Times New Roman"/>
          <w:color w:val="000000"/>
          <w:sz w:val="24"/>
          <w:szCs w:val="24"/>
        </w:rPr>
        <w:t>onde é grandemente consumido</w:t>
      </w:r>
      <w:r w:rsidRPr="00B150AB">
        <w:rPr>
          <w:rStyle w:val="hps"/>
          <w:rFonts w:ascii="Times New Roman" w:hAnsi="Times New Roman"/>
          <w:color w:val="000000"/>
          <w:sz w:val="24"/>
          <w:szCs w:val="24"/>
        </w:rPr>
        <w:t>.</w:t>
      </w:r>
      <w:r>
        <w:rPr>
          <w:rStyle w:val="hps"/>
          <w:rFonts w:ascii="Times New Roman" w:hAnsi="Times New Roman"/>
          <w:color w:val="000000"/>
          <w:sz w:val="24"/>
          <w:szCs w:val="24"/>
        </w:rPr>
        <w:t xml:space="preserve"> </w:t>
      </w:r>
      <w:r w:rsidR="001937BC" w:rsidRPr="00B150AB">
        <w:rPr>
          <w:rStyle w:val="hps"/>
          <w:rFonts w:ascii="Times New Roman" w:hAnsi="Times New Roman"/>
          <w:color w:val="000000"/>
          <w:sz w:val="24"/>
          <w:szCs w:val="24"/>
        </w:rPr>
        <w:t xml:space="preserve">Com base no crescente conhecimento relativo às potencialidades da fitoterapia, </w:t>
      </w:r>
      <w:r w:rsidR="001937BC">
        <w:rPr>
          <w:rStyle w:val="hps"/>
          <w:rFonts w:ascii="Times New Roman" w:hAnsi="Times New Roman"/>
          <w:color w:val="000000"/>
          <w:sz w:val="24"/>
          <w:szCs w:val="24"/>
        </w:rPr>
        <w:t>v</w:t>
      </w:r>
      <w:r w:rsidR="001937BC" w:rsidRPr="00B150AB">
        <w:rPr>
          <w:rStyle w:val="hps"/>
          <w:rFonts w:ascii="Times New Roman" w:hAnsi="Times New Roman"/>
          <w:color w:val="000000"/>
          <w:sz w:val="24"/>
          <w:szCs w:val="24"/>
        </w:rPr>
        <w:t>ários estudos têm</w:t>
      </w:r>
      <w:r w:rsidR="001937BC">
        <w:rPr>
          <w:rStyle w:val="hps"/>
          <w:rFonts w:ascii="Times New Roman" w:hAnsi="Times New Roman"/>
          <w:color w:val="000000"/>
          <w:sz w:val="24"/>
          <w:szCs w:val="24"/>
        </w:rPr>
        <w:t>-se focado no papel</w:t>
      </w:r>
      <w:r w:rsidR="001937BC" w:rsidRPr="00B150AB">
        <w:rPr>
          <w:rStyle w:val="hps"/>
          <w:rFonts w:ascii="Times New Roman" w:hAnsi="Times New Roman"/>
          <w:color w:val="000000"/>
          <w:sz w:val="24"/>
          <w:szCs w:val="24"/>
        </w:rPr>
        <w:t xml:space="preserve"> do azeite, e seus subprodutos</w:t>
      </w:r>
      <w:r w:rsidR="001937BC">
        <w:rPr>
          <w:rStyle w:val="hps"/>
          <w:rFonts w:ascii="Times New Roman" w:hAnsi="Times New Roman"/>
          <w:color w:val="000000"/>
          <w:sz w:val="24"/>
          <w:szCs w:val="24"/>
        </w:rPr>
        <w:t>,</w:t>
      </w:r>
      <w:r w:rsidR="001937BC" w:rsidRPr="00B150AB">
        <w:rPr>
          <w:rStyle w:val="hps"/>
          <w:rFonts w:ascii="Times New Roman" w:hAnsi="Times New Roman"/>
          <w:color w:val="000000"/>
          <w:sz w:val="24"/>
          <w:szCs w:val="24"/>
        </w:rPr>
        <w:t xml:space="preserve"> na prevenção e tratamento de diferentes </w:t>
      </w:r>
      <w:r w:rsidR="001937BC">
        <w:rPr>
          <w:rStyle w:val="hps"/>
          <w:rFonts w:ascii="Times New Roman" w:hAnsi="Times New Roman"/>
          <w:color w:val="000000"/>
          <w:sz w:val="24"/>
          <w:szCs w:val="24"/>
        </w:rPr>
        <w:t>patologias, entre elas o cancro, particularmente</w:t>
      </w:r>
      <w:r w:rsidR="001937BC" w:rsidRPr="00B150AB">
        <w:rPr>
          <w:rStyle w:val="hps"/>
          <w:rFonts w:ascii="Times New Roman" w:hAnsi="Times New Roman"/>
          <w:color w:val="000000"/>
          <w:sz w:val="24"/>
          <w:szCs w:val="24"/>
        </w:rPr>
        <w:t xml:space="preserve"> o cancro da mama.</w:t>
      </w:r>
    </w:p>
    <w:p w:rsidR="00B150AB" w:rsidRPr="00000D14" w:rsidRDefault="00000D14" w:rsidP="00000D14">
      <w:pPr>
        <w:spacing w:before="240" w:after="240"/>
        <w:ind w:firstLine="708"/>
        <w:jc w:val="both"/>
        <w:rPr>
          <w:rStyle w:val="hps"/>
          <w:sz w:val="20"/>
          <w:szCs w:val="20"/>
        </w:rPr>
      </w:pPr>
      <w:r w:rsidRPr="00000D14">
        <w:rPr>
          <w:rStyle w:val="hps"/>
          <w:rFonts w:ascii="Times New Roman" w:hAnsi="Times New Roman"/>
          <w:color w:val="000000"/>
          <w:sz w:val="24"/>
          <w:szCs w:val="24"/>
        </w:rPr>
        <w:t xml:space="preserve">O cancro da mama é uma neoplasia heterogénea com um enorme impacto na sociedade, englobando diferentes etiologias com características biológicas e clínicas bastante distintas. Anualmente, mais de 1,2 milhões de mulheres são diagnosticadas em todo o mundo, sendo que mais de 400 mil pacientes, morrem devido a esta patologia. </w:t>
      </w:r>
      <w:r w:rsidR="00B150AB" w:rsidRPr="00B150AB">
        <w:rPr>
          <w:rStyle w:val="hps"/>
          <w:rFonts w:ascii="Times New Roman" w:hAnsi="Times New Roman"/>
          <w:color w:val="000000"/>
          <w:sz w:val="24"/>
          <w:szCs w:val="24"/>
        </w:rPr>
        <w:t>O cancro da mama f</w:t>
      </w:r>
      <w:r w:rsidR="00B150AB">
        <w:rPr>
          <w:rStyle w:val="hps"/>
          <w:rFonts w:ascii="Times New Roman" w:hAnsi="Times New Roman"/>
          <w:color w:val="000000"/>
          <w:sz w:val="24"/>
          <w:szCs w:val="24"/>
        </w:rPr>
        <w:t xml:space="preserve">enótipo triplo negativo é conhecido por ser um subtipo de cancro da mama com um historial clínico muito agressivo, e com a maior taxa de mortalidade entre os pacientes. A ausência de uma terapia direccionada para estes casos e o facto de possuir uma elevada malignidade, tornam o seu progóstico bastante desfavorável, sendo premente o desenvolvimento de novas estratégias de quimioprevenção e tratamento para estes casos.  </w:t>
      </w:r>
    </w:p>
    <w:p w:rsidR="00B150AB" w:rsidRPr="000315F2" w:rsidRDefault="00B150AB" w:rsidP="000315F2">
      <w:pPr>
        <w:ind w:firstLine="708"/>
        <w:jc w:val="both"/>
        <w:rPr>
          <w:rFonts w:ascii="Times New Roman" w:hAnsi="Times New Roman"/>
          <w:sz w:val="24"/>
          <w:szCs w:val="24"/>
        </w:rPr>
      </w:pPr>
      <w:r w:rsidRPr="000315F2">
        <w:rPr>
          <w:rStyle w:val="hps"/>
          <w:rFonts w:ascii="Times New Roman" w:hAnsi="Times New Roman"/>
          <w:color w:val="000000"/>
          <w:sz w:val="24"/>
          <w:szCs w:val="24"/>
        </w:rPr>
        <w:t xml:space="preserve">Os compostos </w:t>
      </w:r>
      <w:r w:rsidR="000315F2">
        <w:rPr>
          <w:rStyle w:val="hps"/>
          <w:rFonts w:ascii="Times New Roman" w:hAnsi="Times New Roman"/>
          <w:color w:val="000000"/>
          <w:sz w:val="24"/>
          <w:szCs w:val="24"/>
        </w:rPr>
        <w:t>com reconhecida bioactividade</w:t>
      </w:r>
      <w:r w:rsidRPr="000315F2">
        <w:rPr>
          <w:rStyle w:val="hps"/>
          <w:rFonts w:ascii="Times New Roman" w:hAnsi="Times New Roman"/>
          <w:color w:val="000000"/>
          <w:sz w:val="24"/>
          <w:szCs w:val="24"/>
        </w:rPr>
        <w:t xml:space="preserve"> presentes no azeite compreendem diferentes classes. A fracção fenólica presente em maior quantidade no azeite virgem inclui o hidroxitir</w:t>
      </w:r>
      <w:r w:rsidR="000315F2">
        <w:rPr>
          <w:rStyle w:val="hps"/>
          <w:rFonts w:ascii="Times New Roman" w:hAnsi="Times New Roman"/>
          <w:color w:val="000000"/>
          <w:sz w:val="24"/>
          <w:szCs w:val="24"/>
        </w:rPr>
        <w:t xml:space="preserve">osol, o tirosol e a oleuropeína, </w:t>
      </w:r>
      <w:r w:rsidRPr="000315F2">
        <w:rPr>
          <w:rStyle w:val="hps"/>
          <w:rFonts w:ascii="Times New Roman" w:hAnsi="Times New Roman"/>
          <w:color w:val="000000"/>
          <w:sz w:val="24"/>
          <w:szCs w:val="24"/>
        </w:rPr>
        <w:t>compostos cujo potencial biológico tem sido abordado pelo Grupo de Compostos Bioactivos do CEBAL.</w:t>
      </w:r>
      <w:r>
        <w:rPr>
          <w:sz w:val="20"/>
          <w:szCs w:val="20"/>
        </w:rPr>
        <w:t xml:space="preserve"> </w:t>
      </w:r>
      <w:r w:rsidR="000315F2" w:rsidRPr="000315F2">
        <w:rPr>
          <w:rStyle w:val="hps"/>
          <w:rFonts w:ascii="Times New Roman" w:hAnsi="Times New Roman"/>
          <w:color w:val="000000"/>
          <w:sz w:val="24"/>
          <w:szCs w:val="24"/>
        </w:rPr>
        <w:t xml:space="preserve">Segundo resultados </w:t>
      </w:r>
      <w:r w:rsidR="000315F2" w:rsidRPr="000315F2">
        <w:rPr>
          <w:rStyle w:val="hps"/>
          <w:rFonts w:ascii="Times New Roman" w:hAnsi="Times New Roman"/>
          <w:color w:val="000000"/>
          <w:sz w:val="24"/>
          <w:szCs w:val="24"/>
        </w:rPr>
        <w:lastRenderedPageBreak/>
        <w:t>preliminares desta equipa de investigação, onde o presente trabalho foi desenvolvido,</w:t>
      </w:r>
      <w:r w:rsidR="000315F2">
        <w:rPr>
          <w:rFonts w:ascii="Times New Roman" w:hAnsi="Times New Roman"/>
          <w:sz w:val="24"/>
          <w:szCs w:val="24"/>
        </w:rPr>
        <w:t xml:space="preserve"> o</w:t>
      </w:r>
      <w:r w:rsidR="00CE43E6" w:rsidRPr="0077507E">
        <w:rPr>
          <w:rFonts w:ascii="Times New Roman" w:hAnsi="Times New Roman"/>
          <w:sz w:val="24"/>
          <w:szCs w:val="24"/>
        </w:rPr>
        <w:t xml:space="preserve"> </w:t>
      </w:r>
      <w:r w:rsidR="00CE43E6" w:rsidRPr="0077507E">
        <w:rPr>
          <w:rFonts w:ascii="Times New Roman" w:hAnsi="Times New Roman"/>
          <w:bCs/>
          <w:sz w:val="24"/>
          <w:szCs w:val="24"/>
        </w:rPr>
        <w:t>BAE</w:t>
      </w:r>
      <w:r w:rsidR="00CE43E6" w:rsidRPr="0077507E">
        <w:rPr>
          <w:rFonts w:ascii="Times New Roman" w:hAnsi="Times New Roman"/>
          <w:sz w:val="24"/>
          <w:szCs w:val="24"/>
        </w:rPr>
        <w:t xml:space="preserve"> apresenta um grande potencial fitoterapêutico, não só pela concentração apreciável de </w:t>
      </w:r>
      <w:r w:rsidR="00CE43E6" w:rsidRPr="0077507E">
        <w:rPr>
          <w:rFonts w:ascii="Times New Roman" w:hAnsi="Times New Roman"/>
          <w:bCs/>
          <w:sz w:val="24"/>
          <w:szCs w:val="24"/>
        </w:rPr>
        <w:t>Hidroxitirosol</w:t>
      </w:r>
      <w:r w:rsidR="00CE43E6" w:rsidRPr="0077507E">
        <w:rPr>
          <w:rFonts w:ascii="Times New Roman" w:hAnsi="Times New Roman"/>
          <w:sz w:val="24"/>
          <w:szCs w:val="24"/>
        </w:rPr>
        <w:t>, mas também pelas actividades biológicas identificadas, nomeadamente capacidade ant</w:t>
      </w:r>
      <w:r w:rsidR="007B5FD7">
        <w:rPr>
          <w:rFonts w:ascii="Times New Roman" w:hAnsi="Times New Roman"/>
          <w:sz w:val="24"/>
          <w:szCs w:val="24"/>
        </w:rPr>
        <w:t>ioxidante e anti</w:t>
      </w:r>
      <w:r w:rsidR="00CE43E6" w:rsidRPr="0077507E">
        <w:rPr>
          <w:rFonts w:ascii="Times New Roman" w:hAnsi="Times New Roman"/>
          <w:sz w:val="24"/>
          <w:szCs w:val="24"/>
        </w:rPr>
        <w:t>proliferativa em células humanas de cancro da mama</w:t>
      </w:r>
      <w:r w:rsidR="0091553C">
        <w:rPr>
          <w:rFonts w:ascii="Times New Roman" w:hAnsi="Times New Roman"/>
          <w:sz w:val="24"/>
          <w:szCs w:val="24"/>
        </w:rPr>
        <w:t>.</w:t>
      </w:r>
    </w:p>
    <w:p w:rsidR="00C6798B" w:rsidRPr="0091553C" w:rsidRDefault="00B150AB" w:rsidP="0091553C">
      <w:pPr>
        <w:tabs>
          <w:tab w:val="left" w:pos="709"/>
        </w:tabs>
        <w:jc w:val="both"/>
        <w:rPr>
          <w:rFonts w:ascii="Times New Roman" w:hAnsi="Times New Roman"/>
          <w:sz w:val="24"/>
          <w:szCs w:val="24"/>
        </w:rPr>
      </w:pPr>
      <w:r>
        <w:rPr>
          <w:sz w:val="20"/>
          <w:szCs w:val="20"/>
        </w:rPr>
        <w:t xml:space="preserve">                </w:t>
      </w:r>
      <w:r w:rsidRPr="000315F2">
        <w:rPr>
          <w:rFonts w:ascii="Times New Roman" w:hAnsi="Times New Roman"/>
          <w:sz w:val="24"/>
          <w:szCs w:val="24"/>
        </w:rPr>
        <w:t xml:space="preserve">Deste modo o objectivo central deste projecto prende-se com a valorização de um subproduto derivado da indústria do azeite, o bagaço </w:t>
      </w:r>
      <w:r w:rsidR="009B6939">
        <w:rPr>
          <w:rFonts w:ascii="Times New Roman" w:hAnsi="Times New Roman"/>
          <w:sz w:val="24"/>
          <w:szCs w:val="24"/>
        </w:rPr>
        <w:t xml:space="preserve">de azeitona </w:t>
      </w:r>
      <w:r w:rsidRPr="000315F2">
        <w:rPr>
          <w:rFonts w:ascii="Times New Roman" w:hAnsi="Times New Roman"/>
          <w:sz w:val="24"/>
          <w:szCs w:val="24"/>
        </w:rPr>
        <w:t xml:space="preserve">extractado, focando-se quer na sua caracterização química quer biológica, para tal irão ser obtidos extractos aquosos concentrados por tecnologia de membranas, seguido da determinação do seu potencial biológico, com especial ênfase </w:t>
      </w:r>
      <w:r w:rsidR="007B5FD7">
        <w:rPr>
          <w:rFonts w:ascii="Times New Roman" w:hAnsi="Times New Roman"/>
          <w:sz w:val="24"/>
          <w:szCs w:val="24"/>
        </w:rPr>
        <w:t>na avaliação da actividade anti</w:t>
      </w:r>
      <w:r w:rsidRPr="000315F2">
        <w:rPr>
          <w:rFonts w:ascii="Times New Roman" w:hAnsi="Times New Roman"/>
          <w:sz w:val="24"/>
          <w:szCs w:val="24"/>
        </w:rPr>
        <w:t>proliferativa em células humanas de cancro da mama.</w:t>
      </w:r>
    </w:p>
    <w:p w:rsidR="0077507E" w:rsidRPr="00CE43E6" w:rsidRDefault="0077507E" w:rsidP="0077507E">
      <w:pPr>
        <w:spacing w:after="0"/>
        <w:jc w:val="both"/>
        <w:rPr>
          <w:rFonts w:ascii="Times New Roman" w:hAnsi="Times New Roman"/>
          <w:b/>
          <w:sz w:val="28"/>
          <w:szCs w:val="28"/>
        </w:rPr>
      </w:pPr>
    </w:p>
    <w:p w:rsidR="0077507E" w:rsidRPr="00CE43E6" w:rsidRDefault="0077507E" w:rsidP="0077507E">
      <w:pPr>
        <w:spacing w:after="0"/>
        <w:jc w:val="both"/>
        <w:rPr>
          <w:rFonts w:ascii="Times New Roman" w:hAnsi="Times New Roman"/>
          <w:b/>
          <w:sz w:val="28"/>
          <w:szCs w:val="28"/>
        </w:rPr>
      </w:pPr>
    </w:p>
    <w:p w:rsidR="0077507E" w:rsidRDefault="0077507E" w:rsidP="0077507E">
      <w:pPr>
        <w:pStyle w:val="PargrafodaLista"/>
        <w:numPr>
          <w:ilvl w:val="0"/>
          <w:numId w:val="24"/>
        </w:numPr>
        <w:spacing w:after="0"/>
        <w:jc w:val="both"/>
        <w:rPr>
          <w:rFonts w:ascii="Times New Roman" w:hAnsi="Times New Roman"/>
          <w:b/>
          <w:sz w:val="28"/>
          <w:szCs w:val="28"/>
        </w:rPr>
      </w:pPr>
      <w:r>
        <w:rPr>
          <w:rFonts w:ascii="Times New Roman" w:hAnsi="Times New Roman"/>
          <w:b/>
          <w:sz w:val="28"/>
          <w:szCs w:val="28"/>
        </w:rPr>
        <w:t xml:space="preserve">Objectivos </w:t>
      </w:r>
    </w:p>
    <w:p w:rsidR="0077507E" w:rsidRPr="0077507E" w:rsidRDefault="0077507E" w:rsidP="0077507E">
      <w:pPr>
        <w:pStyle w:val="PargrafodaLista"/>
        <w:spacing w:after="0"/>
        <w:jc w:val="both"/>
        <w:rPr>
          <w:rFonts w:ascii="Times New Roman" w:hAnsi="Times New Roman"/>
          <w:b/>
          <w:sz w:val="24"/>
          <w:szCs w:val="28"/>
        </w:rPr>
      </w:pPr>
    </w:p>
    <w:p w:rsidR="0077507E" w:rsidRPr="0077507E" w:rsidRDefault="0077507E" w:rsidP="0077507E">
      <w:pPr>
        <w:pStyle w:val="PargrafodaLista"/>
        <w:numPr>
          <w:ilvl w:val="0"/>
          <w:numId w:val="25"/>
        </w:numPr>
        <w:spacing w:after="0"/>
        <w:jc w:val="both"/>
        <w:rPr>
          <w:rFonts w:ascii="Times New Roman" w:hAnsi="Times New Roman"/>
          <w:b/>
          <w:sz w:val="24"/>
          <w:szCs w:val="28"/>
        </w:rPr>
      </w:pPr>
      <w:r w:rsidRPr="0077507E">
        <w:rPr>
          <w:rFonts w:ascii="Times New Roman" w:hAnsi="Times New Roman"/>
          <w:b/>
          <w:sz w:val="24"/>
          <w:szCs w:val="28"/>
        </w:rPr>
        <w:t>Objectivo geral:</w:t>
      </w:r>
    </w:p>
    <w:p w:rsidR="0077507E" w:rsidRDefault="0077507E" w:rsidP="0077507E">
      <w:pPr>
        <w:pStyle w:val="PargrafodaLista"/>
        <w:spacing w:after="0"/>
        <w:jc w:val="both"/>
        <w:rPr>
          <w:rFonts w:ascii="Times New Roman" w:hAnsi="Times New Roman"/>
          <w:b/>
          <w:sz w:val="28"/>
          <w:szCs w:val="28"/>
        </w:rPr>
      </w:pPr>
    </w:p>
    <w:p w:rsidR="0077507E" w:rsidRPr="0077507E" w:rsidRDefault="0077507E" w:rsidP="0077507E">
      <w:pPr>
        <w:pStyle w:val="Default"/>
        <w:spacing w:after="240" w:line="276" w:lineRule="auto"/>
        <w:ind w:firstLine="708"/>
        <w:jc w:val="both"/>
      </w:pPr>
      <w:r w:rsidRPr="0077507E">
        <w:t xml:space="preserve">Valorização de um subproduto da indústria do azeite, o bagaço de azeitona extractado (BAE), pela obtenção de um extracto aquoso enriquecido em </w:t>
      </w:r>
      <w:r>
        <w:t>fenóis de interesse</w:t>
      </w:r>
      <w:r w:rsidR="00764073">
        <w:t xml:space="preserve">, entre eles o fenol </w:t>
      </w:r>
      <w:r w:rsidRPr="0077507E">
        <w:t>Hidroxitirosol, com recurso a tecnologias limpas de membranas,</w:t>
      </w:r>
      <w:r w:rsidR="00764073">
        <w:t xml:space="preserve"> e</w:t>
      </w:r>
      <w:r w:rsidRPr="0077507E">
        <w:t xml:space="preserve"> </w:t>
      </w:r>
      <w:r w:rsidR="009B6939">
        <w:t xml:space="preserve">o </w:t>
      </w:r>
      <w:r w:rsidRPr="0077507E">
        <w:t xml:space="preserve">estudo do potencial biológico </w:t>
      </w:r>
      <w:r w:rsidR="00764073">
        <w:t xml:space="preserve">deste extracto </w:t>
      </w:r>
      <w:r w:rsidRPr="0077507E">
        <w:t xml:space="preserve">com recurso a um modelo </w:t>
      </w:r>
      <w:r w:rsidRPr="00764073">
        <w:rPr>
          <w:i/>
        </w:rPr>
        <w:t>in vitro</w:t>
      </w:r>
      <w:r w:rsidRPr="0077507E">
        <w:t xml:space="preserve"> de cancro da mama de fenótipo triplo negativo. </w:t>
      </w:r>
    </w:p>
    <w:p w:rsidR="0077507E" w:rsidRPr="00764073" w:rsidRDefault="0077507E" w:rsidP="00764073">
      <w:pPr>
        <w:pStyle w:val="PargrafodaLista"/>
        <w:spacing w:after="240"/>
        <w:jc w:val="both"/>
        <w:rPr>
          <w:rFonts w:ascii="Times New Roman" w:hAnsi="Times New Roman"/>
          <w:sz w:val="24"/>
          <w:szCs w:val="24"/>
        </w:rPr>
      </w:pPr>
    </w:p>
    <w:p w:rsidR="0077507E" w:rsidRDefault="0077507E" w:rsidP="00764073">
      <w:pPr>
        <w:pStyle w:val="PargrafodaLista"/>
        <w:numPr>
          <w:ilvl w:val="0"/>
          <w:numId w:val="25"/>
        </w:numPr>
        <w:spacing w:after="0"/>
        <w:jc w:val="both"/>
        <w:rPr>
          <w:rFonts w:ascii="Times New Roman" w:hAnsi="Times New Roman"/>
          <w:b/>
          <w:sz w:val="24"/>
          <w:szCs w:val="28"/>
        </w:rPr>
      </w:pPr>
      <w:r w:rsidRPr="00764073">
        <w:rPr>
          <w:rFonts w:ascii="Times New Roman" w:hAnsi="Times New Roman"/>
          <w:b/>
          <w:sz w:val="24"/>
          <w:szCs w:val="28"/>
        </w:rPr>
        <w:t>Objectivos específicos</w:t>
      </w:r>
      <w:r w:rsidR="00764073">
        <w:rPr>
          <w:rFonts w:ascii="Times New Roman" w:hAnsi="Times New Roman"/>
          <w:b/>
          <w:sz w:val="24"/>
          <w:szCs w:val="28"/>
        </w:rPr>
        <w:t>:</w:t>
      </w:r>
    </w:p>
    <w:p w:rsidR="00764073" w:rsidRDefault="00764073" w:rsidP="00764073">
      <w:pPr>
        <w:spacing w:after="0"/>
        <w:jc w:val="both"/>
        <w:rPr>
          <w:rFonts w:ascii="Times New Roman" w:hAnsi="Times New Roman"/>
          <w:b/>
          <w:sz w:val="24"/>
          <w:szCs w:val="28"/>
        </w:rPr>
      </w:pPr>
    </w:p>
    <w:p w:rsidR="00764073" w:rsidRPr="00764073" w:rsidRDefault="00764073" w:rsidP="00764073">
      <w:pPr>
        <w:spacing w:after="0"/>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 </w:t>
      </w:r>
      <w:r w:rsidRPr="00764073">
        <w:rPr>
          <w:rFonts w:ascii="Times New Roman" w:hAnsi="Times New Roman"/>
          <w:color w:val="000000"/>
          <w:sz w:val="24"/>
          <w:szCs w:val="24"/>
          <w:lang w:eastAsia="pt-PT"/>
        </w:rPr>
        <w:t>Compreender a importância da valorização do subproduto BAE, no seu possível interesse para as indústrias farmacê</w:t>
      </w:r>
      <w:r w:rsidR="008A0627">
        <w:rPr>
          <w:rFonts w:ascii="Times New Roman" w:hAnsi="Times New Roman"/>
          <w:color w:val="000000"/>
          <w:sz w:val="24"/>
          <w:szCs w:val="24"/>
          <w:lang w:eastAsia="pt-PT"/>
        </w:rPr>
        <w:t>u</w:t>
      </w:r>
      <w:r w:rsidRPr="00764073">
        <w:rPr>
          <w:rFonts w:ascii="Times New Roman" w:hAnsi="Times New Roman"/>
          <w:color w:val="000000"/>
          <w:sz w:val="24"/>
          <w:szCs w:val="24"/>
          <w:lang w:eastAsia="pt-PT"/>
        </w:rPr>
        <w:t>tica e alimentar, enquanto fonte promissora de compostos bioactivos com valor fitoterapêutico reconhecido;</w:t>
      </w:r>
    </w:p>
    <w:p w:rsidR="00764073" w:rsidRPr="00764073" w:rsidRDefault="00764073" w:rsidP="00764073">
      <w:pPr>
        <w:spacing w:after="0"/>
        <w:jc w:val="both"/>
        <w:rPr>
          <w:rFonts w:ascii="Times New Roman" w:hAnsi="Times New Roman"/>
          <w:color w:val="000000"/>
          <w:sz w:val="24"/>
          <w:szCs w:val="24"/>
          <w:lang w:eastAsia="pt-PT"/>
        </w:rPr>
      </w:pPr>
    </w:p>
    <w:p w:rsidR="00764073" w:rsidRDefault="00764073" w:rsidP="00764073">
      <w:pPr>
        <w:spacing w:after="0"/>
        <w:jc w:val="both"/>
        <w:rPr>
          <w:rFonts w:ascii="Times New Roman" w:hAnsi="Times New Roman"/>
          <w:color w:val="000000"/>
          <w:sz w:val="24"/>
          <w:szCs w:val="24"/>
          <w:lang w:eastAsia="pt-PT"/>
        </w:rPr>
      </w:pPr>
      <w:r>
        <w:rPr>
          <w:rFonts w:ascii="Times New Roman" w:hAnsi="Times New Roman"/>
          <w:color w:val="000000"/>
          <w:sz w:val="24"/>
          <w:szCs w:val="24"/>
          <w:lang w:eastAsia="pt-PT"/>
        </w:rPr>
        <w:t xml:space="preserve">- </w:t>
      </w:r>
      <w:r w:rsidRPr="00764073">
        <w:rPr>
          <w:rFonts w:ascii="Times New Roman" w:hAnsi="Times New Roman"/>
          <w:color w:val="000000"/>
          <w:sz w:val="24"/>
          <w:szCs w:val="24"/>
          <w:lang w:eastAsia="pt-PT"/>
        </w:rPr>
        <w:t>Fazer a caracterização bioquímica dos diferentes extra</w:t>
      </w:r>
      <w:r w:rsidR="008A0627">
        <w:rPr>
          <w:rFonts w:ascii="Times New Roman" w:hAnsi="Times New Roman"/>
          <w:color w:val="000000"/>
          <w:sz w:val="24"/>
          <w:szCs w:val="24"/>
          <w:lang w:eastAsia="pt-PT"/>
        </w:rPr>
        <w:t xml:space="preserve">ctos </w:t>
      </w:r>
      <w:r w:rsidR="007B5FD7">
        <w:rPr>
          <w:rFonts w:ascii="Times New Roman" w:hAnsi="Times New Roman"/>
          <w:color w:val="000000"/>
          <w:sz w:val="24"/>
          <w:szCs w:val="24"/>
          <w:lang w:eastAsia="pt-PT"/>
        </w:rPr>
        <w:t xml:space="preserve">obtididos </w:t>
      </w:r>
      <w:r w:rsidR="008A0627">
        <w:rPr>
          <w:rFonts w:ascii="Times New Roman" w:hAnsi="Times New Roman"/>
          <w:color w:val="000000"/>
          <w:sz w:val="24"/>
          <w:szCs w:val="24"/>
          <w:lang w:eastAsia="pt-PT"/>
        </w:rPr>
        <w:t>EB, EPC, e ERC,</w:t>
      </w:r>
      <w:r w:rsidRPr="00764073">
        <w:rPr>
          <w:rFonts w:ascii="Times New Roman" w:hAnsi="Times New Roman"/>
          <w:color w:val="000000"/>
          <w:sz w:val="24"/>
          <w:szCs w:val="24"/>
          <w:lang w:eastAsia="pt-PT"/>
        </w:rPr>
        <w:t xml:space="preserve"> </w:t>
      </w:r>
      <w:r w:rsidR="007B5FD7">
        <w:rPr>
          <w:rFonts w:ascii="Times New Roman" w:hAnsi="Times New Roman"/>
          <w:color w:val="000000"/>
          <w:sz w:val="24"/>
          <w:szCs w:val="24"/>
          <w:lang w:eastAsia="pt-PT"/>
        </w:rPr>
        <w:t>na qual se pretende: quantificar o seu conteúdo em fenóis totais;</w:t>
      </w:r>
      <w:r w:rsidRPr="00764073">
        <w:rPr>
          <w:rFonts w:ascii="Times New Roman" w:hAnsi="Times New Roman"/>
          <w:color w:val="000000"/>
          <w:sz w:val="24"/>
          <w:szCs w:val="24"/>
          <w:lang w:eastAsia="pt-PT"/>
        </w:rPr>
        <w:t xml:space="preserve"> </w:t>
      </w:r>
      <w:r w:rsidR="007B5FD7">
        <w:rPr>
          <w:rFonts w:ascii="Times New Roman" w:hAnsi="Times New Roman"/>
          <w:color w:val="000000"/>
          <w:sz w:val="24"/>
          <w:szCs w:val="24"/>
          <w:lang w:eastAsia="pt-PT"/>
        </w:rPr>
        <w:t>quantificar o composto fenólico</w:t>
      </w:r>
      <w:r w:rsidR="008A0627">
        <w:rPr>
          <w:rFonts w:ascii="Times New Roman" w:hAnsi="Times New Roman"/>
          <w:color w:val="000000"/>
          <w:sz w:val="24"/>
          <w:szCs w:val="24"/>
          <w:lang w:eastAsia="pt-PT"/>
        </w:rPr>
        <w:t xml:space="preserve"> Hidroxitirosol </w:t>
      </w:r>
      <w:r w:rsidR="0076585B">
        <w:rPr>
          <w:rFonts w:ascii="Times New Roman" w:hAnsi="Times New Roman"/>
          <w:color w:val="000000"/>
          <w:sz w:val="24"/>
          <w:szCs w:val="24"/>
          <w:lang w:eastAsia="pt-PT"/>
        </w:rPr>
        <w:t>em cada extracto;</w:t>
      </w:r>
      <w:r w:rsidR="008A0627">
        <w:rPr>
          <w:rFonts w:ascii="Times New Roman" w:hAnsi="Times New Roman"/>
          <w:color w:val="000000"/>
          <w:sz w:val="24"/>
          <w:szCs w:val="24"/>
          <w:lang w:eastAsia="pt-PT"/>
        </w:rPr>
        <w:t xml:space="preserve"> determina</w:t>
      </w:r>
      <w:r w:rsidR="0076585B">
        <w:rPr>
          <w:rFonts w:ascii="Times New Roman" w:hAnsi="Times New Roman"/>
          <w:color w:val="000000"/>
          <w:sz w:val="24"/>
          <w:szCs w:val="24"/>
          <w:lang w:eastAsia="pt-PT"/>
        </w:rPr>
        <w:t xml:space="preserve">r a sua </w:t>
      </w:r>
      <w:r w:rsidRPr="00764073">
        <w:rPr>
          <w:rFonts w:ascii="Times New Roman" w:hAnsi="Times New Roman"/>
          <w:color w:val="000000"/>
          <w:sz w:val="24"/>
          <w:szCs w:val="24"/>
          <w:lang w:eastAsia="pt-PT"/>
        </w:rPr>
        <w:t xml:space="preserve">actividade antioxidante </w:t>
      </w:r>
      <w:r w:rsidRPr="007B5FD7">
        <w:rPr>
          <w:rFonts w:ascii="Times New Roman" w:hAnsi="Times New Roman"/>
          <w:color w:val="000000"/>
          <w:sz w:val="24"/>
          <w:szCs w:val="24"/>
          <w:lang w:eastAsia="pt-PT"/>
        </w:rPr>
        <w:t>in vitro</w:t>
      </w:r>
      <w:r w:rsidR="0076585B">
        <w:rPr>
          <w:rFonts w:ascii="Times New Roman" w:hAnsi="Times New Roman"/>
          <w:color w:val="000000"/>
          <w:sz w:val="24"/>
          <w:szCs w:val="24"/>
          <w:lang w:eastAsia="pt-PT"/>
        </w:rPr>
        <w:t>;</w:t>
      </w:r>
      <w:r w:rsidRPr="007B5FD7">
        <w:rPr>
          <w:rFonts w:ascii="Times New Roman" w:hAnsi="Times New Roman"/>
          <w:color w:val="000000"/>
          <w:sz w:val="24"/>
          <w:szCs w:val="24"/>
          <w:lang w:eastAsia="pt-PT"/>
        </w:rPr>
        <w:t xml:space="preserve"> </w:t>
      </w:r>
      <w:r w:rsidR="008A0627">
        <w:rPr>
          <w:rFonts w:ascii="Times New Roman" w:hAnsi="Times New Roman"/>
          <w:color w:val="000000"/>
          <w:sz w:val="24"/>
          <w:szCs w:val="24"/>
          <w:lang w:eastAsia="pt-PT"/>
        </w:rPr>
        <w:t xml:space="preserve">avaliar </w:t>
      </w:r>
      <w:r>
        <w:rPr>
          <w:rFonts w:ascii="Times New Roman" w:hAnsi="Times New Roman"/>
          <w:color w:val="000000"/>
          <w:sz w:val="24"/>
          <w:szCs w:val="24"/>
          <w:lang w:eastAsia="pt-PT"/>
        </w:rPr>
        <w:t>o seu efeito</w:t>
      </w:r>
      <w:r w:rsidRPr="00764073">
        <w:rPr>
          <w:rFonts w:ascii="Times New Roman" w:hAnsi="Times New Roman"/>
          <w:color w:val="000000"/>
          <w:sz w:val="24"/>
          <w:szCs w:val="24"/>
          <w:lang w:eastAsia="pt-PT"/>
        </w:rPr>
        <w:t xml:space="preserve"> antiproliferativ</w:t>
      </w:r>
      <w:r>
        <w:rPr>
          <w:rFonts w:ascii="Times New Roman" w:hAnsi="Times New Roman"/>
          <w:color w:val="000000"/>
          <w:sz w:val="24"/>
          <w:szCs w:val="24"/>
          <w:lang w:eastAsia="pt-PT"/>
        </w:rPr>
        <w:t>o</w:t>
      </w:r>
      <w:r w:rsidRPr="00764073">
        <w:rPr>
          <w:rFonts w:ascii="Times New Roman" w:hAnsi="Times New Roman"/>
          <w:color w:val="000000"/>
          <w:sz w:val="24"/>
          <w:szCs w:val="24"/>
          <w:lang w:eastAsia="pt-PT"/>
        </w:rPr>
        <w:t xml:space="preserve"> </w:t>
      </w:r>
      <w:r w:rsidR="007B5FD7">
        <w:rPr>
          <w:rFonts w:ascii="Times New Roman" w:hAnsi="Times New Roman"/>
          <w:color w:val="000000"/>
          <w:sz w:val="24"/>
          <w:szCs w:val="24"/>
          <w:lang w:eastAsia="pt-PT"/>
        </w:rPr>
        <w:t xml:space="preserve">num modelo in vitro, </w:t>
      </w:r>
      <w:r>
        <w:rPr>
          <w:rFonts w:ascii="Times New Roman" w:hAnsi="Times New Roman"/>
          <w:color w:val="000000"/>
          <w:sz w:val="24"/>
          <w:szCs w:val="24"/>
          <w:lang w:eastAsia="pt-PT"/>
        </w:rPr>
        <w:t>a linha tumoral MDA-MB-231;</w:t>
      </w:r>
      <w:r w:rsidR="007B5FD7" w:rsidRPr="007B5FD7">
        <w:rPr>
          <w:rFonts w:ascii="Times New Roman" w:hAnsi="Times New Roman"/>
          <w:color w:val="000000"/>
          <w:sz w:val="24"/>
          <w:szCs w:val="24"/>
          <w:lang w:eastAsia="pt-PT"/>
        </w:rPr>
        <w:t xml:space="preserve"> e </w:t>
      </w:r>
      <w:r w:rsidR="0076585B">
        <w:rPr>
          <w:rFonts w:ascii="Times New Roman" w:hAnsi="Times New Roman"/>
          <w:color w:val="000000"/>
          <w:sz w:val="24"/>
          <w:szCs w:val="24"/>
          <w:lang w:eastAsia="pt-PT"/>
        </w:rPr>
        <w:t xml:space="preserve">por fim aferir o efeito protector dos três extractos contra os radicais livres num modelo </w:t>
      </w:r>
      <w:r w:rsidR="007B5FD7" w:rsidRPr="007B5FD7">
        <w:rPr>
          <w:rFonts w:ascii="Times New Roman" w:hAnsi="Times New Roman"/>
          <w:color w:val="000000"/>
          <w:sz w:val="24"/>
          <w:szCs w:val="24"/>
          <w:lang w:eastAsia="pt-PT"/>
        </w:rPr>
        <w:t xml:space="preserve">in vivo </w:t>
      </w:r>
      <w:r w:rsidR="007B5FD7">
        <w:rPr>
          <w:rFonts w:ascii="Times New Roman" w:hAnsi="Times New Roman"/>
          <w:sz w:val="24"/>
          <w:szCs w:val="24"/>
        </w:rPr>
        <w:t xml:space="preserve">de </w:t>
      </w:r>
      <w:r w:rsidR="007B5FD7" w:rsidRPr="003F357D">
        <w:rPr>
          <w:rFonts w:ascii="Times New Roman" w:hAnsi="Times New Roman"/>
          <w:i/>
          <w:sz w:val="24"/>
          <w:szCs w:val="24"/>
        </w:rPr>
        <w:t>Saccharomyces cerevisiae</w:t>
      </w:r>
      <w:r w:rsidR="0076585B">
        <w:rPr>
          <w:rFonts w:ascii="Times New Roman" w:hAnsi="Times New Roman"/>
          <w:sz w:val="24"/>
          <w:szCs w:val="24"/>
        </w:rPr>
        <w:t>;</w:t>
      </w:r>
    </w:p>
    <w:p w:rsidR="00C6798B" w:rsidRDefault="00C6798B" w:rsidP="00764073">
      <w:pPr>
        <w:spacing w:after="0"/>
        <w:jc w:val="both"/>
        <w:rPr>
          <w:rFonts w:ascii="Times New Roman" w:hAnsi="Times New Roman"/>
          <w:color w:val="000000"/>
          <w:sz w:val="24"/>
          <w:szCs w:val="24"/>
          <w:lang w:eastAsia="pt-PT"/>
        </w:rPr>
      </w:pPr>
    </w:p>
    <w:p w:rsidR="008A0627" w:rsidRDefault="008A0627" w:rsidP="00764073">
      <w:pPr>
        <w:spacing w:after="0"/>
        <w:jc w:val="both"/>
        <w:rPr>
          <w:rFonts w:ascii="Times New Roman" w:hAnsi="Times New Roman"/>
          <w:color w:val="000000"/>
          <w:sz w:val="24"/>
          <w:szCs w:val="24"/>
          <w:lang w:eastAsia="pt-PT"/>
        </w:rPr>
      </w:pPr>
      <w:r w:rsidRPr="008A0627">
        <w:rPr>
          <w:rFonts w:ascii="Times New Roman" w:hAnsi="Times New Roman"/>
          <w:color w:val="000000"/>
          <w:sz w:val="24"/>
          <w:szCs w:val="24"/>
          <w:lang w:eastAsia="pt-PT"/>
        </w:rPr>
        <w:t>- Reconhecer o potencial bio</w:t>
      </w:r>
      <w:r>
        <w:rPr>
          <w:rFonts w:ascii="Times New Roman" w:hAnsi="Times New Roman"/>
          <w:color w:val="000000"/>
          <w:sz w:val="24"/>
          <w:szCs w:val="24"/>
          <w:lang w:eastAsia="pt-PT"/>
        </w:rPr>
        <w:t xml:space="preserve">lógico dos extractos obtidos como adjuvantes terapêuticos </w:t>
      </w:r>
      <w:r w:rsidR="00C6798B">
        <w:rPr>
          <w:rFonts w:ascii="Times New Roman" w:hAnsi="Times New Roman"/>
          <w:color w:val="000000"/>
          <w:sz w:val="24"/>
          <w:szCs w:val="24"/>
          <w:lang w:eastAsia="pt-PT"/>
        </w:rPr>
        <w:t>em doenças</w:t>
      </w:r>
      <w:r w:rsidRPr="008A0627">
        <w:rPr>
          <w:rFonts w:ascii="Times New Roman" w:hAnsi="Times New Roman"/>
          <w:color w:val="000000"/>
          <w:sz w:val="24"/>
          <w:szCs w:val="24"/>
          <w:lang w:eastAsia="pt-PT"/>
        </w:rPr>
        <w:t xml:space="preserve"> oncológicas.</w:t>
      </w:r>
    </w:p>
    <w:p w:rsidR="0077507E" w:rsidRPr="00764073" w:rsidRDefault="0077507E" w:rsidP="0077507E">
      <w:pPr>
        <w:pStyle w:val="PargrafodaLista"/>
        <w:spacing w:after="0"/>
        <w:jc w:val="both"/>
        <w:rPr>
          <w:rFonts w:ascii="Times New Roman" w:hAnsi="Times New Roman"/>
          <w:color w:val="000000"/>
          <w:sz w:val="24"/>
          <w:szCs w:val="24"/>
          <w:lang w:eastAsia="pt-PT"/>
        </w:rPr>
      </w:pPr>
    </w:p>
    <w:p w:rsidR="006E331F" w:rsidRDefault="006E331F"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Default="004A53B1" w:rsidP="004A53B1">
      <w:pPr>
        <w:spacing w:after="0"/>
        <w:rPr>
          <w:b/>
          <w:sz w:val="24"/>
          <w:szCs w:val="24"/>
        </w:rPr>
      </w:pPr>
    </w:p>
    <w:p w:rsidR="004A53B1" w:rsidRPr="004A53B1" w:rsidRDefault="004A53B1" w:rsidP="004A53B1">
      <w:pPr>
        <w:spacing w:after="0"/>
        <w:rPr>
          <w:rFonts w:ascii="Times New Roman" w:hAnsi="Times New Roman"/>
          <w:b/>
          <w:sz w:val="24"/>
          <w:szCs w:val="24"/>
        </w:rPr>
      </w:pPr>
    </w:p>
    <w:p w:rsidR="004A53B1" w:rsidRDefault="004A53B1" w:rsidP="004A53B1">
      <w:pPr>
        <w:spacing w:after="0"/>
        <w:jc w:val="right"/>
        <w:rPr>
          <w:rFonts w:ascii="Times New Roman" w:hAnsi="Times New Roman"/>
          <w:b/>
          <w:sz w:val="28"/>
          <w:szCs w:val="24"/>
        </w:rPr>
      </w:pPr>
      <w:r w:rsidRPr="00D271DF">
        <w:rPr>
          <w:rFonts w:ascii="Times New Roman" w:hAnsi="Times New Roman"/>
          <w:b/>
          <w:sz w:val="28"/>
          <w:szCs w:val="24"/>
        </w:rPr>
        <w:t>III. Material e Métodos</w:t>
      </w: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Default="004A53B1" w:rsidP="004A53B1">
      <w:pPr>
        <w:jc w:val="both"/>
        <w:rPr>
          <w:rFonts w:ascii="Times New Roman" w:hAnsi="Times New Roman"/>
          <w:b/>
          <w:sz w:val="28"/>
          <w:szCs w:val="24"/>
        </w:rPr>
      </w:pPr>
    </w:p>
    <w:p w:rsidR="004A53B1" w:rsidRPr="00D271DF" w:rsidRDefault="004A53B1" w:rsidP="004A53B1">
      <w:pPr>
        <w:jc w:val="both"/>
        <w:rPr>
          <w:rFonts w:ascii="Times New Roman" w:hAnsi="Times New Roman"/>
          <w:b/>
          <w:sz w:val="28"/>
          <w:szCs w:val="24"/>
        </w:rPr>
      </w:pPr>
    </w:p>
    <w:p w:rsidR="004A53B1" w:rsidRPr="00D271DF" w:rsidRDefault="004A53B1" w:rsidP="004A53B1">
      <w:pPr>
        <w:pStyle w:val="PargrafodaLista"/>
        <w:numPr>
          <w:ilvl w:val="0"/>
          <w:numId w:val="22"/>
        </w:numPr>
        <w:jc w:val="both"/>
        <w:rPr>
          <w:rFonts w:ascii="Times New Roman" w:hAnsi="Times New Roman"/>
          <w:b/>
          <w:sz w:val="28"/>
          <w:szCs w:val="24"/>
        </w:rPr>
      </w:pPr>
      <w:r w:rsidRPr="00D271DF">
        <w:rPr>
          <w:rFonts w:ascii="Times New Roman" w:hAnsi="Times New Roman"/>
          <w:b/>
          <w:sz w:val="28"/>
          <w:szCs w:val="24"/>
        </w:rPr>
        <w:t>Material</w:t>
      </w:r>
    </w:p>
    <w:p w:rsidR="004A53B1" w:rsidRPr="00D271DF" w:rsidRDefault="004A53B1" w:rsidP="004A53B1">
      <w:pPr>
        <w:pStyle w:val="PargrafodaLista"/>
        <w:jc w:val="both"/>
        <w:rPr>
          <w:rFonts w:ascii="Times New Roman" w:hAnsi="Times New Roman"/>
          <w:b/>
          <w:sz w:val="28"/>
          <w:szCs w:val="24"/>
        </w:rPr>
      </w:pPr>
    </w:p>
    <w:p w:rsidR="004A53B1" w:rsidRPr="00D271DF" w:rsidRDefault="004A53B1" w:rsidP="004A53B1">
      <w:pPr>
        <w:jc w:val="both"/>
        <w:rPr>
          <w:rFonts w:ascii="Times New Roman" w:hAnsi="Times New Roman"/>
          <w:b/>
          <w:sz w:val="28"/>
          <w:szCs w:val="24"/>
        </w:rPr>
      </w:pPr>
      <w:r w:rsidRPr="00D271DF">
        <w:rPr>
          <w:rFonts w:ascii="Times New Roman" w:hAnsi="Times New Roman"/>
          <w:b/>
          <w:sz w:val="28"/>
          <w:szCs w:val="24"/>
        </w:rPr>
        <w:tab/>
        <w:t>1.1. Extractos de Bagaço de Azeitona Extractado (BAE)</w:t>
      </w:r>
    </w:p>
    <w:p w:rsidR="004A53B1" w:rsidRPr="00D271DF" w:rsidRDefault="004A53B1" w:rsidP="004A53B1">
      <w:pPr>
        <w:jc w:val="both"/>
        <w:rPr>
          <w:rFonts w:ascii="Times New Roman" w:hAnsi="Times New Roman"/>
          <w:sz w:val="24"/>
          <w:szCs w:val="24"/>
        </w:rPr>
      </w:pPr>
      <w:r w:rsidRPr="00D271DF">
        <w:rPr>
          <w:rFonts w:ascii="Times New Roman" w:hAnsi="Times New Roman"/>
          <w:sz w:val="24"/>
          <w:szCs w:val="24"/>
        </w:rPr>
        <w:tab/>
        <w:t>O bagaço de azeitona extractado foi obtido em Janeiro de 2010 na Unidade Industrial UCASUL (Mariano Lopes &amp; Filhos, Lda., Beja) e constitui uma amostra resultante da recolha de bagaço de azeitona das diferentes variedades de azeitona presentes na região. As amostras foram armazenadas à temperatura ambiente até à sua utilização.</w:t>
      </w:r>
    </w:p>
    <w:p w:rsidR="004A53B1" w:rsidRPr="00D271DF" w:rsidRDefault="004A53B1" w:rsidP="004A53B1">
      <w:pPr>
        <w:jc w:val="both"/>
        <w:rPr>
          <w:rFonts w:ascii="Times New Roman" w:hAnsi="Times New Roman"/>
          <w:b/>
          <w:sz w:val="28"/>
          <w:szCs w:val="24"/>
        </w:rPr>
      </w:pPr>
      <w:r>
        <w:rPr>
          <w:rFonts w:ascii="Times New Roman" w:hAnsi="Times New Roman"/>
          <w:b/>
          <w:sz w:val="24"/>
          <w:szCs w:val="24"/>
        </w:rPr>
        <w:tab/>
      </w:r>
      <w:r w:rsidRPr="00D271DF">
        <w:rPr>
          <w:rFonts w:ascii="Times New Roman" w:hAnsi="Times New Roman"/>
          <w:b/>
          <w:sz w:val="28"/>
          <w:szCs w:val="24"/>
        </w:rPr>
        <w:t xml:space="preserve">1.2. Cultura de células animais: modelo </w:t>
      </w:r>
      <w:r w:rsidRPr="006A3E92">
        <w:rPr>
          <w:rFonts w:ascii="Times New Roman" w:hAnsi="Times New Roman"/>
          <w:b/>
          <w:sz w:val="28"/>
          <w:szCs w:val="24"/>
        </w:rPr>
        <w:t>in vitro</w:t>
      </w:r>
      <w:r w:rsidRPr="00D271DF">
        <w:rPr>
          <w:rFonts w:ascii="Times New Roman" w:hAnsi="Times New Roman"/>
          <w:b/>
          <w:sz w:val="28"/>
          <w:szCs w:val="24"/>
        </w:rPr>
        <w:t xml:space="preserve"> para o cancro da mama fenótipo triplo negativo (MDA-MB-231)</w:t>
      </w:r>
    </w:p>
    <w:p w:rsidR="004A53B1" w:rsidRPr="00D271DF" w:rsidRDefault="004A53B1" w:rsidP="004A53B1">
      <w:pPr>
        <w:jc w:val="both"/>
        <w:rPr>
          <w:rFonts w:ascii="Times New Roman" w:hAnsi="Times New Roman"/>
          <w:sz w:val="24"/>
          <w:szCs w:val="24"/>
        </w:rPr>
      </w:pPr>
      <w:r w:rsidRPr="00D271DF">
        <w:rPr>
          <w:rFonts w:ascii="Times New Roman" w:hAnsi="Times New Roman"/>
          <w:sz w:val="24"/>
          <w:szCs w:val="24"/>
        </w:rPr>
        <w:tab/>
        <w:t xml:space="preserve">A linha celular de cancro da mama fenótipo triplo negativo, denominada MDA-MB-231, foi adquirida directamente à American Type Culture Collection (referência ATCC – HTB-26 </w:t>
      </w:r>
      <w:r w:rsidRPr="00D271DF">
        <w:rPr>
          <w:rFonts w:ascii="Times New Roman" w:hAnsi="Times New Roman"/>
          <w:i/>
          <w:iCs/>
          <w:sz w:val="24"/>
          <w:szCs w:val="24"/>
        </w:rPr>
        <w:t>Homo sapiens</w:t>
      </w:r>
      <w:r w:rsidRPr="00D271DF">
        <w:rPr>
          <w:rFonts w:ascii="Times New Roman" w:hAnsi="Times New Roman"/>
          <w:sz w:val="24"/>
          <w:szCs w:val="24"/>
        </w:rPr>
        <w:t>) e mantida em cultura em frascos de poliestireno, sob uma atmosfera de 5%CO</w:t>
      </w:r>
      <w:r w:rsidRPr="005B5EA6">
        <w:rPr>
          <w:rFonts w:ascii="Times New Roman" w:hAnsi="Times New Roman"/>
          <w:sz w:val="24"/>
          <w:szCs w:val="24"/>
          <w:vertAlign w:val="subscript"/>
        </w:rPr>
        <w:t>2</w:t>
      </w:r>
      <w:r w:rsidRPr="00D271DF">
        <w:rPr>
          <w:rFonts w:ascii="Times New Roman" w:hAnsi="Times New Roman"/>
          <w:sz w:val="24"/>
          <w:szCs w:val="24"/>
        </w:rPr>
        <w:t xml:space="preserve"> e 37ºC. O meio de cultura é constituído por DMEM (</w:t>
      </w:r>
      <w:r w:rsidRPr="00D271DF">
        <w:rPr>
          <w:rFonts w:ascii="Times New Roman" w:hAnsi="Times New Roman"/>
          <w:i/>
          <w:iCs/>
          <w:sz w:val="24"/>
          <w:szCs w:val="24"/>
        </w:rPr>
        <w:t>Dulbecco's Modified Eagle Medium</w:t>
      </w:r>
      <w:r w:rsidRPr="00D271DF">
        <w:rPr>
          <w:rFonts w:ascii="Times New Roman" w:hAnsi="Times New Roman"/>
          <w:sz w:val="24"/>
          <w:szCs w:val="24"/>
        </w:rPr>
        <w:t xml:space="preserve">), suplementado apenas com 10% de FBS </w:t>
      </w:r>
      <w:r>
        <w:rPr>
          <w:rFonts w:ascii="Times New Roman" w:hAnsi="Times New Roman"/>
          <w:sz w:val="24"/>
          <w:szCs w:val="24"/>
        </w:rPr>
        <w:t>(</w:t>
      </w:r>
      <w:r>
        <w:rPr>
          <w:rFonts w:ascii="Times New Roman" w:hAnsi="Times New Roman"/>
          <w:i/>
          <w:iCs/>
          <w:sz w:val="24"/>
          <w:szCs w:val="24"/>
        </w:rPr>
        <w:t>F</w:t>
      </w:r>
      <w:r w:rsidRPr="00F54274">
        <w:rPr>
          <w:rFonts w:ascii="Times New Roman" w:hAnsi="Times New Roman"/>
          <w:i/>
          <w:iCs/>
          <w:sz w:val="24"/>
          <w:szCs w:val="24"/>
        </w:rPr>
        <w:t>etal bovine serum</w:t>
      </w:r>
      <w:r>
        <w:rPr>
          <w:rFonts w:ascii="Times New Roman" w:hAnsi="Times New Roman"/>
          <w:sz w:val="24"/>
          <w:szCs w:val="24"/>
        </w:rPr>
        <w:t xml:space="preserve">) </w:t>
      </w:r>
      <w:r w:rsidRPr="00D271DF">
        <w:rPr>
          <w:rFonts w:ascii="Times New Roman" w:hAnsi="Times New Roman"/>
          <w:sz w:val="24"/>
          <w:szCs w:val="24"/>
        </w:rPr>
        <w:t>e 1% de solução antibiótica-antimicótica.</w:t>
      </w:r>
    </w:p>
    <w:p w:rsidR="004A53B1" w:rsidRPr="005C56BB" w:rsidRDefault="004A53B1" w:rsidP="004A53B1">
      <w:pPr>
        <w:jc w:val="both"/>
        <w:rPr>
          <w:rFonts w:ascii="Times New Roman" w:hAnsi="Times New Roman"/>
          <w:b/>
          <w:sz w:val="28"/>
          <w:szCs w:val="24"/>
        </w:rPr>
      </w:pPr>
      <w:r>
        <w:rPr>
          <w:rFonts w:ascii="Times New Roman" w:hAnsi="Times New Roman"/>
          <w:b/>
          <w:sz w:val="24"/>
          <w:szCs w:val="24"/>
        </w:rPr>
        <w:tab/>
      </w:r>
      <w:r>
        <w:rPr>
          <w:rFonts w:ascii="Times New Roman" w:hAnsi="Times New Roman"/>
          <w:b/>
          <w:sz w:val="28"/>
          <w:szCs w:val="24"/>
        </w:rPr>
        <w:t xml:space="preserve"> </w:t>
      </w:r>
    </w:p>
    <w:p w:rsidR="004A53B1" w:rsidRDefault="004A53B1" w:rsidP="004A53B1">
      <w:pPr>
        <w:pStyle w:val="PargrafodaLista"/>
        <w:numPr>
          <w:ilvl w:val="0"/>
          <w:numId w:val="22"/>
        </w:numPr>
        <w:jc w:val="both"/>
        <w:rPr>
          <w:rFonts w:ascii="Times New Roman" w:hAnsi="Times New Roman"/>
          <w:b/>
          <w:sz w:val="28"/>
          <w:szCs w:val="28"/>
        </w:rPr>
      </w:pPr>
      <w:r w:rsidRPr="00D271DF">
        <w:rPr>
          <w:rFonts w:ascii="Times New Roman" w:hAnsi="Times New Roman"/>
          <w:b/>
          <w:sz w:val="28"/>
          <w:szCs w:val="28"/>
        </w:rPr>
        <w:t>Metodologias</w:t>
      </w:r>
    </w:p>
    <w:p w:rsidR="004A53B1" w:rsidRPr="00D271DF" w:rsidRDefault="004A53B1" w:rsidP="004A53B1">
      <w:pPr>
        <w:pStyle w:val="PargrafodaLista"/>
        <w:jc w:val="both"/>
        <w:rPr>
          <w:rFonts w:ascii="Times New Roman" w:hAnsi="Times New Roman"/>
          <w:b/>
          <w:sz w:val="28"/>
          <w:szCs w:val="28"/>
        </w:rPr>
      </w:pPr>
    </w:p>
    <w:p w:rsidR="004A53B1" w:rsidRPr="004A53B1" w:rsidRDefault="004A53B1" w:rsidP="004A53B1">
      <w:pPr>
        <w:pStyle w:val="PargrafodaLista"/>
        <w:numPr>
          <w:ilvl w:val="1"/>
          <w:numId w:val="24"/>
        </w:numPr>
        <w:tabs>
          <w:tab w:val="left" w:pos="426"/>
          <w:tab w:val="left" w:pos="1134"/>
        </w:tabs>
        <w:jc w:val="both"/>
        <w:rPr>
          <w:rFonts w:ascii="Times New Roman" w:hAnsi="Times New Roman"/>
          <w:b/>
          <w:sz w:val="28"/>
          <w:szCs w:val="28"/>
        </w:rPr>
      </w:pPr>
      <w:r w:rsidRPr="004A53B1">
        <w:rPr>
          <w:rFonts w:ascii="Times New Roman" w:hAnsi="Times New Roman"/>
          <w:b/>
          <w:sz w:val="28"/>
          <w:szCs w:val="28"/>
        </w:rPr>
        <w:t>Preparação do extracto aquoso de bagaço de a</w:t>
      </w:r>
      <w:r>
        <w:rPr>
          <w:rFonts w:ascii="Times New Roman" w:hAnsi="Times New Roman"/>
          <w:b/>
          <w:sz w:val="28"/>
          <w:szCs w:val="28"/>
        </w:rPr>
        <w:t xml:space="preserve">zeitona </w:t>
      </w:r>
      <w:r w:rsidRPr="004A53B1">
        <w:rPr>
          <w:rFonts w:ascii="Times New Roman" w:hAnsi="Times New Roman"/>
          <w:b/>
          <w:sz w:val="28"/>
          <w:szCs w:val="28"/>
        </w:rPr>
        <w:t xml:space="preserve">extractado </w:t>
      </w:r>
    </w:p>
    <w:p w:rsidR="004A53B1" w:rsidRDefault="004A53B1" w:rsidP="004A53B1">
      <w:pPr>
        <w:spacing w:after="0"/>
        <w:jc w:val="both"/>
        <w:rPr>
          <w:rFonts w:ascii="Times New Roman" w:hAnsi="Times New Roman"/>
          <w:sz w:val="24"/>
          <w:szCs w:val="24"/>
        </w:rPr>
      </w:pPr>
      <w:r w:rsidRPr="00D271DF">
        <w:rPr>
          <w:rFonts w:ascii="Times New Roman" w:hAnsi="Times New Roman"/>
          <w:sz w:val="24"/>
          <w:szCs w:val="24"/>
        </w:rPr>
        <w:tab/>
      </w:r>
      <w:r w:rsidR="006A3E92">
        <w:rPr>
          <w:rFonts w:ascii="Times New Roman" w:hAnsi="Times New Roman"/>
          <w:sz w:val="24"/>
          <w:szCs w:val="24"/>
        </w:rPr>
        <w:t xml:space="preserve">A preparação do </w:t>
      </w:r>
      <w:r w:rsidR="00794DB0">
        <w:rPr>
          <w:rFonts w:ascii="Times New Roman" w:hAnsi="Times New Roman"/>
          <w:sz w:val="24"/>
          <w:szCs w:val="24"/>
        </w:rPr>
        <w:t xml:space="preserve">extracto aquoso de BAE </w:t>
      </w:r>
      <w:r w:rsidR="00EE2658">
        <w:rPr>
          <w:rFonts w:ascii="Times New Roman" w:hAnsi="Times New Roman"/>
          <w:sz w:val="24"/>
          <w:szCs w:val="24"/>
        </w:rPr>
        <w:t xml:space="preserve">(Figura 11) </w:t>
      </w:r>
      <w:r w:rsidR="00794DB0">
        <w:rPr>
          <w:rFonts w:ascii="Times New Roman" w:hAnsi="Times New Roman"/>
          <w:sz w:val="24"/>
          <w:szCs w:val="24"/>
        </w:rPr>
        <w:t xml:space="preserve">foi realizada a partir do método descrito por Romero </w:t>
      </w:r>
      <w:r w:rsidR="00794DB0" w:rsidRPr="00794DB0">
        <w:rPr>
          <w:rFonts w:ascii="Times New Roman" w:hAnsi="Times New Roman"/>
          <w:i/>
          <w:sz w:val="24"/>
          <w:szCs w:val="24"/>
        </w:rPr>
        <w:t>et al</w:t>
      </w:r>
      <w:r w:rsidR="00794DB0">
        <w:rPr>
          <w:rFonts w:ascii="Times New Roman" w:hAnsi="Times New Roman"/>
          <w:sz w:val="24"/>
          <w:szCs w:val="24"/>
        </w:rPr>
        <w:t xml:space="preserve">., 2002. </w:t>
      </w:r>
      <w:r w:rsidRPr="00D271DF">
        <w:rPr>
          <w:rFonts w:ascii="Times New Roman" w:hAnsi="Times New Roman"/>
          <w:sz w:val="24"/>
          <w:szCs w:val="24"/>
        </w:rPr>
        <w:t>Pesaram-se 25g de BAE e homogeneizou-se num almofariz para a obtenção de partículas de tamanho regular e semelhante, adicionando gotas de água destilada para facilitar a moagem das partículas de maior tamanho. Ao homogeneizado foram adicionados 375mL de água destilada, e foi colocado em agitação por 40min a 700rpm, à temperatura ambiente, protegido da luz com papel de alumínio (primeira extracção). De seguida centrifugou-se o extracto por 10min a 9000</w:t>
      </w:r>
      <w:r w:rsidR="00280503" w:rsidRPr="00280503">
        <w:rPr>
          <w:rFonts w:cs="Calibri"/>
          <w:i/>
          <w:szCs w:val="23"/>
        </w:rPr>
        <w:t>ɡ</w:t>
      </w:r>
      <w:r w:rsidRPr="00D271DF">
        <w:rPr>
          <w:rFonts w:ascii="Times New Roman" w:hAnsi="Times New Roman"/>
          <w:sz w:val="24"/>
          <w:szCs w:val="24"/>
        </w:rPr>
        <w:t xml:space="preserve"> à temperatura ambiente. Recolheram-se os sobrenadantes e protegeu-se o frasco da luz com papel de alumínio, ao pellet recuperado foi-lhe adicionado 375mL água destilada e foi sujeito a uma nova extracção ficando em agitação por 20min a 700rpm (segunda extracção). Os passos anteriores foram repetidos prefazendo um total de 6 ciclos de extracção, alterando os tempos de extracção para 15, 10 e 5min e repetiu-se a última extracção de 5min uma vez. O extracto final obtido denominado de Extracto Bruto </w:t>
      </w:r>
      <w:r w:rsidRPr="00D271DF">
        <w:rPr>
          <w:rFonts w:ascii="Times New Roman" w:hAnsi="Times New Roman"/>
          <w:b/>
          <w:sz w:val="24"/>
          <w:szCs w:val="24"/>
        </w:rPr>
        <w:t>(EB)</w:t>
      </w:r>
      <w:r>
        <w:rPr>
          <w:rFonts w:ascii="Times New Roman" w:hAnsi="Times New Roman"/>
          <w:sz w:val="24"/>
          <w:szCs w:val="24"/>
        </w:rPr>
        <w:t xml:space="preserve"> foi armazenado a -</w:t>
      </w:r>
      <w:r w:rsidRPr="00D271DF">
        <w:rPr>
          <w:rFonts w:ascii="Times New Roman" w:hAnsi="Times New Roman"/>
          <w:sz w:val="24"/>
          <w:szCs w:val="24"/>
        </w:rPr>
        <w:t xml:space="preserve">20ºC e coberto em papel de alumínio. </w:t>
      </w:r>
    </w:p>
    <w:p w:rsidR="004A53B1" w:rsidRDefault="007B02FE" w:rsidP="004A53B1">
      <w:pPr>
        <w:spacing w:after="0"/>
        <w:jc w:val="center"/>
        <w:rPr>
          <w:rFonts w:ascii="Times New Roman" w:hAnsi="Times New Roman"/>
          <w:sz w:val="24"/>
          <w:szCs w:val="24"/>
        </w:rPr>
      </w:pPr>
      <w:r w:rsidRPr="007B02FE">
        <w:rPr>
          <w:noProof/>
        </w:rPr>
        <w:lastRenderedPageBreak/>
        <w:pict>
          <v:shape id="_x0000_s1048" type="#_x0000_t202" style="position:absolute;left:0;text-align:left;margin-left:1.4pt;margin-top:128.25pt;width:423.85pt;height:47.8pt;z-index:251687936" wrapcoords="0 0" filled="f" stroked="f">
            <v:textbox style="mso-next-textbox:#_x0000_s1048" inset="0,0,0,0">
              <w:txbxContent>
                <w:p w:rsidR="00B766F9" w:rsidRPr="00D271DF" w:rsidRDefault="00B766F9" w:rsidP="004A53B1">
                  <w:pPr>
                    <w:pStyle w:val="Legenda"/>
                    <w:jc w:val="both"/>
                    <w:rPr>
                      <w:rFonts w:ascii="Times New Roman" w:hAnsi="Times New Roman"/>
                      <w:b w:val="0"/>
                      <w:noProof/>
                      <w:color w:val="auto"/>
                      <w:sz w:val="20"/>
                    </w:rPr>
                  </w:pPr>
                  <w:r w:rsidRPr="00D271DF">
                    <w:rPr>
                      <w:rFonts w:ascii="Times New Roman" w:hAnsi="Times New Roman"/>
                      <w:sz w:val="20"/>
                    </w:rPr>
                    <w:t xml:space="preserve">Figura </w:t>
                  </w:r>
                  <w:r>
                    <w:rPr>
                      <w:rFonts w:ascii="Times New Roman" w:hAnsi="Times New Roman"/>
                      <w:sz w:val="20"/>
                    </w:rPr>
                    <w:t>1</w:t>
                  </w:r>
                  <w:r w:rsidRPr="00D271DF">
                    <w:rPr>
                      <w:rFonts w:ascii="Times New Roman" w:hAnsi="Times New Roman"/>
                      <w:sz w:val="20"/>
                    </w:rPr>
                    <w:fldChar w:fldCharType="begin"/>
                  </w:r>
                  <w:r w:rsidRPr="00D271DF">
                    <w:rPr>
                      <w:rFonts w:ascii="Times New Roman" w:hAnsi="Times New Roman"/>
                      <w:sz w:val="20"/>
                    </w:rPr>
                    <w:instrText xml:space="preserve"> SEQ Figura \* ARABIC </w:instrText>
                  </w:r>
                  <w:r w:rsidRPr="00D271DF">
                    <w:rPr>
                      <w:rFonts w:ascii="Times New Roman" w:hAnsi="Times New Roman"/>
                      <w:sz w:val="20"/>
                    </w:rPr>
                    <w:fldChar w:fldCharType="separate"/>
                  </w:r>
                  <w:r>
                    <w:rPr>
                      <w:rFonts w:ascii="Times New Roman" w:hAnsi="Times New Roman"/>
                      <w:noProof/>
                      <w:sz w:val="20"/>
                    </w:rPr>
                    <w:t>1</w:t>
                  </w:r>
                  <w:r w:rsidRPr="00D271DF">
                    <w:rPr>
                      <w:rFonts w:ascii="Times New Roman" w:hAnsi="Times New Roman"/>
                      <w:sz w:val="20"/>
                    </w:rPr>
                    <w:fldChar w:fldCharType="end"/>
                  </w:r>
                  <w:r w:rsidRPr="00D271DF">
                    <w:rPr>
                      <w:rFonts w:ascii="Times New Roman" w:hAnsi="Times New Roman"/>
                      <w:sz w:val="20"/>
                    </w:rPr>
                    <w:t xml:space="preserve"> – </w:t>
                  </w:r>
                  <w:r w:rsidRPr="00D271DF">
                    <w:rPr>
                      <w:rFonts w:ascii="Times New Roman" w:hAnsi="Times New Roman"/>
                      <w:b w:val="0"/>
                      <w:color w:val="auto"/>
                      <w:sz w:val="20"/>
                    </w:rPr>
                    <w:t xml:space="preserve">Ilustrações do processo </w:t>
                  </w:r>
                  <w:r>
                    <w:rPr>
                      <w:rFonts w:ascii="Times New Roman" w:hAnsi="Times New Roman"/>
                      <w:b w:val="0"/>
                      <w:color w:val="auto"/>
                      <w:sz w:val="20"/>
                    </w:rPr>
                    <w:t>de obtenção do</w:t>
                  </w:r>
                  <w:r w:rsidRPr="00D271DF">
                    <w:rPr>
                      <w:rFonts w:ascii="Times New Roman" w:hAnsi="Times New Roman"/>
                      <w:b w:val="0"/>
                      <w:color w:val="auto"/>
                      <w:sz w:val="20"/>
                    </w:rPr>
                    <w:t xml:space="preserve"> extracto aquoso de </w:t>
                  </w:r>
                  <w:r>
                    <w:rPr>
                      <w:rFonts w:ascii="Times New Roman" w:hAnsi="Times New Roman"/>
                      <w:b w:val="0"/>
                      <w:color w:val="auto"/>
                      <w:sz w:val="20"/>
                    </w:rPr>
                    <w:t>BAE</w:t>
                  </w:r>
                  <w:r w:rsidRPr="00D271DF">
                    <w:rPr>
                      <w:rFonts w:ascii="Times New Roman" w:hAnsi="Times New Roman"/>
                      <w:b w:val="0"/>
                      <w:color w:val="auto"/>
                      <w:sz w:val="20"/>
                    </w:rPr>
                    <w:t xml:space="preserve">. Da esquerda para a direita: homogeneização do BAE, agitação, extracto aquoso após primeira agitação, centrifugação, e obtenção do extracto final o </w:t>
                  </w:r>
                  <w:r>
                    <w:rPr>
                      <w:rFonts w:ascii="Times New Roman" w:hAnsi="Times New Roman"/>
                      <w:b w:val="0"/>
                      <w:color w:val="auto"/>
                      <w:sz w:val="20"/>
                    </w:rPr>
                    <w:t>EB</w:t>
                  </w:r>
                  <w:r w:rsidRPr="00D271DF">
                    <w:rPr>
                      <w:rFonts w:ascii="Times New Roman" w:hAnsi="Times New Roman"/>
                      <w:b w:val="0"/>
                      <w:color w:val="auto"/>
                      <w:sz w:val="20"/>
                    </w:rPr>
                    <w:t xml:space="preserve"> (fonte própria).</w:t>
                  </w:r>
                </w:p>
              </w:txbxContent>
            </v:textbox>
            <w10:wrap type="tight"/>
          </v:shape>
        </w:pict>
      </w:r>
      <w:r w:rsidR="004A53B1">
        <w:rPr>
          <w:noProof/>
          <w:lang w:eastAsia="pt-PT"/>
        </w:rPr>
        <w:drawing>
          <wp:anchor distT="0" distB="0" distL="114300" distR="114300" simplePos="0" relativeHeight="251685888" behindDoc="1" locked="0" layoutInCell="1" allowOverlap="1">
            <wp:simplePos x="0" y="0"/>
            <wp:positionH relativeFrom="column">
              <wp:posOffset>1134745</wp:posOffset>
            </wp:positionH>
            <wp:positionV relativeFrom="paragraph">
              <wp:posOffset>419735</wp:posOffset>
            </wp:positionV>
            <wp:extent cx="920115" cy="791845"/>
            <wp:effectExtent l="114300" t="190500" r="299085" b="370205"/>
            <wp:wrapTight wrapText="bothSides">
              <wp:wrapPolygon edited="0">
                <wp:start x="-2966" y="14515"/>
                <wp:lineTo x="-2966" y="19712"/>
                <wp:lineTo x="1058" y="26467"/>
                <wp:lineTo x="26549" y="24389"/>
                <wp:lineTo x="28785" y="19192"/>
                <wp:lineTo x="28785" y="17633"/>
                <wp:lineTo x="28785" y="-1074"/>
                <wp:lineTo x="28785" y="-2633"/>
                <wp:lineTo x="26102" y="-7829"/>
                <wp:lineTo x="25655" y="-7829"/>
                <wp:lineTo x="18947" y="-9388"/>
                <wp:lineTo x="4636" y="-9388"/>
                <wp:lineTo x="1506" y="-9908"/>
                <wp:lineTo x="-2966" y="-2633"/>
                <wp:lineTo x="-2966" y="2564"/>
                <wp:lineTo x="-2966" y="14515"/>
              </wp:wrapPolygon>
            </wp:wrapTight>
            <wp:docPr id="18" name="Imagem 4" descr="DSCF3212.JPG"/>
            <wp:cNvGraphicFramePr/>
            <a:graphic xmlns:a="http://schemas.openxmlformats.org/drawingml/2006/main">
              <a:graphicData uri="http://schemas.openxmlformats.org/drawingml/2006/picture">
                <pic:pic xmlns:pic="http://schemas.openxmlformats.org/drawingml/2006/picture">
                  <pic:nvPicPr>
                    <pic:cNvPr id="7" name="Imagem 6" descr="DSCF3212.JPG"/>
                    <pic:cNvPicPr>
                      <a:picLocks noChangeAspect="1"/>
                    </pic:cNvPicPr>
                  </pic:nvPicPr>
                  <pic:blipFill>
                    <a:blip r:embed="rId18" cstate="print"/>
                    <a:srcRect l="8372"/>
                    <a:stretch>
                      <a:fillRect/>
                    </a:stretch>
                  </pic:blipFill>
                  <pic:spPr>
                    <a:xfrm rot="5400000">
                      <a:off x="0" y="0"/>
                      <a:ext cx="920115" cy="791845"/>
                    </a:xfrm>
                    <a:prstGeom prst="rect">
                      <a:avLst/>
                    </a:prstGeom>
                    <a:ln>
                      <a:noFill/>
                    </a:ln>
                    <a:effectLst>
                      <a:outerShdw blurRad="292100" dist="139700" dir="2700000" algn="tl" rotWithShape="0">
                        <a:srgbClr val="333333">
                          <a:alpha val="65000"/>
                        </a:srgbClr>
                      </a:outerShdw>
                    </a:effectLst>
                  </pic:spPr>
                </pic:pic>
              </a:graphicData>
            </a:graphic>
          </wp:anchor>
        </w:drawing>
      </w:r>
      <w:r w:rsidR="004A53B1">
        <w:rPr>
          <w:noProof/>
          <w:lang w:eastAsia="pt-PT"/>
        </w:rPr>
        <w:drawing>
          <wp:anchor distT="0" distB="0" distL="114300" distR="114300" simplePos="0" relativeHeight="251683840" behindDoc="1" locked="0" layoutInCell="1" allowOverlap="1">
            <wp:simplePos x="0" y="0"/>
            <wp:positionH relativeFrom="column">
              <wp:posOffset>134620</wp:posOffset>
            </wp:positionH>
            <wp:positionV relativeFrom="paragraph">
              <wp:posOffset>354330</wp:posOffset>
            </wp:positionV>
            <wp:extent cx="975995" cy="899795"/>
            <wp:effectExtent l="171450" t="133350" r="357505" b="300355"/>
            <wp:wrapTight wrapText="bothSides">
              <wp:wrapPolygon edited="0">
                <wp:start x="4638" y="-3201"/>
                <wp:lineTo x="1265" y="-2744"/>
                <wp:lineTo x="-3794" y="1372"/>
                <wp:lineTo x="-3794" y="18749"/>
                <wp:lineTo x="-2108" y="26066"/>
                <wp:lineTo x="1686" y="28810"/>
                <wp:lineTo x="2530" y="28810"/>
                <wp:lineTo x="23188" y="28810"/>
                <wp:lineTo x="24031" y="28810"/>
                <wp:lineTo x="27404" y="26524"/>
                <wp:lineTo x="27404" y="26066"/>
                <wp:lineTo x="27826" y="26066"/>
                <wp:lineTo x="29090" y="19664"/>
                <wp:lineTo x="29090" y="4116"/>
                <wp:lineTo x="29512" y="1829"/>
                <wp:lineTo x="24453" y="-2744"/>
                <wp:lineTo x="21080" y="-3201"/>
                <wp:lineTo x="4638" y="-3201"/>
              </wp:wrapPolygon>
            </wp:wrapTight>
            <wp:docPr id="17" name="Imagem 2" descr="DSCF3211.JPG"/>
            <wp:cNvGraphicFramePr/>
            <a:graphic xmlns:a="http://schemas.openxmlformats.org/drawingml/2006/main">
              <a:graphicData uri="http://schemas.openxmlformats.org/drawingml/2006/picture">
                <pic:pic xmlns:pic="http://schemas.openxmlformats.org/drawingml/2006/picture">
                  <pic:nvPicPr>
                    <pic:cNvPr id="4" name="Imagem 3" descr="DSCF3211.JPG"/>
                    <pic:cNvPicPr>
                      <a:picLocks noChangeAspect="1"/>
                    </pic:cNvPicPr>
                  </pic:nvPicPr>
                  <pic:blipFill>
                    <a:blip r:embed="rId19" cstate="print"/>
                    <a:stretch>
                      <a:fillRect/>
                    </a:stretch>
                  </pic:blipFill>
                  <pic:spPr>
                    <a:xfrm>
                      <a:off x="0" y="0"/>
                      <a:ext cx="975995" cy="899795"/>
                    </a:xfrm>
                    <a:prstGeom prst="rect">
                      <a:avLst/>
                    </a:prstGeom>
                    <a:ln>
                      <a:noFill/>
                    </a:ln>
                    <a:effectLst>
                      <a:outerShdw blurRad="292100" dist="139700" dir="2700000" algn="tl" rotWithShape="0">
                        <a:srgbClr val="333333">
                          <a:alpha val="65000"/>
                        </a:srgbClr>
                      </a:outerShdw>
                    </a:effectLst>
                  </pic:spPr>
                </pic:pic>
              </a:graphicData>
            </a:graphic>
          </wp:anchor>
        </w:drawing>
      </w:r>
      <w:r w:rsidR="004A53B1">
        <w:rPr>
          <w:noProof/>
          <w:lang w:eastAsia="pt-PT"/>
        </w:rPr>
        <w:drawing>
          <wp:anchor distT="0" distB="0" distL="114300" distR="114300" simplePos="0" relativeHeight="251686912" behindDoc="1" locked="0" layoutInCell="1" allowOverlap="1">
            <wp:simplePos x="0" y="0"/>
            <wp:positionH relativeFrom="column">
              <wp:posOffset>2042795</wp:posOffset>
            </wp:positionH>
            <wp:positionV relativeFrom="paragraph">
              <wp:posOffset>346710</wp:posOffset>
            </wp:positionV>
            <wp:extent cx="738505" cy="954405"/>
            <wp:effectExtent l="171450" t="133350" r="366395" b="302895"/>
            <wp:wrapTight wrapText="bothSides">
              <wp:wrapPolygon edited="0">
                <wp:start x="6129" y="-3018"/>
                <wp:lineTo x="1672" y="-2587"/>
                <wp:lineTo x="-5015" y="1293"/>
                <wp:lineTo x="-3900" y="24575"/>
                <wp:lineTo x="1672" y="28455"/>
                <wp:lineTo x="3343" y="28455"/>
                <wp:lineTo x="23959" y="28455"/>
                <wp:lineTo x="25630" y="28455"/>
                <wp:lineTo x="30645" y="25437"/>
                <wp:lineTo x="30645" y="24575"/>
                <wp:lineTo x="31759" y="18108"/>
                <wp:lineTo x="31759" y="3880"/>
                <wp:lineTo x="32316" y="1725"/>
                <wp:lineTo x="25630" y="-2587"/>
                <wp:lineTo x="21173" y="-3018"/>
                <wp:lineTo x="6129" y="-3018"/>
              </wp:wrapPolygon>
            </wp:wrapTight>
            <wp:docPr id="16" name="Imagem 5" descr="DSCF3215.JPG"/>
            <wp:cNvGraphicFramePr/>
            <a:graphic xmlns:a="http://schemas.openxmlformats.org/drawingml/2006/main">
              <a:graphicData uri="http://schemas.openxmlformats.org/drawingml/2006/picture">
                <pic:pic xmlns:pic="http://schemas.openxmlformats.org/drawingml/2006/picture">
                  <pic:nvPicPr>
                    <pic:cNvPr id="8" name="Imagem 7" descr="DSCF3215.JPG"/>
                    <pic:cNvPicPr>
                      <a:picLocks noChangeAspect="1"/>
                    </pic:cNvPicPr>
                  </pic:nvPicPr>
                  <pic:blipFill>
                    <a:blip r:embed="rId20" cstate="print"/>
                    <a:srcRect l="21650" r="17713" b="4851"/>
                    <a:stretch>
                      <a:fillRect/>
                    </a:stretch>
                  </pic:blipFill>
                  <pic:spPr>
                    <a:xfrm>
                      <a:off x="0" y="0"/>
                      <a:ext cx="738505" cy="954405"/>
                    </a:xfrm>
                    <a:prstGeom prst="rect">
                      <a:avLst/>
                    </a:prstGeom>
                    <a:ln>
                      <a:noFill/>
                    </a:ln>
                    <a:effectLst>
                      <a:outerShdw blurRad="292100" dist="139700" dir="2700000" algn="tl" rotWithShape="0">
                        <a:srgbClr val="333333">
                          <a:alpha val="65000"/>
                        </a:srgbClr>
                      </a:outerShdw>
                    </a:effectLst>
                  </pic:spPr>
                </pic:pic>
              </a:graphicData>
            </a:graphic>
          </wp:anchor>
        </w:drawing>
      </w:r>
      <w:r w:rsidR="004A53B1">
        <w:rPr>
          <w:noProof/>
          <w:lang w:eastAsia="pt-PT"/>
        </w:rPr>
        <w:drawing>
          <wp:anchor distT="0" distB="0" distL="114300" distR="114300" simplePos="0" relativeHeight="251684864" behindDoc="1" locked="0" layoutInCell="1" allowOverlap="1">
            <wp:simplePos x="0" y="0"/>
            <wp:positionH relativeFrom="column">
              <wp:posOffset>2837815</wp:posOffset>
            </wp:positionH>
            <wp:positionV relativeFrom="paragraph">
              <wp:posOffset>354330</wp:posOffset>
            </wp:positionV>
            <wp:extent cx="993140" cy="953135"/>
            <wp:effectExtent l="171450" t="133350" r="359410" b="304165"/>
            <wp:wrapTight wrapText="bothSides">
              <wp:wrapPolygon edited="0">
                <wp:start x="4558" y="-3022"/>
                <wp:lineTo x="1243" y="-2590"/>
                <wp:lineTo x="-3729" y="1295"/>
                <wp:lineTo x="-2900" y="24608"/>
                <wp:lineTo x="1243" y="28493"/>
                <wp:lineTo x="2486" y="28493"/>
                <wp:lineTo x="23202" y="28493"/>
                <wp:lineTo x="24445" y="28493"/>
                <wp:lineTo x="28174" y="25471"/>
                <wp:lineTo x="28174" y="24608"/>
                <wp:lineTo x="29003" y="18132"/>
                <wp:lineTo x="29003" y="3885"/>
                <wp:lineTo x="29417" y="1727"/>
                <wp:lineTo x="24445" y="-2590"/>
                <wp:lineTo x="21130" y="-3022"/>
                <wp:lineTo x="4558" y="-3022"/>
              </wp:wrapPolygon>
            </wp:wrapTight>
            <wp:docPr id="15" name="Imagem 3" descr="DSCF3217.JPG"/>
            <wp:cNvGraphicFramePr/>
            <a:graphic xmlns:a="http://schemas.openxmlformats.org/drawingml/2006/main">
              <a:graphicData uri="http://schemas.openxmlformats.org/drawingml/2006/picture">
                <pic:pic xmlns:pic="http://schemas.openxmlformats.org/drawingml/2006/picture">
                  <pic:nvPicPr>
                    <pic:cNvPr id="6" name="Imagem 5" descr="DSCF3217.JPG"/>
                    <pic:cNvPicPr>
                      <a:picLocks noChangeAspect="1"/>
                    </pic:cNvPicPr>
                  </pic:nvPicPr>
                  <pic:blipFill>
                    <a:blip r:embed="rId21" cstate="print"/>
                    <a:srcRect l="8249"/>
                    <a:stretch>
                      <a:fillRect/>
                    </a:stretch>
                  </pic:blipFill>
                  <pic:spPr>
                    <a:xfrm>
                      <a:off x="0" y="0"/>
                      <a:ext cx="993140" cy="953135"/>
                    </a:xfrm>
                    <a:prstGeom prst="rect">
                      <a:avLst/>
                    </a:prstGeom>
                    <a:ln>
                      <a:noFill/>
                    </a:ln>
                    <a:effectLst>
                      <a:outerShdw blurRad="292100" dist="139700" dir="2700000" algn="tl" rotWithShape="0">
                        <a:srgbClr val="333333">
                          <a:alpha val="65000"/>
                        </a:srgbClr>
                      </a:outerShdw>
                    </a:effectLst>
                  </pic:spPr>
                </pic:pic>
              </a:graphicData>
            </a:graphic>
          </wp:anchor>
        </w:drawing>
      </w:r>
      <w:r w:rsidR="004A53B1">
        <w:rPr>
          <w:noProof/>
          <w:lang w:eastAsia="pt-PT"/>
        </w:rPr>
        <w:drawing>
          <wp:anchor distT="0" distB="0" distL="114300" distR="114300" simplePos="0" relativeHeight="251682816" behindDoc="1" locked="0" layoutInCell="1" allowOverlap="1">
            <wp:simplePos x="0" y="0"/>
            <wp:positionH relativeFrom="column">
              <wp:posOffset>3910965</wp:posOffset>
            </wp:positionH>
            <wp:positionV relativeFrom="paragraph">
              <wp:posOffset>354330</wp:posOffset>
            </wp:positionV>
            <wp:extent cx="993140" cy="953135"/>
            <wp:effectExtent l="171450" t="133350" r="359410" b="304165"/>
            <wp:wrapTight wrapText="bothSides">
              <wp:wrapPolygon edited="0">
                <wp:start x="4558" y="-3022"/>
                <wp:lineTo x="1243" y="-2590"/>
                <wp:lineTo x="-3729" y="1295"/>
                <wp:lineTo x="-2900" y="24608"/>
                <wp:lineTo x="1243" y="28493"/>
                <wp:lineTo x="2486" y="28493"/>
                <wp:lineTo x="23202" y="28493"/>
                <wp:lineTo x="24445" y="28493"/>
                <wp:lineTo x="28174" y="25471"/>
                <wp:lineTo x="28174" y="24608"/>
                <wp:lineTo x="29003" y="18132"/>
                <wp:lineTo x="29003" y="3885"/>
                <wp:lineTo x="29417" y="1727"/>
                <wp:lineTo x="24445" y="-2590"/>
                <wp:lineTo x="21130" y="-3022"/>
                <wp:lineTo x="4558" y="-3022"/>
              </wp:wrapPolygon>
            </wp:wrapTight>
            <wp:docPr id="8" name="Imagem 1" descr="DSCF3242.JPG"/>
            <wp:cNvGraphicFramePr/>
            <a:graphic xmlns:a="http://schemas.openxmlformats.org/drawingml/2006/main">
              <a:graphicData uri="http://schemas.openxmlformats.org/drawingml/2006/picture">
                <pic:pic xmlns:pic="http://schemas.openxmlformats.org/drawingml/2006/picture">
                  <pic:nvPicPr>
                    <pic:cNvPr id="5" name="Imagem 4" descr="DSCF3242.JPG"/>
                    <pic:cNvPicPr>
                      <a:picLocks noChangeAspect="1"/>
                    </pic:cNvPicPr>
                  </pic:nvPicPr>
                  <pic:blipFill>
                    <a:blip r:embed="rId22" cstate="print"/>
                    <a:stretch>
                      <a:fillRect/>
                    </a:stretch>
                  </pic:blipFill>
                  <pic:spPr>
                    <a:xfrm>
                      <a:off x="0" y="0"/>
                      <a:ext cx="993140" cy="953135"/>
                    </a:xfrm>
                    <a:prstGeom prst="rect">
                      <a:avLst/>
                    </a:prstGeom>
                    <a:ln>
                      <a:noFill/>
                    </a:ln>
                    <a:effectLst>
                      <a:outerShdw blurRad="292100" dist="139700" dir="2700000" algn="tl" rotWithShape="0">
                        <a:srgbClr val="333333">
                          <a:alpha val="65000"/>
                        </a:srgbClr>
                      </a:outerShdw>
                    </a:effectLst>
                  </pic:spPr>
                </pic:pic>
              </a:graphicData>
            </a:graphic>
          </wp:anchor>
        </w:drawing>
      </w:r>
      <w:r w:rsidR="004A53B1" w:rsidRPr="00330A13">
        <w:rPr>
          <w:b/>
          <w:noProof/>
          <w:lang w:eastAsia="pt-PT"/>
        </w:rPr>
        <w:drawing>
          <wp:inline distT="0" distB="0" distL="0" distR="0">
            <wp:extent cx="1728192" cy="720080"/>
            <wp:effectExtent l="19050" t="0" r="5358" b="0"/>
            <wp:docPr id="7" name="Objec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8192" cy="720080"/>
                      <a:chOff x="5508104" y="4941168"/>
                      <a:chExt cx="1728192" cy="720080"/>
                    </a:xfrm>
                  </a:grpSpPr>
                  <a:grpSp>
                    <a:nvGrpSpPr>
                      <a:cNvPr id="10" name="Grupo 31"/>
                      <a:cNvGrpSpPr/>
                    </a:nvGrpSpPr>
                    <a:grpSpPr>
                      <a:xfrm>
                        <a:off x="5508104" y="4941168"/>
                        <a:ext cx="1728192" cy="720080"/>
                        <a:chOff x="11914188" y="15393988"/>
                        <a:chExt cx="3194050" cy="1320800"/>
                      </a:xfrm>
                    </a:grpSpPr>
                    <a:sp>
                      <a:nvSpPr>
                        <a:cNvPr id="26" name="AutoShape 50" descr="DSCF3221"/>
                        <a:cNvSpPr>
                          <a:spLocks noChangeArrowheads="1"/>
                        </a:cNvSpPr>
                      </a:nvSpPr>
                      <a:spPr bwMode="auto">
                        <a:xfrm>
                          <a:off x="11914188" y="15409863"/>
                          <a:ext cx="487363" cy="1276350"/>
                        </a:xfrm>
                        <a:prstGeom prst="roundRect">
                          <a:avLst>
                            <a:gd name="adj" fmla="val 16667"/>
                          </a:avLst>
                        </a:prstGeom>
                        <a:blipFill dpi="0" rotWithShape="1">
                          <a:blip r:embed="rId23" cstate="print"/>
                          <a:srcRect/>
                          <a:stretch>
                            <a:fillRect/>
                          </a:stretch>
                        </a:blipFill>
                        <a:ln w="9525">
                          <a:noFill/>
                          <a:round/>
                          <a:headEnd/>
                          <a:tailEnd/>
                        </a:ln>
                        <a:effectLst/>
                      </a:spPr>
                      <a:txSp>
                        <a:txBody>
                          <a:bodyPr wrap="none"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PT"/>
                          </a:p>
                        </a:txBody>
                        <a:useSpRect/>
                      </a:txSp>
                    </a:sp>
                    <a:sp>
                      <a:nvSpPr>
                        <a:cNvPr id="27" name="AutoShape 51" descr="DSCF3224"/>
                        <a:cNvSpPr>
                          <a:spLocks noChangeArrowheads="1"/>
                        </a:cNvSpPr>
                      </a:nvSpPr>
                      <a:spPr bwMode="auto">
                        <a:xfrm>
                          <a:off x="12549188" y="15393988"/>
                          <a:ext cx="409575" cy="1285875"/>
                        </a:xfrm>
                        <a:prstGeom prst="roundRect">
                          <a:avLst>
                            <a:gd name="adj" fmla="val 16667"/>
                          </a:avLst>
                        </a:prstGeom>
                        <a:blipFill dpi="0" rotWithShape="1">
                          <a:blip r:embed="rId24" cstate="print"/>
                          <a:srcRect/>
                          <a:stretch>
                            <a:fillRect/>
                          </a:stretch>
                        </a:blipFill>
                        <a:ln w="9525">
                          <a:noFill/>
                          <a:round/>
                          <a:headEnd/>
                          <a:tailEnd/>
                        </a:ln>
                        <a:effectLst/>
                      </a:spPr>
                      <a:txSp>
                        <a:txBody>
                          <a:bodyPr wrap="none"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PT"/>
                          </a:p>
                        </a:txBody>
                        <a:useSpRect/>
                      </a:txSp>
                    </a:sp>
                    <a:sp>
                      <a:nvSpPr>
                        <a:cNvPr id="28" name="AutoShape 52" descr="DSCF3231"/>
                        <a:cNvSpPr>
                          <a:spLocks noChangeArrowheads="1"/>
                        </a:cNvSpPr>
                      </a:nvSpPr>
                      <a:spPr bwMode="auto">
                        <a:xfrm>
                          <a:off x="13079413" y="15400338"/>
                          <a:ext cx="428625" cy="1295400"/>
                        </a:xfrm>
                        <a:prstGeom prst="roundRect">
                          <a:avLst>
                            <a:gd name="adj" fmla="val 16667"/>
                          </a:avLst>
                        </a:prstGeom>
                        <a:blipFill dpi="0" rotWithShape="1">
                          <a:blip r:embed="rId25" cstate="print"/>
                          <a:srcRect/>
                          <a:stretch>
                            <a:fillRect/>
                          </a:stretch>
                        </a:blipFill>
                        <a:ln w="9525">
                          <a:noFill/>
                          <a:round/>
                          <a:headEnd/>
                          <a:tailEnd/>
                        </a:ln>
                        <a:effectLst/>
                      </a:spPr>
                      <a:txSp>
                        <a:txBody>
                          <a:bodyPr wrap="none"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PT"/>
                          </a:p>
                        </a:txBody>
                        <a:useSpRect/>
                      </a:txSp>
                    </a:sp>
                    <a:sp>
                      <a:nvSpPr>
                        <a:cNvPr id="29" name="AutoShape 53" descr="DSCF3236"/>
                        <a:cNvSpPr>
                          <a:spLocks noChangeArrowheads="1"/>
                        </a:cNvSpPr>
                      </a:nvSpPr>
                      <a:spPr bwMode="auto">
                        <a:xfrm>
                          <a:off x="13628688" y="15416213"/>
                          <a:ext cx="390525" cy="1285875"/>
                        </a:xfrm>
                        <a:prstGeom prst="roundRect">
                          <a:avLst>
                            <a:gd name="adj" fmla="val 16667"/>
                          </a:avLst>
                        </a:prstGeom>
                        <a:blipFill dpi="0" rotWithShape="1">
                          <a:blip r:embed="rId26" cstate="print"/>
                          <a:srcRect/>
                          <a:stretch>
                            <a:fillRect/>
                          </a:stretch>
                        </a:blipFill>
                        <a:ln w="9525">
                          <a:noFill/>
                          <a:round/>
                          <a:headEnd/>
                          <a:tailEnd/>
                        </a:ln>
                        <a:effectLst/>
                      </a:spPr>
                      <a:txSp>
                        <a:txBody>
                          <a:bodyPr wrap="none"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PT"/>
                          </a:p>
                        </a:txBody>
                        <a:useSpRect/>
                      </a:txSp>
                    </a:sp>
                    <a:sp>
                      <a:nvSpPr>
                        <a:cNvPr id="30" name="AutoShape 54" descr="DSCF3240"/>
                        <a:cNvSpPr>
                          <a:spLocks noChangeArrowheads="1"/>
                        </a:cNvSpPr>
                      </a:nvSpPr>
                      <a:spPr bwMode="auto">
                        <a:xfrm>
                          <a:off x="14139863" y="15422563"/>
                          <a:ext cx="438150" cy="1285875"/>
                        </a:xfrm>
                        <a:prstGeom prst="roundRect">
                          <a:avLst>
                            <a:gd name="adj" fmla="val 16667"/>
                          </a:avLst>
                        </a:prstGeom>
                        <a:blipFill dpi="0" rotWithShape="1">
                          <a:blip r:embed="rId27" cstate="print"/>
                          <a:srcRect/>
                          <a:stretch>
                            <a:fillRect/>
                          </a:stretch>
                        </a:blipFill>
                        <a:ln w="9525">
                          <a:noFill/>
                          <a:round/>
                          <a:headEnd/>
                          <a:tailEnd/>
                        </a:ln>
                        <a:effectLst/>
                      </a:spPr>
                      <a:txSp>
                        <a:txBody>
                          <a:bodyPr wrap="none"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PT"/>
                          </a:p>
                        </a:txBody>
                        <a:useSpRect/>
                      </a:txSp>
                    </a:sp>
                    <a:sp>
                      <a:nvSpPr>
                        <a:cNvPr id="31" name="AutoShape 55" descr="DSCF3241"/>
                        <a:cNvSpPr>
                          <a:spLocks noChangeArrowheads="1"/>
                        </a:cNvSpPr>
                      </a:nvSpPr>
                      <a:spPr bwMode="auto">
                        <a:xfrm>
                          <a:off x="14689138" y="15428913"/>
                          <a:ext cx="419100" cy="1285875"/>
                        </a:xfrm>
                        <a:prstGeom prst="roundRect">
                          <a:avLst>
                            <a:gd name="adj" fmla="val 16667"/>
                          </a:avLst>
                        </a:prstGeom>
                        <a:blipFill dpi="0" rotWithShape="1">
                          <a:blip r:embed="rId28" cstate="print"/>
                          <a:srcRect/>
                          <a:stretch>
                            <a:fillRect/>
                          </a:stretch>
                        </a:blipFill>
                        <a:ln w="9525">
                          <a:noFill/>
                          <a:round/>
                          <a:headEnd/>
                          <a:tailEnd/>
                        </a:ln>
                        <a:effectLst/>
                      </a:spPr>
                      <a:txSp>
                        <a:txBody>
                          <a:bodyPr wrap="none"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pt-PT"/>
                          </a:p>
                        </a:txBody>
                        <a:useSpRect/>
                      </a:txSp>
                    </a:sp>
                  </a:grpSp>
                </lc:lockedCanvas>
              </a:graphicData>
            </a:graphic>
          </wp:inline>
        </w:drawing>
      </w:r>
    </w:p>
    <w:p w:rsidR="004A53B1" w:rsidRDefault="004A53B1" w:rsidP="004A53B1">
      <w:pPr>
        <w:spacing w:after="0"/>
        <w:jc w:val="both"/>
      </w:pPr>
    </w:p>
    <w:p w:rsidR="004A53B1" w:rsidRPr="00D271DF" w:rsidRDefault="004A53B1" w:rsidP="004A53B1">
      <w:pPr>
        <w:pStyle w:val="Legenda"/>
        <w:spacing w:after="0"/>
        <w:jc w:val="both"/>
        <w:rPr>
          <w:rFonts w:ascii="Times New Roman" w:hAnsi="Times New Roman"/>
          <w:b w:val="0"/>
          <w:color w:val="auto"/>
          <w:sz w:val="20"/>
        </w:rPr>
      </w:pPr>
      <w:r w:rsidRPr="00D271DF">
        <w:rPr>
          <w:rFonts w:ascii="Times New Roman" w:hAnsi="Times New Roman"/>
          <w:sz w:val="20"/>
        </w:rPr>
        <w:t xml:space="preserve">Figura </w:t>
      </w:r>
      <w:r>
        <w:rPr>
          <w:rFonts w:ascii="Times New Roman" w:hAnsi="Times New Roman"/>
          <w:sz w:val="20"/>
        </w:rPr>
        <w:t>12</w:t>
      </w:r>
      <w:r w:rsidRPr="00D271DF">
        <w:rPr>
          <w:rFonts w:ascii="Times New Roman" w:hAnsi="Times New Roman"/>
          <w:sz w:val="20"/>
        </w:rPr>
        <w:t xml:space="preserve"> – </w:t>
      </w:r>
      <w:r>
        <w:rPr>
          <w:rFonts w:ascii="Times New Roman" w:hAnsi="Times New Roman"/>
          <w:b w:val="0"/>
          <w:color w:val="auto"/>
          <w:sz w:val="20"/>
        </w:rPr>
        <w:t>Ilustração</w:t>
      </w:r>
      <w:r w:rsidRPr="00D271DF">
        <w:rPr>
          <w:rFonts w:ascii="Times New Roman" w:hAnsi="Times New Roman"/>
          <w:b w:val="0"/>
          <w:color w:val="auto"/>
          <w:sz w:val="20"/>
        </w:rPr>
        <w:t xml:space="preserve"> dos tubo</w:t>
      </w:r>
      <w:r>
        <w:rPr>
          <w:rFonts w:ascii="Times New Roman" w:hAnsi="Times New Roman"/>
          <w:b w:val="0"/>
          <w:color w:val="auto"/>
          <w:sz w:val="20"/>
        </w:rPr>
        <w:t>s de centrifugação após cada ci</w:t>
      </w:r>
      <w:r w:rsidRPr="00D271DF">
        <w:rPr>
          <w:rFonts w:ascii="Times New Roman" w:hAnsi="Times New Roman"/>
          <w:b w:val="0"/>
          <w:color w:val="auto"/>
          <w:sz w:val="20"/>
        </w:rPr>
        <w:t>clo de extracção. De salientar a cor do extracto que se torna cada vez menos intensa durante o processo de extracção de compostos fenólicos, correspondendo o tubo mais à esquerda ao primeiro ciclo de extracção de onde se extraiu a maior quantidade de fenóis (fonte própria).</w:t>
      </w:r>
    </w:p>
    <w:p w:rsidR="004A53B1" w:rsidRDefault="004A53B1" w:rsidP="004A53B1">
      <w:pPr>
        <w:jc w:val="center"/>
        <w:rPr>
          <w:b/>
        </w:rPr>
      </w:pPr>
    </w:p>
    <w:p w:rsidR="004A53B1" w:rsidRDefault="004A53B1" w:rsidP="004A53B1">
      <w:pPr>
        <w:jc w:val="center"/>
        <w:rPr>
          <w:b/>
        </w:rPr>
      </w:pPr>
    </w:p>
    <w:p w:rsidR="004A53B1" w:rsidRPr="004A53B1" w:rsidRDefault="004A53B1" w:rsidP="004A53B1">
      <w:pPr>
        <w:pStyle w:val="PargrafodaLista"/>
        <w:numPr>
          <w:ilvl w:val="1"/>
          <w:numId w:val="24"/>
        </w:numPr>
        <w:tabs>
          <w:tab w:val="left" w:pos="0"/>
          <w:tab w:val="left" w:pos="709"/>
          <w:tab w:val="left" w:pos="1134"/>
        </w:tabs>
        <w:jc w:val="both"/>
        <w:rPr>
          <w:rFonts w:ascii="Times New Roman" w:hAnsi="Times New Roman"/>
          <w:b/>
          <w:sz w:val="28"/>
        </w:rPr>
      </w:pPr>
      <w:r w:rsidRPr="004A53B1">
        <w:rPr>
          <w:rFonts w:ascii="Times New Roman" w:hAnsi="Times New Roman"/>
          <w:b/>
          <w:sz w:val="28"/>
        </w:rPr>
        <w:t xml:space="preserve">Preparação dos extractos aquosos concentrados a partir do extracto bruto </w:t>
      </w:r>
      <w:r w:rsidR="00794DB0">
        <w:rPr>
          <w:rFonts w:ascii="Times New Roman" w:hAnsi="Times New Roman"/>
          <w:b/>
          <w:sz w:val="28"/>
        </w:rPr>
        <w:t>de</w:t>
      </w:r>
      <w:r w:rsidR="00F05DE6">
        <w:rPr>
          <w:rFonts w:ascii="Times New Roman" w:hAnsi="Times New Roman"/>
          <w:b/>
          <w:sz w:val="28"/>
        </w:rPr>
        <w:t>rivado de</w:t>
      </w:r>
      <w:r w:rsidR="00794DB0">
        <w:rPr>
          <w:rFonts w:ascii="Times New Roman" w:hAnsi="Times New Roman"/>
          <w:b/>
          <w:sz w:val="28"/>
        </w:rPr>
        <w:t xml:space="preserve"> bagaço de azeitona extractado</w:t>
      </w:r>
      <w:r w:rsidRPr="004A53B1">
        <w:rPr>
          <w:rFonts w:ascii="Times New Roman" w:hAnsi="Times New Roman"/>
          <w:b/>
          <w:sz w:val="28"/>
        </w:rPr>
        <w:t xml:space="preserve">, </w:t>
      </w:r>
      <w:r w:rsidR="00794DB0">
        <w:rPr>
          <w:rFonts w:ascii="Times New Roman" w:hAnsi="Times New Roman"/>
          <w:b/>
          <w:sz w:val="28"/>
        </w:rPr>
        <w:t>através de</w:t>
      </w:r>
      <w:r w:rsidRPr="004A53B1">
        <w:rPr>
          <w:rFonts w:ascii="Times New Roman" w:hAnsi="Times New Roman"/>
          <w:b/>
          <w:sz w:val="28"/>
        </w:rPr>
        <w:t xml:space="preserve"> um sistema integrado de tecnologia de membranas: Nanofiltração e Osmose Inversa</w:t>
      </w:r>
    </w:p>
    <w:p w:rsidR="004A53B1" w:rsidRPr="00A60187" w:rsidRDefault="004A53B1" w:rsidP="004A53B1">
      <w:pPr>
        <w:pStyle w:val="PargrafodaLista"/>
        <w:tabs>
          <w:tab w:val="left" w:pos="0"/>
        </w:tabs>
        <w:ind w:left="1340"/>
        <w:jc w:val="both"/>
        <w:rPr>
          <w:rFonts w:ascii="Times New Roman" w:hAnsi="Times New Roman"/>
          <w:b/>
          <w:sz w:val="28"/>
        </w:rPr>
      </w:pPr>
    </w:p>
    <w:p w:rsidR="004A53B1" w:rsidRPr="00D271DF" w:rsidRDefault="004A53B1" w:rsidP="004A53B1">
      <w:pPr>
        <w:jc w:val="both"/>
        <w:rPr>
          <w:rFonts w:ascii="Times New Roman" w:hAnsi="Times New Roman"/>
          <w:sz w:val="24"/>
        </w:rPr>
      </w:pPr>
      <w:r w:rsidRPr="00D271DF">
        <w:rPr>
          <w:rFonts w:ascii="Times New Roman" w:hAnsi="Times New Roman"/>
          <w:sz w:val="24"/>
        </w:rPr>
        <w:tab/>
      </w:r>
      <w:r w:rsidR="00794DB0">
        <w:rPr>
          <w:rFonts w:ascii="Times New Roman" w:hAnsi="Times New Roman"/>
          <w:sz w:val="24"/>
        </w:rPr>
        <w:t xml:space="preserve">O presente protocolo foi </w:t>
      </w:r>
      <w:r w:rsidR="002A41E6">
        <w:rPr>
          <w:rFonts w:ascii="Times New Roman" w:hAnsi="Times New Roman"/>
          <w:sz w:val="24"/>
        </w:rPr>
        <w:t>executado</w:t>
      </w:r>
      <w:r w:rsidR="00794DB0">
        <w:rPr>
          <w:rFonts w:ascii="Times New Roman" w:hAnsi="Times New Roman"/>
          <w:sz w:val="24"/>
        </w:rPr>
        <w:t xml:space="preserve"> de acordo com o método descrito por Nunes da Ponte </w:t>
      </w:r>
      <w:r w:rsidR="00794DB0" w:rsidRPr="00794DB0">
        <w:rPr>
          <w:rFonts w:ascii="Times New Roman" w:hAnsi="Times New Roman"/>
          <w:i/>
          <w:sz w:val="24"/>
        </w:rPr>
        <w:t>et al</w:t>
      </w:r>
      <w:r w:rsidR="00794DB0">
        <w:rPr>
          <w:rFonts w:ascii="Times New Roman" w:hAnsi="Times New Roman"/>
          <w:sz w:val="24"/>
        </w:rPr>
        <w:t xml:space="preserve">., 2007. </w:t>
      </w:r>
      <w:r w:rsidRPr="00D271DF">
        <w:rPr>
          <w:rFonts w:ascii="Times New Roman" w:hAnsi="Times New Roman"/>
          <w:sz w:val="24"/>
        </w:rPr>
        <w:t xml:space="preserve">Para o procedimento de nanofiltração utilizou-se uma membrana polimérica comercial “Polyamide Thin-Film Composite” NF270 cujo tamanho molecular de </w:t>
      </w:r>
      <w:r w:rsidRPr="008766E0">
        <w:rPr>
          <w:rFonts w:ascii="Times New Roman" w:hAnsi="Times New Roman"/>
          <w:i/>
          <w:sz w:val="24"/>
        </w:rPr>
        <w:t>cut-off</w:t>
      </w:r>
      <w:r w:rsidRPr="00D271DF">
        <w:rPr>
          <w:rFonts w:ascii="Times New Roman" w:hAnsi="Times New Roman"/>
          <w:sz w:val="24"/>
        </w:rPr>
        <w:t xml:space="preserve"> (MWCO) se encontra abaixo dos 400Da (90% do soluto com peso molecular inferior ao cut-off passa pela membrana), e cuja área é de 0,014m</w:t>
      </w:r>
      <w:r w:rsidRPr="00D271DF">
        <w:rPr>
          <w:rFonts w:ascii="Times New Roman" w:hAnsi="Times New Roman"/>
          <w:sz w:val="24"/>
          <w:vertAlign w:val="superscript"/>
        </w:rPr>
        <w:t>2</w:t>
      </w:r>
      <w:r>
        <w:rPr>
          <w:rFonts w:ascii="Times New Roman" w:hAnsi="Times New Roman"/>
          <w:sz w:val="24"/>
        </w:rPr>
        <w:t xml:space="preserve"> (Santos </w:t>
      </w:r>
      <w:r w:rsidRPr="00210447">
        <w:rPr>
          <w:rFonts w:ascii="Times New Roman" w:hAnsi="Times New Roman"/>
          <w:i/>
          <w:sz w:val="24"/>
        </w:rPr>
        <w:t>et al</w:t>
      </w:r>
      <w:r>
        <w:rPr>
          <w:rFonts w:ascii="Times New Roman" w:hAnsi="Times New Roman"/>
          <w:sz w:val="24"/>
        </w:rPr>
        <w:t>., 2011)</w:t>
      </w:r>
      <w:r w:rsidRPr="00D271DF">
        <w:rPr>
          <w:rFonts w:ascii="Times New Roman" w:hAnsi="Times New Roman"/>
          <w:sz w:val="24"/>
        </w:rPr>
        <w:t xml:space="preserve">. </w:t>
      </w:r>
    </w:p>
    <w:p w:rsidR="004A53B1" w:rsidRPr="00D271DF" w:rsidRDefault="004A53B1" w:rsidP="004A53B1">
      <w:pPr>
        <w:jc w:val="both"/>
        <w:rPr>
          <w:rFonts w:ascii="Times New Roman" w:hAnsi="Times New Roman"/>
          <w:sz w:val="24"/>
        </w:rPr>
      </w:pPr>
      <w:r w:rsidRPr="00D271DF">
        <w:rPr>
          <w:rFonts w:ascii="Times New Roman" w:hAnsi="Times New Roman"/>
          <w:sz w:val="24"/>
        </w:rPr>
        <w:tab/>
        <w:t xml:space="preserve">A membrana NF270 sofreu previamente uma compactação com água desionizada, a 20bar cerca de 1 a 2h no sistema de membranas, até atingir níveis de fluxo constantes, permitindo este processo a preparação da membrana para a sua utilização. Seguidamente à compactação da membrana NF270 foi feita a sua caracterização/determinação da sua performance através do cálculo da permeabilidade Hidráulica pela equação de </w:t>
      </w:r>
      <w:r w:rsidRPr="00D271DF">
        <w:rPr>
          <w:rFonts w:ascii="Times New Roman" w:hAnsi="Times New Roman"/>
          <w:i/>
          <w:sz w:val="24"/>
        </w:rPr>
        <w:t>Darcy</w:t>
      </w:r>
      <w:r w:rsidRPr="00D271DF">
        <w:rPr>
          <w:rFonts w:ascii="Times New Roman" w:hAnsi="Times New Roman"/>
          <w:sz w:val="24"/>
        </w:rPr>
        <w:t>:</w:t>
      </w:r>
    </w:p>
    <w:p w:rsidR="004A53B1" w:rsidRDefault="004A53B1" w:rsidP="004A53B1">
      <w:pPr>
        <w:jc w:val="both"/>
      </w:pPr>
      <m:oMathPara>
        <m:oMath>
          <m:r>
            <w:rPr>
              <w:rFonts w:ascii="Cambria Math" w:hAnsi="Cambria Math"/>
            </w:rPr>
            <m:t>JV=Lp×(∆P-∆π)</m:t>
          </m:r>
        </m:oMath>
      </m:oMathPara>
    </w:p>
    <w:p w:rsidR="004A53B1" w:rsidRPr="00A60187" w:rsidRDefault="004A53B1" w:rsidP="004A53B1">
      <w:pPr>
        <w:jc w:val="both"/>
        <w:rPr>
          <w:rFonts w:ascii="Times New Roman" w:hAnsi="Times New Roman"/>
          <w:sz w:val="24"/>
        </w:rPr>
      </w:pPr>
      <w:r w:rsidRPr="00A60187">
        <w:rPr>
          <w:rFonts w:ascii="Times New Roman" w:hAnsi="Times New Roman"/>
          <w:sz w:val="24"/>
        </w:rPr>
        <w:lastRenderedPageBreak/>
        <w:t>Onde o fluxo da membrana (</w:t>
      </w:r>
      <w:r w:rsidRPr="00A60187">
        <w:rPr>
          <w:rFonts w:ascii="Times New Roman" w:hAnsi="Times New Roman"/>
          <w:b/>
          <w:i/>
          <w:sz w:val="24"/>
        </w:rPr>
        <w:t>JV</w:t>
      </w:r>
      <w:r w:rsidRPr="00A60187">
        <w:rPr>
          <w:rFonts w:ascii="Times New Roman" w:hAnsi="Times New Roman"/>
          <w:sz w:val="24"/>
        </w:rPr>
        <w:t xml:space="preserve"> (L/m</w:t>
      </w:r>
      <w:r w:rsidRPr="00A60187">
        <w:rPr>
          <w:rFonts w:ascii="Times New Roman" w:hAnsi="Times New Roman"/>
          <w:sz w:val="24"/>
          <w:vertAlign w:val="superscript"/>
        </w:rPr>
        <w:t>2</w:t>
      </w:r>
      <w:r>
        <w:rPr>
          <w:rFonts w:ascii="Times New Roman" w:hAnsi="Times New Roman"/>
          <w:sz w:val="24"/>
        </w:rPr>
        <w:t>.h)</w:t>
      </w:r>
      <w:r w:rsidRPr="00A60187">
        <w:rPr>
          <w:rFonts w:ascii="Times New Roman" w:hAnsi="Times New Roman"/>
          <w:sz w:val="24"/>
        </w:rPr>
        <w:t>) é igual à permeabilidade hidráulica da membrana (</w:t>
      </w:r>
      <w:r w:rsidRPr="00A60187">
        <w:rPr>
          <w:rFonts w:ascii="Times New Roman" w:hAnsi="Times New Roman"/>
          <w:b/>
          <w:i/>
          <w:sz w:val="24"/>
        </w:rPr>
        <w:t>LP</w:t>
      </w:r>
      <w:r w:rsidRPr="00A60187">
        <w:rPr>
          <w:rFonts w:ascii="Times New Roman" w:hAnsi="Times New Roman"/>
          <w:sz w:val="24"/>
        </w:rPr>
        <w:t xml:space="preserve"> (L/m</w:t>
      </w:r>
      <w:r w:rsidRPr="00A60187">
        <w:rPr>
          <w:rFonts w:ascii="Times New Roman" w:hAnsi="Times New Roman"/>
          <w:sz w:val="24"/>
          <w:vertAlign w:val="superscript"/>
        </w:rPr>
        <w:t>2</w:t>
      </w:r>
      <w:r w:rsidRPr="00A60187">
        <w:rPr>
          <w:rFonts w:ascii="Times New Roman" w:hAnsi="Times New Roman"/>
          <w:sz w:val="24"/>
        </w:rPr>
        <w:t>.h.bar)) vezes a pressão transmembranar, dada pela diferença entre a variação da pressão regulada (</w:t>
      </w:r>
      <m:oMath>
        <m:r>
          <m:rPr>
            <m:sty m:val="bi"/>
          </m:rPr>
          <w:rPr>
            <w:rFonts w:ascii="Times New Roman" w:hAnsi="Times New Roman"/>
            <w:sz w:val="24"/>
          </w:rPr>
          <m:t>∆</m:t>
        </m:r>
      </m:oMath>
      <w:r w:rsidRPr="00A60187">
        <w:rPr>
          <w:rFonts w:ascii="Times New Roman" w:hAnsi="Times New Roman"/>
          <w:b/>
          <w:i/>
          <w:sz w:val="24"/>
        </w:rPr>
        <w:t>P</w:t>
      </w:r>
      <w:r w:rsidRPr="00A60187">
        <w:rPr>
          <w:rFonts w:ascii="Times New Roman" w:hAnsi="Times New Roman"/>
          <w:sz w:val="24"/>
        </w:rPr>
        <w:t xml:space="preserve"> (bar)) pela variação da pressão osmótica entre o lado retido e o permeado (</w:t>
      </w:r>
      <m:oMath>
        <m:r>
          <m:rPr>
            <m:sty m:val="bi"/>
          </m:rPr>
          <w:rPr>
            <w:rFonts w:ascii="Times New Roman" w:hAnsi="Times New Roman"/>
            <w:sz w:val="24"/>
          </w:rPr>
          <m:t>∆</m:t>
        </m:r>
        <m:r>
          <m:rPr>
            <m:sty m:val="bi"/>
          </m:rPr>
          <w:rPr>
            <w:rFonts w:ascii="Cambria Math" w:hAnsi="Cambria Math"/>
            <w:sz w:val="24"/>
          </w:rPr>
          <m:t>π</m:t>
        </m:r>
      </m:oMath>
      <w:r w:rsidRPr="00A60187">
        <w:rPr>
          <w:rFonts w:ascii="Times New Roman" w:hAnsi="Times New Roman"/>
          <w:sz w:val="24"/>
        </w:rPr>
        <w:t xml:space="preserve"> (bar)). O fluxo da membrana (</w:t>
      </w:r>
      <w:r w:rsidRPr="00A60187">
        <w:rPr>
          <w:rFonts w:ascii="Times New Roman" w:hAnsi="Times New Roman"/>
          <w:i/>
          <w:sz w:val="24"/>
        </w:rPr>
        <w:t>JV</w:t>
      </w:r>
      <w:r w:rsidRPr="00A60187">
        <w:rPr>
          <w:rFonts w:ascii="Times New Roman" w:hAnsi="Times New Roman"/>
          <w:sz w:val="24"/>
        </w:rPr>
        <w:t>) foi determinado pela medição da massa do fluxo permeado a uma determinada temperatura e período de tempo, onde o caudal do permeado é despejado para um recipiente previamente tarado, durante um período de tempo cronometrado, sendo então medida a sua massa. Dividindo esta massa pela densidade da água à temperatura de trabal</w:t>
      </w:r>
      <w:r>
        <w:rPr>
          <w:rFonts w:ascii="Times New Roman" w:hAnsi="Times New Roman"/>
          <w:sz w:val="24"/>
        </w:rPr>
        <w:t>ho</w:t>
      </w:r>
      <w:r w:rsidRPr="00A60187">
        <w:rPr>
          <w:rFonts w:ascii="Times New Roman" w:hAnsi="Times New Roman"/>
          <w:sz w:val="24"/>
        </w:rPr>
        <w:t xml:space="preserve"> obtém-se o volume do fluxo permeado. Por sua vez o volume é dividido pela área da membrana e convertido para horas. A permeabilidade hidráulica (LP) equivale ao declive da recta (m), do fluxo da membrana em função da pressão transmembranar. A permeabilidade hidráulica da membrana NF270 foi cerca de 20,18</w:t>
      </w:r>
      <w:r>
        <w:rPr>
          <w:rFonts w:ascii="Times New Roman" w:hAnsi="Times New Roman"/>
          <w:sz w:val="24"/>
        </w:rPr>
        <w:t xml:space="preserve"> </w:t>
      </w:r>
      <w:r w:rsidRPr="00A60187">
        <w:rPr>
          <w:rFonts w:ascii="Times New Roman" w:hAnsi="Times New Roman"/>
          <w:sz w:val="24"/>
        </w:rPr>
        <w:t>L/m</w:t>
      </w:r>
      <w:r w:rsidRPr="00A60187">
        <w:rPr>
          <w:rFonts w:ascii="Times New Roman" w:hAnsi="Times New Roman"/>
          <w:sz w:val="24"/>
          <w:vertAlign w:val="superscript"/>
        </w:rPr>
        <w:t>2</w:t>
      </w:r>
      <w:r>
        <w:rPr>
          <w:rFonts w:ascii="Times New Roman" w:hAnsi="Times New Roman"/>
          <w:sz w:val="24"/>
        </w:rPr>
        <w:t>.h.bar</w:t>
      </w:r>
      <w:r w:rsidRPr="00A60187">
        <w:rPr>
          <w:rFonts w:ascii="Times New Roman" w:hAnsi="Times New Roman"/>
          <w:sz w:val="24"/>
        </w:rPr>
        <w:t xml:space="preserve">. </w:t>
      </w:r>
    </w:p>
    <w:p w:rsidR="004A53B1" w:rsidRPr="00A60187" w:rsidRDefault="004A53B1" w:rsidP="004A53B1">
      <w:pPr>
        <w:jc w:val="both"/>
        <w:rPr>
          <w:rFonts w:ascii="Times New Roman" w:hAnsi="Times New Roman"/>
          <w:sz w:val="24"/>
        </w:rPr>
      </w:pPr>
      <w:r>
        <w:tab/>
      </w:r>
      <w:r w:rsidRPr="00A60187">
        <w:rPr>
          <w:rFonts w:ascii="Times New Roman" w:hAnsi="Times New Roman"/>
          <w:sz w:val="24"/>
        </w:rPr>
        <w:t>Após este passo, adicionou-se o extracto bruto (EB) previamente preparado servindo de alimentação do sistema, e procedeu-se à sua permeação com as seguintes c</w:t>
      </w:r>
      <w:r w:rsidR="00280503">
        <w:rPr>
          <w:rFonts w:ascii="Times New Roman" w:hAnsi="Times New Roman"/>
          <w:sz w:val="24"/>
        </w:rPr>
        <w:t xml:space="preserve">ondições: pressão do sistema </w:t>
      </w:r>
      <w:r w:rsidRPr="00A60187">
        <w:rPr>
          <w:rFonts w:ascii="Times New Roman" w:hAnsi="Times New Roman"/>
          <w:sz w:val="24"/>
        </w:rPr>
        <w:t>20bar, caudal aproximadamente de 200L/h e tempera</w:t>
      </w:r>
      <w:r w:rsidR="00280503">
        <w:rPr>
          <w:rFonts w:ascii="Times New Roman" w:hAnsi="Times New Roman"/>
          <w:sz w:val="24"/>
        </w:rPr>
        <w:t>tura de operação entre os 30 e 4</w:t>
      </w:r>
      <w:r w:rsidRPr="00A60187">
        <w:rPr>
          <w:rFonts w:ascii="Times New Roman" w:hAnsi="Times New Roman"/>
          <w:sz w:val="24"/>
        </w:rPr>
        <w:t>0ºC. Deste procedimento resultaram dois extractos: Extracto Permeado e Extracto Retido, tendo se separado uma fracção do extracto bruto para a sua posterior caracterização bioquímica.</w:t>
      </w:r>
    </w:p>
    <w:p w:rsidR="004A53B1" w:rsidRPr="00A60187" w:rsidRDefault="004A53B1" w:rsidP="004A53B1">
      <w:pPr>
        <w:jc w:val="both"/>
        <w:rPr>
          <w:rFonts w:ascii="Times New Roman" w:hAnsi="Times New Roman"/>
          <w:sz w:val="24"/>
        </w:rPr>
      </w:pPr>
      <w:r w:rsidRPr="00A60187">
        <w:rPr>
          <w:rFonts w:ascii="Times New Roman" w:hAnsi="Times New Roman"/>
          <w:sz w:val="24"/>
        </w:rPr>
        <w:tab/>
        <w:t xml:space="preserve">Ambos os extractos resultantes do processo de nanofiltração, extracto Permeado e Retido, foram posteriormente concentrados por osmose inversa utilizando uma membrana polimérica comercial “Polyamide Thin-Film Composite” SW30HR-380. Foi feita a compactação da membrana antes da sua utilização de igual forma à descrita para a membrana NF270, e foi também realizada a sua caracterização/determinação da sua performance através do cálculo da permeabilidade hidráulica pela equação de </w:t>
      </w:r>
      <w:r w:rsidRPr="00A60187">
        <w:rPr>
          <w:rFonts w:ascii="Times New Roman" w:hAnsi="Times New Roman"/>
          <w:i/>
          <w:sz w:val="24"/>
        </w:rPr>
        <w:t xml:space="preserve">Darcy. </w:t>
      </w:r>
      <w:r w:rsidRPr="00A60187">
        <w:rPr>
          <w:rFonts w:ascii="Times New Roman" w:hAnsi="Times New Roman"/>
          <w:sz w:val="24"/>
        </w:rPr>
        <w:t>A permeabilidade hidráulica da membrana SW30HR-380 foi cerca de 1,1 L/m</w:t>
      </w:r>
      <w:r w:rsidRPr="00A60187">
        <w:rPr>
          <w:rFonts w:ascii="Times New Roman" w:hAnsi="Times New Roman"/>
          <w:sz w:val="24"/>
          <w:vertAlign w:val="superscript"/>
        </w:rPr>
        <w:t>2</w:t>
      </w:r>
      <w:r w:rsidRPr="00A60187">
        <w:rPr>
          <w:rFonts w:ascii="Times New Roman" w:hAnsi="Times New Roman"/>
          <w:sz w:val="24"/>
        </w:rPr>
        <w:t xml:space="preserve">.h.bar . A membrana SW30HR-380 caracteriza-se pela sua rejeição preferencial de sais, e permeação de água permitindo este processo a concentração dos extractos permeado e retido obtidos por nanofiltração. Deste procedimento resultaram 4 extractos diferentes: Extracto Permeado </w:t>
      </w:r>
      <w:r w:rsidRPr="00A60187">
        <w:rPr>
          <w:rFonts w:ascii="Times New Roman" w:hAnsi="Times New Roman"/>
          <w:i/>
          <w:sz w:val="24"/>
        </w:rPr>
        <w:t>permeado</w:t>
      </w:r>
      <w:r w:rsidRPr="00A60187">
        <w:rPr>
          <w:rFonts w:ascii="Times New Roman" w:hAnsi="Times New Roman"/>
          <w:sz w:val="24"/>
        </w:rPr>
        <w:t xml:space="preserve">, Extracto Permeado </w:t>
      </w:r>
      <w:r w:rsidRPr="00A60187">
        <w:rPr>
          <w:rFonts w:ascii="Times New Roman" w:hAnsi="Times New Roman"/>
          <w:i/>
          <w:sz w:val="24"/>
        </w:rPr>
        <w:t>retido</w:t>
      </w:r>
      <w:r w:rsidRPr="00A60187">
        <w:rPr>
          <w:rFonts w:ascii="Times New Roman" w:hAnsi="Times New Roman"/>
          <w:sz w:val="24"/>
        </w:rPr>
        <w:t xml:space="preserve"> (concentrado), Extracto Retido </w:t>
      </w:r>
      <w:r w:rsidRPr="00A60187">
        <w:rPr>
          <w:rFonts w:ascii="Times New Roman" w:hAnsi="Times New Roman"/>
          <w:i/>
          <w:sz w:val="24"/>
        </w:rPr>
        <w:t>permeado</w:t>
      </w:r>
      <w:r w:rsidRPr="00A60187">
        <w:rPr>
          <w:rFonts w:ascii="Times New Roman" w:hAnsi="Times New Roman"/>
          <w:sz w:val="24"/>
        </w:rPr>
        <w:t xml:space="preserve"> e Extracto Retido </w:t>
      </w:r>
      <w:r w:rsidRPr="00A60187">
        <w:rPr>
          <w:rFonts w:ascii="Times New Roman" w:hAnsi="Times New Roman"/>
          <w:i/>
          <w:sz w:val="24"/>
        </w:rPr>
        <w:t>retido</w:t>
      </w:r>
      <w:r w:rsidRPr="00A60187">
        <w:rPr>
          <w:rFonts w:ascii="Times New Roman" w:hAnsi="Times New Roman"/>
          <w:sz w:val="24"/>
        </w:rPr>
        <w:t xml:space="preserve"> (concentrado)</w:t>
      </w:r>
      <w:r w:rsidR="00E223FB">
        <w:rPr>
          <w:rFonts w:ascii="Times New Roman" w:hAnsi="Times New Roman"/>
          <w:sz w:val="24"/>
        </w:rPr>
        <w:t xml:space="preserve"> (Figura 13)</w:t>
      </w:r>
      <w:r w:rsidRPr="00A60187">
        <w:rPr>
          <w:rFonts w:ascii="Times New Roman" w:hAnsi="Times New Roman"/>
          <w:sz w:val="24"/>
        </w:rPr>
        <w:t xml:space="preserve">. Os extractos correspondentes aos permeados da osmose inversa foram rejeitados uma vez que são ricos em água, interessando os extractos rejeitados pelo sistema, ou seja os retidos, que sofreram a concentração pelo processo de osmose inversa. Assim seleccionaram-se de entre os quatro: Extracto Permeado Concentrado </w:t>
      </w:r>
      <w:r w:rsidRPr="00A60187">
        <w:rPr>
          <w:rFonts w:ascii="Times New Roman" w:hAnsi="Times New Roman"/>
          <w:b/>
          <w:sz w:val="24"/>
        </w:rPr>
        <w:t>(EPC)</w:t>
      </w:r>
      <w:r w:rsidRPr="00A60187">
        <w:rPr>
          <w:rFonts w:ascii="Times New Roman" w:hAnsi="Times New Roman"/>
          <w:sz w:val="24"/>
        </w:rPr>
        <w:t xml:space="preserve"> e Extracto Retido Concentrado </w:t>
      </w:r>
      <w:r w:rsidRPr="00A60187">
        <w:rPr>
          <w:rFonts w:ascii="Times New Roman" w:hAnsi="Times New Roman"/>
          <w:b/>
          <w:sz w:val="24"/>
        </w:rPr>
        <w:t xml:space="preserve">(ERC) </w:t>
      </w:r>
      <w:r w:rsidRPr="00A60187">
        <w:rPr>
          <w:rFonts w:ascii="Times New Roman" w:hAnsi="Times New Roman"/>
          <w:sz w:val="24"/>
        </w:rPr>
        <w:t>para a sua posterior caracterização bioquímica.</w:t>
      </w:r>
    </w:p>
    <w:p w:rsidR="004A53B1" w:rsidRDefault="004A53B1" w:rsidP="004A53B1">
      <w:pPr>
        <w:keepNext/>
        <w:jc w:val="center"/>
      </w:pPr>
    </w:p>
    <w:p w:rsidR="004A53B1" w:rsidRDefault="007B02FE" w:rsidP="004A53B1">
      <w:pPr>
        <w:keepNext/>
        <w:jc w:val="center"/>
      </w:pPr>
      <w:r>
        <w:rPr>
          <w:noProof/>
          <w:lang w:eastAsia="pt-PT"/>
        </w:rPr>
        <w:pict>
          <v:shape id="_x0000_s1046" type="#_x0000_t202" style="position:absolute;left:0;text-align:left;margin-left:239.65pt;margin-top:50.7pt;width:41.25pt;height:45.75pt;z-index:251678720" filled="f" stroked="f">
            <v:textbox style="mso-next-textbox:#_x0000_s1046">
              <w:txbxContent>
                <w:p w:rsidR="00B766F9" w:rsidRPr="00FC38B4" w:rsidRDefault="00B766F9" w:rsidP="004A53B1">
                  <w:pPr>
                    <w:rPr>
                      <w:b/>
                      <w:color w:val="262626" w:themeColor="text1" w:themeTint="D9"/>
                      <w:sz w:val="36"/>
                    </w:rPr>
                  </w:pPr>
                  <w:r w:rsidRPr="00FC38B4">
                    <w:rPr>
                      <w:b/>
                      <w:color w:val="262626" w:themeColor="text1" w:themeTint="D9"/>
                      <w:sz w:val="36"/>
                    </w:rPr>
                    <w:t>+</w:t>
                  </w:r>
                </w:p>
              </w:txbxContent>
            </v:textbox>
          </v:shape>
        </w:pict>
      </w:r>
      <w:r>
        <w:rPr>
          <w:noProof/>
          <w:lang w:eastAsia="pt-PT"/>
        </w:rPr>
        <w:pict>
          <v:rect id="_x0000_s1045" style="position:absolute;left:0;text-align:left;margin-left:179.3pt;margin-top:137.55pt;width:158.9pt;height:57.55pt;z-index:-251638784" fillcolor="#ddd8c2 [2894]" strokecolor="white [3212]">
            <v:textbox style="mso-next-textbox:#_x0000_s1045">
              <w:txbxContent>
                <w:p w:rsidR="00B766F9" w:rsidRDefault="00B766F9" w:rsidP="004A53B1">
                  <w:pPr>
                    <w:spacing w:after="0" w:line="360" w:lineRule="auto"/>
                  </w:pPr>
                </w:p>
                <w:p w:rsidR="00B766F9" w:rsidRPr="0030699F" w:rsidRDefault="00B766F9" w:rsidP="004A53B1">
                  <w:pPr>
                    <w:spacing w:after="0" w:line="240" w:lineRule="auto"/>
                    <w:rPr>
                      <w:sz w:val="28"/>
                    </w:rPr>
                  </w:pPr>
                </w:p>
                <w:p w:rsidR="00B766F9" w:rsidRPr="004E1BB9" w:rsidRDefault="00B766F9" w:rsidP="004A53B1">
                  <w:pPr>
                    <w:spacing w:after="0"/>
                    <w:jc w:val="center"/>
                    <w:rPr>
                      <w:b/>
                      <w:color w:val="595959" w:themeColor="text1" w:themeTint="A6"/>
                      <w:sz w:val="20"/>
                    </w:rPr>
                  </w:pPr>
                  <w:r w:rsidRPr="004E1BB9">
                    <w:rPr>
                      <w:b/>
                      <w:color w:val="595959" w:themeColor="text1" w:themeTint="A6"/>
                      <w:sz w:val="20"/>
                    </w:rPr>
                    <w:t>CONCENTRADOS</w:t>
                  </w:r>
                </w:p>
              </w:txbxContent>
            </v:textbox>
          </v:rect>
        </w:pict>
      </w:r>
      <w:r>
        <w:rPr>
          <w:noProof/>
          <w:lang w:eastAsia="pt-PT"/>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50" type="#_x0000_t90" style="position:absolute;left:0;text-align:left;margin-left:346.95pt;margin-top:136.25pt;width:48.75pt;height:45.75pt;rotation:180;flip:x y;z-index:251689984" adj="12000,16800,0" strokecolor="#7f7f7f [1612]"/>
        </w:pict>
      </w:r>
      <w:r>
        <w:rPr>
          <w:noProof/>
          <w:lang w:eastAsia="pt-PT"/>
        </w:rPr>
        <w:pict>
          <v:shape id="_x0000_s1049" type="#_x0000_t90" style="position:absolute;left:0;text-align:left;margin-left:349.2pt;margin-top:23.75pt;width:45pt;height:45.75pt;rotation:180;flip:x;z-index:251688960" adj="12000,16800,0" strokecolor="#7f7f7f [1612]"/>
        </w:pict>
      </w:r>
      <w:r>
        <w:rPr>
          <w:noProof/>
          <w:lang w:eastAsia="pt-PT"/>
        </w:rPr>
        <w:pict>
          <v:shape id="_x0000_s1051" type="#_x0000_t202" style="position:absolute;left:0;text-align:left;margin-left:334.2pt;margin-top:83pt;width:90pt;height:48.75pt;z-index:251691008" filled="f" stroked="f">
            <v:textbox style="mso-next-textbox:#_x0000_s1051">
              <w:txbxContent>
                <w:p w:rsidR="00B766F9" w:rsidRPr="00FC38B4" w:rsidRDefault="00B766F9" w:rsidP="004A53B1">
                  <w:pPr>
                    <w:jc w:val="center"/>
                    <w:rPr>
                      <w:b/>
                      <w:color w:val="8A0000"/>
                    </w:rPr>
                  </w:pPr>
                  <w:r w:rsidRPr="00FC38B4">
                    <w:rPr>
                      <w:b/>
                      <w:color w:val="8A0000"/>
                    </w:rPr>
                    <w:t>Caracterização Bioquímica</w:t>
                  </w:r>
                </w:p>
              </w:txbxContent>
            </v:textbox>
          </v:shape>
        </w:pict>
      </w:r>
      <w:r w:rsidR="004A53B1" w:rsidRPr="0030699F">
        <w:rPr>
          <w:noProof/>
          <w:lang w:eastAsia="pt-PT"/>
        </w:rPr>
        <w:drawing>
          <wp:inline distT="0" distB="0" distL="0" distR="0">
            <wp:extent cx="3673503" cy="2297927"/>
            <wp:effectExtent l="0" t="0" r="0" b="0"/>
            <wp:docPr id="19" name="Objec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4816" cy="4110628"/>
                      <a:chOff x="539552" y="2276872"/>
                      <a:chExt cx="7344816" cy="4110628"/>
                    </a:xfrm>
                  </a:grpSpPr>
                  <a:grpSp>
                    <a:nvGrpSpPr>
                      <a:cNvPr id="4" name="Grupo 3"/>
                      <a:cNvGrpSpPr/>
                    </a:nvGrpSpPr>
                    <a:grpSpPr>
                      <a:xfrm>
                        <a:off x="539552" y="2276872"/>
                        <a:ext cx="7344816" cy="4110628"/>
                        <a:chOff x="852263" y="2101304"/>
                        <a:chExt cx="8504634" cy="4496047"/>
                      </a:xfrm>
                    </a:grpSpPr>
                    <a:grpSp>
                      <a:nvGrpSpPr>
                        <a:cNvPr id="3" name="Grupo 11"/>
                        <a:cNvGrpSpPr/>
                      </a:nvGrpSpPr>
                      <a:grpSpPr>
                        <a:xfrm>
                          <a:off x="852263" y="2101304"/>
                          <a:ext cx="8504634" cy="4496047"/>
                          <a:chOff x="179512" y="764704"/>
                          <a:chExt cx="8504647" cy="4496047"/>
                        </a:xfrm>
                      </a:grpSpPr>
                      <a:sp>
                        <a:nvSpPr>
                          <a:cNvPr id="7" name="CaixaDeTexto 6"/>
                          <a:cNvSpPr txBox="1"/>
                        </a:nvSpPr>
                        <a:spPr>
                          <a:xfrm>
                            <a:off x="179512" y="2267887"/>
                            <a:ext cx="2699792" cy="706932"/>
                          </a:xfrm>
                          <a:prstGeom prst="rect">
                            <a:avLst/>
                          </a:prstGeom>
                          <a:noFill/>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b="1" dirty="0" smtClean="0">
                                  <a:effectLst>
                                    <a:outerShdw blurRad="38100" dist="38100" dir="2700000" algn="tl">
                                      <a:srgbClr val="000000">
                                        <a:alpha val="43137"/>
                                      </a:srgbClr>
                                    </a:outerShdw>
                                  </a:effectLst>
                                </a:rPr>
                                <a:t>NANOFILTRAÇÃO</a:t>
                              </a:r>
                            </a:p>
                            <a:p>
                              <a:pPr algn="ctr"/>
                              <a:r>
                                <a:rPr lang="pt-PT" b="1" dirty="0" smtClean="0">
                                  <a:effectLst>
                                    <a:outerShdw blurRad="38100" dist="38100" dir="2700000" algn="tl">
                                      <a:srgbClr val="000000">
                                        <a:alpha val="43137"/>
                                      </a:srgbClr>
                                    </a:outerShdw>
                                  </a:effectLst>
                                </a:rPr>
                                <a:t>NF270</a:t>
                              </a:r>
                            </a:p>
                          </a:txBody>
                          <a:useSpRect/>
                        </a:txSp>
                      </a:sp>
                      <a:sp>
                        <a:nvSpPr>
                          <a:cNvPr id="8" name="CaixaDeTexto 7"/>
                          <a:cNvSpPr txBox="1"/>
                        </a:nvSpPr>
                        <a:spPr>
                          <a:xfrm>
                            <a:off x="179512" y="3717032"/>
                            <a:ext cx="2699792" cy="706932"/>
                          </a:xfrm>
                          <a:prstGeom prst="rect">
                            <a:avLst/>
                          </a:prstGeom>
                          <a:noFill/>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b="1" dirty="0" smtClean="0">
                                  <a:effectLst>
                                    <a:outerShdw blurRad="38100" dist="38100" dir="2700000" algn="tl">
                                      <a:srgbClr val="000000">
                                        <a:alpha val="43137"/>
                                      </a:srgbClr>
                                    </a:outerShdw>
                                  </a:effectLst>
                                </a:rPr>
                                <a:t>OSMOSE INVERSA</a:t>
                              </a:r>
                            </a:p>
                            <a:p>
                              <a:pPr algn="ctr"/>
                              <a:r>
                                <a:rPr lang="pt-PT" b="1" dirty="0" smtClean="0">
                                  <a:effectLst>
                                    <a:outerShdw blurRad="38100" dist="38100" dir="2700000" algn="tl">
                                      <a:srgbClr val="000000">
                                        <a:alpha val="43137"/>
                                      </a:srgbClr>
                                    </a:outerShdw>
                                  </a:effectLst>
                                </a:rPr>
                                <a:t>SW30HR-380</a:t>
                              </a:r>
                              <a:endParaRPr lang="pt-PT" b="1" dirty="0">
                                <a:effectLst>
                                  <a:outerShdw blurRad="38100" dist="38100" dir="2700000" algn="tl">
                                    <a:srgbClr val="000000">
                                      <a:alpha val="43137"/>
                                    </a:srgbClr>
                                  </a:outerShdw>
                                </a:effectLst>
                              </a:endParaRPr>
                            </a:p>
                          </a:txBody>
                          <a:useSpRect/>
                        </a:txSp>
                      </a:sp>
                      <a:grpSp>
                        <a:nvGrpSpPr>
                          <a:cNvPr id="9" name="Grupo 24"/>
                          <a:cNvGrpSpPr/>
                        </a:nvGrpSpPr>
                        <a:grpSpPr>
                          <a:xfrm>
                            <a:off x="429649" y="764704"/>
                            <a:ext cx="8254510" cy="4496047"/>
                            <a:chOff x="429649" y="764704"/>
                            <a:chExt cx="8254510" cy="4496047"/>
                          </a:xfrm>
                        </a:grpSpPr>
                        <a:graphicFrame>
                          <a:nvGraphicFramePr>
                            <a:cNvPr id="10" name="Diagrama 9"/>
                            <a:cNvGraphicFramePr/>
                          </a:nvGraphicFramePr>
                          <a:graphic>
                            <a:graphicData uri="http://schemas.openxmlformats.org/drawingml/2006/diagram">
                              <dgm:relIds xmlns:dgm="http://schemas.openxmlformats.org/drawingml/2006/diagram" xmlns:r="http://schemas.openxmlformats.org/officeDocument/2006/relationships" r:dm="rId29" r:lo="rId30" r:qs="rId31" r:cs="rId32"/>
                            </a:graphicData>
                          </a:graphic>
                          <a:xfrm>
                            <a:off x="2872385" y="1952850"/>
                            <a:ext cx="4727849" cy="3307901"/>
                          </a:xfrm>
                        </a:graphicFrame>
                        <a:sp>
                          <a:nvSpPr>
                            <a:cNvPr id="11" name="CaixaDeTexto 10"/>
                            <a:cNvSpPr txBox="1"/>
                          </a:nvSpPr>
                          <a:spPr>
                            <a:xfrm>
                              <a:off x="429649" y="771454"/>
                              <a:ext cx="2582301" cy="707648"/>
                            </a:xfrm>
                            <a:prstGeom prst="roundRect">
                              <a:avLst/>
                            </a:prstGeom>
                            <a:solidFill>
                              <a:srgbClr val="92D050"/>
                            </a:solidFill>
                            <a:ln>
                              <a:no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sz="1600" b="1" dirty="0" smtClean="0">
                                    <a:solidFill>
                                      <a:srgbClr val="043E0A"/>
                                    </a:solidFill>
                                    <a:effectLst>
                                      <a:outerShdw blurRad="50800" dist="38100" dir="2700000" algn="tl" rotWithShape="0">
                                        <a:prstClr val="black">
                                          <a:alpha val="40000"/>
                                        </a:prstClr>
                                      </a:outerShdw>
                                      <a:reflection blurRad="6350" stA="55000" endA="300" endPos="45500" dir="5400000" sy="-100000" algn="bl" rotWithShape="0"/>
                                    </a:effectLst>
                                  </a:rPr>
                                  <a:t>EXTRACTO AQUOSO (BRUTO) DE BAE</a:t>
                                </a:r>
                                <a:endParaRPr lang="pt-PT" sz="1600" b="1" dirty="0">
                                  <a:solidFill>
                                    <a:srgbClr val="043E0A"/>
                                  </a:solidFill>
                                  <a:effectLst>
                                    <a:outerShdw blurRad="50800" dist="38100" dir="2700000" algn="tl" rotWithShape="0">
                                      <a:prstClr val="black">
                                        <a:alpha val="40000"/>
                                      </a:prstClr>
                                    </a:outerShdw>
                                    <a:reflection blurRad="6350" stA="55000" endA="300" endPos="45500" dir="5400000" sy="-100000" algn="bl" rotWithShape="0"/>
                                  </a:effectLst>
                                </a:endParaRPr>
                              </a:p>
                            </a:txBody>
                            <a:useSpRect/>
                          </a:txSp>
                        </a:sp>
                        <a:sp>
                          <a:nvSpPr>
                            <a:cNvPr id="12" name="Seta para baixo 11"/>
                            <a:cNvSpPr/>
                          </a:nvSpPr>
                          <a:spPr>
                            <a:xfrm>
                              <a:off x="1547663" y="1829088"/>
                              <a:ext cx="360040" cy="360040"/>
                            </a:xfrm>
                            <a:prstGeom prst="downArrow">
                              <a:avLst/>
                            </a:prstGeom>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6"/>
                            </a:lnRef>
                            <a:fillRef idx="3">
                              <a:schemeClr val="accent6"/>
                            </a:fillRef>
                            <a:effectRef idx="3">
                              <a:schemeClr val="accent6"/>
                            </a:effectRef>
                            <a:fontRef idx="minor">
                              <a:schemeClr val="lt1"/>
                            </a:fontRef>
                          </a:style>
                        </a:sp>
                        <a:sp>
                          <a:nvSpPr>
                            <a:cNvPr id="13" name="Seta para baixo 12"/>
                            <a:cNvSpPr/>
                          </a:nvSpPr>
                          <a:spPr>
                            <a:xfrm>
                              <a:off x="1547664" y="3325519"/>
                              <a:ext cx="360040" cy="360040"/>
                            </a:xfrm>
                            <a:prstGeom prst="downArrow">
                              <a:avLst/>
                            </a:prstGeom>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6"/>
                            </a:lnRef>
                            <a:fillRef idx="3">
                              <a:schemeClr val="accent6"/>
                            </a:fillRef>
                            <a:effectRef idx="3">
                              <a:schemeClr val="accent6"/>
                            </a:effectRef>
                            <a:fontRef idx="minor">
                              <a:schemeClr val="lt1"/>
                            </a:fontRef>
                          </a:style>
                        </a:sp>
                        <a:sp>
                          <a:nvSpPr>
                            <a:cNvPr id="14" name="Chaveta à direita 13"/>
                            <a:cNvSpPr/>
                          </a:nvSpPr>
                          <a:spPr>
                            <a:xfrm>
                              <a:off x="2597500" y="3140968"/>
                              <a:ext cx="432048" cy="1872208"/>
                            </a:xfrm>
                            <a:prstGeom prst="rightBrace">
                              <a:avLst>
                                <a:gd name="adj1" fmla="val 11492"/>
                                <a:gd name="adj2" fmla="val 49271"/>
                              </a:avLst>
                            </a:prstGeom>
                            <a:ln w="28575">
                              <a:solidFill>
                                <a:schemeClr val="tx1"/>
                              </a:solidFill>
                              <a:prstDash val="sysDot"/>
                            </a:ln>
                          </a:spPr>
                          <a:txSp>
                            <a:txBody>
                              <a:bodyPr rtlCol="0"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pt-PT"/>
                              </a:p>
                            </a:txBody>
                            <a:useSpRect/>
                          </a:txSp>
                          <a:style>
                            <a:lnRef idx="1">
                              <a:schemeClr val="accent1"/>
                            </a:lnRef>
                            <a:fillRef idx="0">
                              <a:schemeClr val="accent1"/>
                            </a:fillRef>
                            <a:effectRef idx="0">
                              <a:schemeClr val="accent1"/>
                            </a:effectRef>
                            <a:fontRef idx="minor">
                              <a:schemeClr val="tx1"/>
                            </a:fontRef>
                          </a:style>
                        </a:sp>
                        <a:sp>
                          <a:nvSpPr>
                            <a:cNvPr id="15" name="Seta para baixo 14"/>
                            <a:cNvSpPr/>
                          </a:nvSpPr>
                          <a:spPr>
                            <a:xfrm rot="16200000">
                              <a:off x="3347864" y="908720"/>
                              <a:ext cx="360040" cy="360040"/>
                            </a:xfrm>
                            <a:prstGeom prst="downArrow">
                              <a:avLst/>
                            </a:prstGeom>
                          </a:spPr>
                          <a:txSp>
                            <a:txBody>
                              <a:bodyPr rtlCol="0" anchor="ctr"/>
                              <a:lstStyle>
                                <a:defPPr>
                                  <a:defRPr lang="pt-P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PT"/>
                              </a:p>
                            </a:txBody>
                            <a:useSpRect/>
                          </a:txSp>
                          <a:style>
                            <a:lnRef idx="0">
                              <a:schemeClr val="accent6"/>
                            </a:lnRef>
                            <a:fillRef idx="3">
                              <a:schemeClr val="accent6"/>
                            </a:fillRef>
                            <a:effectRef idx="3">
                              <a:schemeClr val="accent6"/>
                            </a:effectRef>
                            <a:fontRef idx="minor">
                              <a:schemeClr val="lt1"/>
                            </a:fontRef>
                          </a:style>
                        </a:sp>
                        <a:sp>
                          <a:nvSpPr>
                            <a:cNvPr id="16" name="CaixaDeTexto 15"/>
                            <a:cNvSpPr txBox="1"/>
                          </a:nvSpPr>
                          <a:spPr>
                            <a:xfrm>
                              <a:off x="3779910" y="764704"/>
                              <a:ext cx="4904249" cy="706932"/>
                            </a:xfrm>
                            <a:prstGeom prst="rect">
                              <a:avLst/>
                            </a:prstGeom>
                            <a:noFill/>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PT" b="1" dirty="0" smtClean="0">
                                    <a:solidFill>
                                      <a:schemeClr val="bg1">
                                        <a:lumMod val="50000"/>
                                      </a:schemeClr>
                                    </a:solidFill>
                                  </a:rPr>
                                  <a:t>Congelados 280mL a -20ºC para posterior caracterização do </a:t>
                                </a:r>
                                <a:r>
                                  <a:rPr lang="pt-PT" b="1" u="sng" dirty="0" smtClean="0">
                                    <a:solidFill>
                                      <a:schemeClr val="bg1">
                                        <a:lumMod val="50000"/>
                                      </a:schemeClr>
                                    </a:solidFill>
                                  </a:rPr>
                                  <a:t>extracto bruto</a:t>
                                </a:r>
                                <a:endParaRPr lang="pt-PT" b="1" u="sng" dirty="0">
                                  <a:solidFill>
                                    <a:schemeClr val="bg1">
                                      <a:lumMod val="50000"/>
                                    </a:schemeClr>
                                  </a:solidFill>
                                </a:endParaRPr>
                              </a:p>
                            </a:txBody>
                            <a:useSpRect/>
                          </a:txSp>
                        </a:sp>
                      </a:grpSp>
                    </a:grpSp>
                    <a:sp>
                      <a:nvSpPr>
                        <a:cNvPr id="6" name="Chaveta à direita 5"/>
                        <a:cNvSpPr/>
                      </a:nvSpPr>
                      <a:spPr>
                        <a:xfrm>
                          <a:off x="3317580" y="3212976"/>
                          <a:ext cx="251520" cy="1152128"/>
                        </a:xfrm>
                        <a:prstGeom prst="rightBrace">
                          <a:avLst>
                            <a:gd name="adj1" fmla="val 11492"/>
                            <a:gd name="adj2" fmla="val 49271"/>
                          </a:avLst>
                        </a:prstGeom>
                        <a:ln w="28575">
                          <a:solidFill>
                            <a:schemeClr val="tx1"/>
                          </a:solidFill>
                          <a:prstDash val="sysDot"/>
                        </a:ln>
                      </a:spPr>
                      <a:txSp>
                        <a:txBody>
                          <a:bodyPr rtlCol="0" anchor="ct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pt-PT"/>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4A53B1" w:rsidRDefault="004A53B1" w:rsidP="004A53B1">
      <w:pPr>
        <w:pStyle w:val="Legenda"/>
        <w:jc w:val="center"/>
      </w:pPr>
    </w:p>
    <w:p w:rsidR="004A53B1" w:rsidRPr="00FC38B4" w:rsidRDefault="004A53B1" w:rsidP="004A53B1">
      <w:pPr>
        <w:pStyle w:val="Legenda"/>
        <w:jc w:val="both"/>
        <w:rPr>
          <w:rFonts w:ascii="Times New Roman" w:hAnsi="Times New Roman"/>
          <w:b w:val="0"/>
          <w:color w:val="auto"/>
          <w:sz w:val="20"/>
          <w:szCs w:val="20"/>
        </w:rPr>
      </w:pPr>
      <w:r w:rsidRPr="00FC38B4">
        <w:rPr>
          <w:rFonts w:ascii="Times New Roman" w:hAnsi="Times New Roman"/>
          <w:sz w:val="20"/>
          <w:szCs w:val="20"/>
        </w:rPr>
        <w:t xml:space="preserve">Figura </w:t>
      </w:r>
      <w:r>
        <w:rPr>
          <w:rFonts w:ascii="Times New Roman" w:hAnsi="Times New Roman"/>
          <w:sz w:val="20"/>
          <w:szCs w:val="20"/>
        </w:rPr>
        <w:t>13</w:t>
      </w:r>
      <w:r w:rsidRPr="00FC38B4">
        <w:rPr>
          <w:rFonts w:ascii="Times New Roman" w:hAnsi="Times New Roman"/>
          <w:sz w:val="20"/>
          <w:szCs w:val="20"/>
        </w:rPr>
        <w:t xml:space="preserve"> - </w:t>
      </w:r>
      <w:r w:rsidRPr="00FC38B4">
        <w:rPr>
          <w:rFonts w:ascii="Times New Roman" w:hAnsi="Times New Roman"/>
          <w:b w:val="0"/>
          <w:color w:val="auto"/>
          <w:sz w:val="20"/>
          <w:szCs w:val="20"/>
        </w:rPr>
        <w:t>Representação esquemática da obtenção de extractos aquosos concentrados de bagaço de azeitona extractado a partir do extracto bruto pela tecnologia limpa de membranas nanofiltração e osmose inversa (fonte própria).</w:t>
      </w:r>
    </w:p>
    <w:p w:rsidR="000C625A" w:rsidRDefault="004A53B1" w:rsidP="000C625A">
      <w:pPr>
        <w:spacing w:after="0"/>
        <w:jc w:val="both"/>
        <w:rPr>
          <w:rFonts w:ascii="Times New Roman" w:hAnsi="Times New Roman"/>
          <w:sz w:val="24"/>
        </w:rPr>
      </w:pPr>
      <w:r>
        <w:tab/>
      </w:r>
      <w:r w:rsidRPr="009F2D9D">
        <w:rPr>
          <w:rFonts w:ascii="Times New Roman" w:hAnsi="Times New Roman"/>
          <w:sz w:val="24"/>
        </w:rPr>
        <w:t xml:space="preserve">Foi calculado o rendimento </w:t>
      </w:r>
      <w:r w:rsidR="000C625A" w:rsidRPr="009F2D9D">
        <w:rPr>
          <w:rFonts w:ascii="Times New Roman" w:hAnsi="Times New Roman"/>
          <w:sz w:val="24"/>
        </w:rPr>
        <w:t xml:space="preserve">do processo </w:t>
      </w:r>
      <w:r w:rsidR="000C625A">
        <w:rPr>
          <w:rFonts w:ascii="Times New Roman" w:hAnsi="Times New Roman"/>
          <w:sz w:val="24"/>
        </w:rPr>
        <w:t>de separação por membranas pela seguinte expressão:</w:t>
      </w:r>
    </w:p>
    <w:p w:rsidR="000C625A" w:rsidRDefault="000C625A" w:rsidP="000C625A">
      <w:pPr>
        <w:spacing w:after="0"/>
        <w:jc w:val="both"/>
        <w:rPr>
          <w:rFonts w:ascii="Times New Roman" w:hAnsi="Times New Roman"/>
          <w:sz w:val="24"/>
        </w:rPr>
      </w:pPr>
    </w:p>
    <w:p w:rsidR="004A53B1" w:rsidRPr="000C625A" w:rsidRDefault="004A53B1" w:rsidP="000C625A">
      <w:pPr>
        <w:jc w:val="both"/>
      </w:pPr>
      <m:oMathPara>
        <m:oMath>
          <m:r>
            <w:rPr>
              <w:rFonts w:ascii="Cambria Math" w:hAnsi="Cambria Math"/>
            </w:rPr>
            <m:t xml:space="preserve">η </m:t>
          </m:r>
          <m:r>
            <m:rPr>
              <m:sty m:val="p"/>
            </m:rPr>
            <w:rPr>
              <w:rFonts w:ascii="Cambria Math" w:hAnsi="Cambria Math"/>
            </w:rPr>
            <m:t xml:space="preserve">Processo de separação por membranas= </m:t>
          </m:r>
          <m:f>
            <m:fPr>
              <m:ctrlPr>
                <w:rPr>
                  <w:rFonts w:ascii="Cambria Math" w:hAnsi="Cambria Math"/>
                </w:rPr>
              </m:ctrlPr>
            </m:fPr>
            <m:num>
              <m:r>
                <m:rPr>
                  <m:sty m:val="p"/>
                </m:rPr>
                <w:rPr>
                  <w:rFonts w:ascii="Cambria Math" w:hAnsi="Cambria Math"/>
                </w:rPr>
                <m:t xml:space="preserve">Concentração de Hidroxitirosol no EPC </m:t>
              </m:r>
            </m:num>
            <m:den>
              <m:r>
                <m:rPr>
                  <m:sty m:val="p"/>
                </m:rPr>
                <w:rPr>
                  <w:rFonts w:ascii="Cambria Math" w:hAnsi="Cambria Math"/>
                </w:rPr>
                <m:t xml:space="preserve">Concentração de Hidroxitirosol no EB </m:t>
              </m:r>
            </m:den>
          </m:f>
          <m:r>
            <m:rPr>
              <m:sty m:val="p"/>
            </m:rPr>
            <w:rPr>
              <w:rFonts w:ascii="Cambria Math" w:hAnsi="Cambria Math"/>
            </w:rPr>
            <m:t xml:space="preserve"> x 100</m:t>
          </m:r>
        </m:oMath>
      </m:oMathPara>
    </w:p>
    <w:p w:rsidR="004A53B1" w:rsidRPr="009F2D9D" w:rsidRDefault="004A53B1" w:rsidP="004A53B1">
      <w:pPr>
        <w:spacing w:after="0"/>
        <w:jc w:val="center"/>
      </w:pPr>
    </w:p>
    <w:p w:rsidR="004A53B1" w:rsidRPr="004A53B1" w:rsidRDefault="004A53B1" w:rsidP="004A53B1">
      <w:pPr>
        <w:jc w:val="both"/>
        <w:rPr>
          <w:rFonts w:ascii="Times New Roman" w:hAnsi="Times New Roman"/>
          <w:sz w:val="24"/>
        </w:rPr>
      </w:pPr>
      <w:r>
        <w:tab/>
      </w:r>
      <w:r w:rsidRPr="009A09C5">
        <w:rPr>
          <w:rFonts w:ascii="Times New Roman" w:hAnsi="Times New Roman"/>
          <w:sz w:val="24"/>
        </w:rPr>
        <w:t xml:space="preserve">Este cálculo apenas foi possível após a quantificação do composto fenólico Hidroxitirosol em cada extracto por HPLC, que se encontra descrita mais à frente neste documento. </w:t>
      </w:r>
      <w:r w:rsidRPr="00FC38B4">
        <w:rPr>
          <w:rFonts w:ascii="Times New Roman" w:hAnsi="Times New Roman"/>
          <w:sz w:val="24"/>
        </w:rPr>
        <w:t xml:space="preserve">Todo o processo de nanofiltração e osmose inversa anteriormente descrito, foi realizado no sistema de membranas </w:t>
      </w:r>
      <w:r w:rsidRPr="00C960F5">
        <w:rPr>
          <w:rFonts w:ascii="Times New Roman" w:hAnsi="Times New Roman"/>
          <w:i/>
          <w:sz w:val="24"/>
        </w:rPr>
        <w:t>SEPA-CELL CF</w:t>
      </w:r>
      <w:r w:rsidRPr="00C960F5">
        <w:rPr>
          <w:rFonts w:ascii="Palatino-Roman" w:hAnsi="Palatino-Roman" w:cs="Palatino-Roman"/>
          <w:sz w:val="20"/>
          <w:szCs w:val="20"/>
          <w:lang w:eastAsia="pt-PT"/>
        </w:rPr>
        <w:t xml:space="preserve"> </w:t>
      </w:r>
      <w:r w:rsidRPr="00C960F5">
        <w:rPr>
          <w:rFonts w:ascii="Times New Roman" w:hAnsi="Times New Roman"/>
          <w:i/>
          <w:sz w:val="24"/>
        </w:rPr>
        <w:t>cross-flow module II system</w:t>
      </w:r>
      <w:r w:rsidRPr="00FC38B4">
        <w:rPr>
          <w:rFonts w:ascii="Times New Roman" w:hAnsi="Times New Roman"/>
          <w:color w:val="FF0000"/>
          <w:sz w:val="24"/>
        </w:rPr>
        <w:t xml:space="preserve"> </w:t>
      </w:r>
      <w:r w:rsidRPr="00A57F70">
        <w:rPr>
          <w:rFonts w:ascii="Times New Roman" w:hAnsi="Times New Roman"/>
          <w:sz w:val="24"/>
        </w:rPr>
        <w:t>(</w:t>
      </w:r>
      <w:r w:rsidRPr="00A57F70">
        <w:rPr>
          <w:rFonts w:ascii="Times New Roman" w:hAnsi="Times New Roman"/>
          <w:i/>
          <w:sz w:val="24"/>
        </w:rPr>
        <w:t>GE Osmonics, USA</w:t>
      </w:r>
      <w:r w:rsidRPr="00A57F70">
        <w:rPr>
          <w:rFonts w:ascii="Times New Roman" w:hAnsi="Times New Roman"/>
          <w:sz w:val="24"/>
        </w:rPr>
        <w:t>)</w:t>
      </w:r>
      <w:r w:rsidRPr="00FC38B4">
        <w:rPr>
          <w:rFonts w:ascii="Times New Roman" w:hAnsi="Times New Roman"/>
          <w:sz w:val="24"/>
        </w:rPr>
        <w:t xml:space="preserve"> seguindo o protocolo descrito no seu manual de utilização apresentado </w:t>
      </w:r>
      <w:r>
        <w:rPr>
          <w:rFonts w:ascii="Times New Roman" w:hAnsi="Times New Roman"/>
          <w:sz w:val="24"/>
        </w:rPr>
        <w:t>nos anexos (anexo 1)</w:t>
      </w:r>
      <w:r w:rsidRPr="00FC38B4">
        <w:rPr>
          <w:rFonts w:ascii="Times New Roman" w:hAnsi="Times New Roman"/>
          <w:sz w:val="24"/>
        </w:rPr>
        <w:t>.</w:t>
      </w:r>
    </w:p>
    <w:p w:rsidR="004A53B1" w:rsidRDefault="004A53B1" w:rsidP="004A53B1">
      <w:pPr>
        <w:pStyle w:val="PargrafodaLista"/>
        <w:jc w:val="both"/>
      </w:pPr>
    </w:p>
    <w:p w:rsidR="004A53B1" w:rsidRDefault="007B02FE" w:rsidP="004A53B1">
      <w:pPr>
        <w:pStyle w:val="PargrafodaLista"/>
        <w:jc w:val="both"/>
      </w:pPr>
      <w:r>
        <w:rPr>
          <w:noProof/>
          <w:lang w:eastAsia="pt-PT"/>
        </w:rPr>
        <w:pict>
          <v:roundrect id="_x0000_s1038" style="position:absolute;left:0;text-align:left;margin-left:141.45pt;margin-top:3.2pt;width:174.2pt;height:19.75pt;z-index:251670528" arcsize="10923f" fillcolor="#d8d8d8 [2732]" stroked="f">
            <v:textbox style="mso-next-textbox:#_x0000_s1038">
              <w:txbxContent>
                <w:p w:rsidR="00B766F9" w:rsidRPr="00FC38B4" w:rsidRDefault="00B766F9" w:rsidP="004A53B1">
                  <w:pPr>
                    <w:jc w:val="center"/>
                    <w:rPr>
                      <w:b/>
                      <w:color w:val="000000" w:themeColor="text1"/>
                    </w:rPr>
                  </w:pPr>
                  <w:r w:rsidRPr="00FC38B4">
                    <w:rPr>
                      <w:b/>
                      <w:color w:val="000000" w:themeColor="text1"/>
                    </w:rPr>
                    <w:t xml:space="preserve">Modelo de Filtração </w:t>
                  </w:r>
                  <w:r w:rsidRPr="00FC38B4">
                    <w:rPr>
                      <w:b/>
                      <w:i/>
                      <w:color w:val="000000" w:themeColor="text1"/>
                    </w:rPr>
                    <w:t>Cross</w:t>
                  </w:r>
                  <w:r>
                    <w:rPr>
                      <w:b/>
                      <w:i/>
                      <w:color w:val="000000" w:themeColor="text1"/>
                    </w:rPr>
                    <w:t>-</w:t>
                  </w:r>
                  <w:r w:rsidRPr="00FC38B4">
                    <w:rPr>
                      <w:b/>
                      <w:i/>
                      <w:color w:val="000000" w:themeColor="text1"/>
                    </w:rPr>
                    <w:t>flow</w:t>
                  </w:r>
                </w:p>
              </w:txbxContent>
            </v:textbox>
          </v:roundrect>
        </w:pict>
      </w:r>
      <w:r>
        <w:rPr>
          <w:noProof/>
          <w:lang w:eastAsia="pt-PT"/>
        </w:rPr>
        <w:pict>
          <v:roundrect id="_x0000_s1037" style="position:absolute;left:0;text-align:left;margin-left:46.45pt;margin-top:3.25pt;width:337.45pt;height:137.85pt;z-index:-251648000" arcsize="10923f" fillcolor="#5a5a5a [2109]" stroked="f">
            <v:shadow on="t" opacity=".5" offset="6pt,-6pt"/>
          </v:roundrect>
        </w:pict>
      </w:r>
    </w:p>
    <w:p w:rsidR="004A53B1" w:rsidRDefault="004A53B1" w:rsidP="004A53B1">
      <w:pPr>
        <w:jc w:val="both"/>
      </w:pPr>
      <w:r>
        <w:rPr>
          <w:noProof/>
          <w:lang w:eastAsia="pt-PT"/>
        </w:rPr>
        <w:drawing>
          <wp:anchor distT="0" distB="0" distL="114300" distR="114300" simplePos="0" relativeHeight="251669504" behindDoc="1" locked="0" layoutInCell="1" allowOverlap="1">
            <wp:simplePos x="0" y="0"/>
            <wp:positionH relativeFrom="column">
              <wp:posOffset>1617980</wp:posOffset>
            </wp:positionH>
            <wp:positionV relativeFrom="paragraph">
              <wp:posOffset>52705</wp:posOffset>
            </wp:positionV>
            <wp:extent cx="2707640" cy="1152525"/>
            <wp:effectExtent l="19050" t="0" r="0" b="0"/>
            <wp:wrapTight wrapText="bothSides">
              <wp:wrapPolygon edited="0">
                <wp:start x="-152" y="0"/>
                <wp:lineTo x="-152" y="21421"/>
                <wp:lineTo x="21580" y="21421"/>
                <wp:lineTo x="21580" y="0"/>
                <wp:lineTo x="-152" y="0"/>
              </wp:wrapPolygon>
            </wp:wrapTight>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r="7516" b="11679"/>
                    <a:stretch>
                      <a:fillRect/>
                    </a:stretch>
                  </pic:blipFill>
                  <pic:spPr bwMode="auto">
                    <a:xfrm>
                      <a:off x="0" y="0"/>
                      <a:ext cx="2707640" cy="1152525"/>
                    </a:xfrm>
                    <a:prstGeom prst="rect">
                      <a:avLst/>
                    </a:prstGeom>
                    <a:noFill/>
                    <a:ln w="9525">
                      <a:noFill/>
                      <a:miter lim="800000"/>
                      <a:headEnd/>
                      <a:tailEnd/>
                    </a:ln>
                  </pic:spPr>
                </pic:pic>
              </a:graphicData>
            </a:graphic>
          </wp:anchor>
        </w:drawing>
      </w:r>
      <w:r w:rsidR="007B02FE">
        <w:rPr>
          <w:noProof/>
          <w:lang w:eastAsia="pt-PT"/>
        </w:rPr>
        <w:pict>
          <v:roundrect id="_x0000_s1043" style="position:absolute;left:0;text-align:left;margin-left:70.95pt;margin-top:72.4pt;width:103.5pt;height:28.5pt;z-index:251675648;mso-position-horizontal-relative:text;mso-position-vertical-relative:text" arcsize="10923f" filled="f" stroked="f">
            <v:textbox style="mso-next-textbox:#_x0000_s1043">
              <w:txbxContent>
                <w:p w:rsidR="00B766F9" w:rsidRPr="00FC38B4" w:rsidRDefault="00B766F9" w:rsidP="004A53B1">
                  <w:pPr>
                    <w:jc w:val="center"/>
                    <w:rPr>
                      <w:b/>
                      <w:color w:val="FFFFFF" w:themeColor="background1"/>
                    </w:rPr>
                  </w:pPr>
                  <w:r w:rsidRPr="00FC38B4">
                    <w:rPr>
                      <w:b/>
                      <w:color w:val="FFC000"/>
                    </w:rPr>
                    <w:t xml:space="preserve"> </w:t>
                  </w:r>
                  <w:r w:rsidRPr="00FC38B4">
                    <w:rPr>
                      <w:b/>
                      <w:color w:val="FFFFFF" w:themeColor="background1"/>
                    </w:rPr>
                    <w:t xml:space="preserve">MEMBRANA </w:t>
                  </w:r>
                </w:p>
              </w:txbxContent>
            </v:textbox>
          </v:roundrect>
        </w:pict>
      </w:r>
      <w:r w:rsidR="007B02FE">
        <w:rPr>
          <w:noProof/>
          <w:lang w:eastAsia="pt-PT"/>
        </w:rPr>
        <w:pict>
          <v:roundrect id="_x0000_s1041" style="position:absolute;left:0;text-align:left;margin-left:193.2pt;margin-top:92.65pt;width:175.5pt;height:23.05pt;z-index:251673600;mso-position-horizontal-relative:text;mso-position-vertical-relative:text" arcsize="10923f" filled="f" stroked="f">
            <v:textbox style="mso-next-textbox:#_x0000_s1041">
              <w:txbxContent>
                <w:p w:rsidR="00B766F9" w:rsidRPr="00FC38B4" w:rsidRDefault="00B766F9" w:rsidP="004A53B1">
                  <w:pPr>
                    <w:jc w:val="center"/>
                    <w:rPr>
                      <w:b/>
                      <w:color w:val="00B0F0"/>
                    </w:rPr>
                  </w:pPr>
                  <w:r w:rsidRPr="00FC38B4">
                    <w:rPr>
                      <w:b/>
                      <w:color w:val="00B0F0"/>
                    </w:rPr>
                    <w:t>PERMEADO</w:t>
                  </w:r>
                </w:p>
                <w:p w:rsidR="00B766F9" w:rsidRPr="00FC38B4" w:rsidRDefault="00B766F9" w:rsidP="004A53B1">
                  <w:pPr>
                    <w:rPr>
                      <w:color w:val="00B0F0"/>
                      <w:sz w:val="16"/>
                    </w:rPr>
                  </w:pPr>
                </w:p>
              </w:txbxContent>
            </v:textbox>
          </v:roundrect>
        </w:pict>
      </w:r>
      <w:r w:rsidR="007B02FE">
        <w:rPr>
          <w:noProof/>
          <w:lang w:eastAsia="pt-P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4" type="#_x0000_t67" style="position:absolute;left:0;text-align:left;margin-left:225.45pt;margin-top:92.65pt;width:15.75pt;height:18pt;z-index:251676672;mso-position-horizontal-relative:text;mso-position-vertical-relative:text" fillcolor="white [3212]" strokecolor="white [3212]">
            <v:textbox style="layout-flow:vertical-ideographic"/>
          </v:shape>
        </w:pict>
      </w:r>
      <w:r w:rsidR="007B02FE">
        <w:rPr>
          <w:noProof/>
          <w:lang w:eastAsia="pt-PT"/>
        </w:rPr>
        <w:pict>
          <v:rect id="_x0000_s1042" style="position:absolute;left:0;text-align:left;margin-left:163.2pt;margin-top:62.65pt;width:138.75pt;height:30pt;z-index:251674624;mso-position-horizontal-relative:text;mso-position-vertical-relative:text" filled="f" strokecolor="white [3212]" strokeweight="2.25pt"/>
        </w:pict>
      </w:r>
    </w:p>
    <w:p w:rsidR="004A53B1" w:rsidRPr="000B59D8" w:rsidRDefault="007B02FE" w:rsidP="004A53B1">
      <w:r>
        <w:rPr>
          <w:noProof/>
          <w:lang w:eastAsia="pt-PT"/>
        </w:rPr>
        <w:pict>
          <v:roundrect id="_x0000_s1039" style="position:absolute;margin-left:327pt;margin-top:7.2pt;width:70.5pt;height:30.55pt;z-index:251671552" arcsize="10923f" filled="f" stroked="f">
            <v:textbox style="mso-next-textbox:#_x0000_s1039">
              <w:txbxContent>
                <w:p w:rsidR="00B766F9" w:rsidRPr="00FC38B4" w:rsidRDefault="00B766F9" w:rsidP="004A53B1">
                  <w:pPr>
                    <w:jc w:val="center"/>
                    <w:rPr>
                      <w:b/>
                      <w:color w:val="0ACC1C"/>
                    </w:rPr>
                  </w:pPr>
                  <w:r w:rsidRPr="00FC38B4">
                    <w:rPr>
                      <w:b/>
                      <w:color w:val="0ACC1C"/>
                    </w:rPr>
                    <w:t xml:space="preserve">RETIDO </w:t>
                  </w:r>
                </w:p>
              </w:txbxContent>
            </v:textbox>
          </v:roundrect>
        </w:pict>
      </w:r>
      <w:r>
        <w:rPr>
          <w:noProof/>
          <w:lang w:eastAsia="pt-PT"/>
        </w:rPr>
        <w:pict>
          <v:roundrect id="_x0000_s1040" style="position:absolute;margin-left:34pt;margin-top:7.2pt;width:103.5pt;height:28.5pt;z-index:251672576" arcsize="10923f" filled="f" stroked="f">
            <v:textbox style="mso-next-textbox:#_x0000_s1040">
              <w:txbxContent>
                <w:p w:rsidR="00B766F9" w:rsidRPr="00FC38B4" w:rsidRDefault="00B766F9" w:rsidP="004A53B1">
                  <w:pPr>
                    <w:jc w:val="center"/>
                    <w:rPr>
                      <w:b/>
                      <w:color w:val="FFC000"/>
                    </w:rPr>
                  </w:pPr>
                  <w:r w:rsidRPr="00FC38B4">
                    <w:rPr>
                      <w:b/>
                      <w:color w:val="FFC000"/>
                    </w:rPr>
                    <w:t xml:space="preserve"> ALIMENTAÇÃO </w:t>
                  </w:r>
                </w:p>
              </w:txbxContent>
            </v:textbox>
          </v:roundrect>
        </w:pict>
      </w:r>
    </w:p>
    <w:p w:rsidR="004A53B1" w:rsidRPr="000B59D8" w:rsidRDefault="004A53B1" w:rsidP="004A53B1"/>
    <w:p w:rsidR="004A53B1" w:rsidRPr="000B59D8" w:rsidRDefault="004A53B1" w:rsidP="004A53B1"/>
    <w:p w:rsidR="004A53B1" w:rsidRDefault="004A53B1" w:rsidP="004A53B1"/>
    <w:p w:rsidR="004A53B1" w:rsidRDefault="007B02FE" w:rsidP="004A53B1">
      <w:pPr>
        <w:jc w:val="both"/>
        <w:rPr>
          <w:sz w:val="20"/>
        </w:rPr>
      </w:pPr>
      <w:r w:rsidRPr="007B02FE">
        <w:rPr>
          <w:noProof/>
        </w:rPr>
        <w:pict>
          <v:shape id="_x0000_s1047" type="#_x0000_t202" style="position:absolute;left:0;text-align:left;margin-left:4.5pt;margin-top:2.95pt;width:399.6pt;height:44.5pt;z-index:251681792" wrapcoords="-76 0 -76 20965 21600 20965 21600 0 -76 0" stroked="f">
            <v:textbox style="mso-next-textbox:#_x0000_s1047;mso-fit-shape-to-text:t" inset="0,0,0,0">
              <w:txbxContent>
                <w:p w:rsidR="00B766F9" w:rsidRPr="00FC38B4" w:rsidRDefault="00B766F9" w:rsidP="004A53B1">
                  <w:pPr>
                    <w:pStyle w:val="Legenda"/>
                    <w:jc w:val="both"/>
                    <w:rPr>
                      <w:rFonts w:ascii="Times New Roman" w:hAnsi="Times New Roman"/>
                      <w:b w:val="0"/>
                      <w:noProof/>
                      <w:color w:val="auto"/>
                      <w:sz w:val="20"/>
                      <w:szCs w:val="20"/>
                    </w:rPr>
                  </w:pPr>
                  <w:r w:rsidRPr="00FC38B4">
                    <w:rPr>
                      <w:rFonts w:ascii="Times New Roman" w:hAnsi="Times New Roman"/>
                      <w:sz w:val="20"/>
                      <w:szCs w:val="20"/>
                    </w:rPr>
                    <w:t xml:space="preserve">Figura </w:t>
                  </w:r>
                  <w:r>
                    <w:rPr>
                      <w:rFonts w:ascii="Times New Roman" w:hAnsi="Times New Roman"/>
                      <w:sz w:val="20"/>
                      <w:szCs w:val="20"/>
                    </w:rPr>
                    <w:t>14</w:t>
                  </w:r>
                  <w:r w:rsidRPr="00FC38B4">
                    <w:rPr>
                      <w:rFonts w:ascii="Times New Roman" w:hAnsi="Times New Roman"/>
                      <w:sz w:val="20"/>
                      <w:szCs w:val="20"/>
                    </w:rPr>
                    <w:t xml:space="preserve"> - </w:t>
                  </w:r>
                  <w:r w:rsidRPr="00FC38B4">
                    <w:rPr>
                      <w:rFonts w:ascii="Times New Roman" w:hAnsi="Times New Roman"/>
                      <w:b w:val="0"/>
                      <w:color w:val="auto"/>
                      <w:sz w:val="20"/>
                      <w:szCs w:val="20"/>
                    </w:rPr>
                    <w:t xml:space="preserve">Representação esquemática do modelo de filtração de membranas </w:t>
                  </w:r>
                  <w:r w:rsidRPr="00032680">
                    <w:rPr>
                      <w:rFonts w:ascii="Times New Roman" w:hAnsi="Times New Roman"/>
                      <w:b w:val="0"/>
                      <w:i/>
                      <w:color w:val="auto"/>
                      <w:sz w:val="20"/>
                      <w:szCs w:val="20"/>
                    </w:rPr>
                    <w:t>Cross</w:t>
                  </w:r>
                  <w:r>
                    <w:rPr>
                      <w:rFonts w:ascii="Times New Roman" w:hAnsi="Times New Roman"/>
                      <w:b w:val="0"/>
                      <w:i/>
                      <w:color w:val="auto"/>
                      <w:sz w:val="20"/>
                      <w:szCs w:val="20"/>
                    </w:rPr>
                    <w:t>-</w:t>
                  </w:r>
                  <w:r w:rsidRPr="00032680">
                    <w:rPr>
                      <w:rFonts w:ascii="Times New Roman" w:hAnsi="Times New Roman"/>
                      <w:b w:val="0"/>
                      <w:i/>
                      <w:color w:val="auto"/>
                      <w:sz w:val="20"/>
                      <w:szCs w:val="20"/>
                    </w:rPr>
                    <w:t>flow</w:t>
                  </w:r>
                  <w:r w:rsidRPr="00FC38B4">
                    <w:rPr>
                      <w:rFonts w:ascii="Times New Roman" w:hAnsi="Times New Roman"/>
                      <w:b w:val="0"/>
                      <w:color w:val="auto"/>
                      <w:sz w:val="20"/>
                      <w:szCs w:val="20"/>
                    </w:rPr>
                    <w:t xml:space="preserve"> utilizado para a obtenção de extractos aquosos concentrados de bagaço de azeitona extractado (fonte: adaptado de</w:t>
                  </w:r>
                  <w:r>
                    <w:t xml:space="preserve"> </w:t>
                  </w:r>
                  <w:r w:rsidRPr="00794DB0">
                    <w:rPr>
                      <w:rFonts w:ascii="Times New Roman" w:hAnsi="Times New Roman"/>
                      <w:b w:val="0"/>
                      <w:color w:val="auto"/>
                      <w:sz w:val="20"/>
                      <w:szCs w:val="20"/>
                    </w:rPr>
                    <w:t>http://www.p2pays.org/ref/13/12823.pdf</w:t>
                  </w:r>
                  <w:r w:rsidRPr="00FC38B4">
                    <w:rPr>
                      <w:rFonts w:ascii="Times New Roman" w:hAnsi="Times New Roman"/>
                      <w:b w:val="0"/>
                      <w:color w:val="auto"/>
                      <w:sz w:val="20"/>
                      <w:szCs w:val="20"/>
                    </w:rPr>
                    <w:t>).</w:t>
                  </w:r>
                </w:p>
              </w:txbxContent>
            </v:textbox>
            <w10:wrap type="tight"/>
          </v:shape>
        </w:pict>
      </w:r>
      <w:r w:rsidR="004A53B1">
        <w:rPr>
          <w:sz w:val="20"/>
        </w:rPr>
        <w:t xml:space="preserve"> </w:t>
      </w:r>
    </w:p>
    <w:p w:rsidR="004A53B1" w:rsidRDefault="004A53B1" w:rsidP="004A53B1">
      <w:pPr>
        <w:tabs>
          <w:tab w:val="left" w:pos="1875"/>
        </w:tabs>
        <w:spacing w:after="0"/>
        <w:rPr>
          <w:sz w:val="20"/>
        </w:rPr>
      </w:pPr>
    </w:p>
    <w:p w:rsidR="004A53B1" w:rsidRDefault="004A53B1" w:rsidP="004A53B1">
      <w:pPr>
        <w:tabs>
          <w:tab w:val="left" w:pos="1875"/>
        </w:tabs>
        <w:spacing w:after="0"/>
        <w:rPr>
          <w:sz w:val="20"/>
        </w:rPr>
      </w:pPr>
    </w:p>
    <w:p w:rsidR="004A53B1" w:rsidRDefault="004A53B1" w:rsidP="004A53B1">
      <w:pPr>
        <w:tabs>
          <w:tab w:val="left" w:pos="1875"/>
        </w:tabs>
        <w:spacing w:after="0"/>
      </w:pPr>
      <w:r>
        <w:rPr>
          <w:noProof/>
          <w:lang w:eastAsia="pt-PT"/>
        </w:rPr>
        <w:drawing>
          <wp:anchor distT="0" distB="0" distL="114300" distR="114300" simplePos="0" relativeHeight="251679744" behindDoc="1" locked="0" layoutInCell="1" allowOverlap="1">
            <wp:simplePos x="0" y="0"/>
            <wp:positionH relativeFrom="column">
              <wp:posOffset>466725</wp:posOffset>
            </wp:positionH>
            <wp:positionV relativeFrom="paragraph">
              <wp:posOffset>12700</wp:posOffset>
            </wp:positionV>
            <wp:extent cx="2261235" cy="1529715"/>
            <wp:effectExtent l="171450" t="133350" r="367665" b="299085"/>
            <wp:wrapTight wrapText="bothSides">
              <wp:wrapPolygon edited="0">
                <wp:start x="2002" y="-1883"/>
                <wp:lineTo x="546" y="-1614"/>
                <wp:lineTo x="-1638" y="807"/>
                <wp:lineTo x="-1092" y="23940"/>
                <wp:lineTo x="546" y="25823"/>
                <wp:lineTo x="1092" y="25823"/>
                <wp:lineTo x="22382" y="25823"/>
                <wp:lineTo x="22746" y="25823"/>
                <wp:lineTo x="24384" y="24209"/>
                <wp:lineTo x="24384" y="23940"/>
                <wp:lineTo x="24930" y="19905"/>
                <wp:lineTo x="24930" y="2421"/>
                <wp:lineTo x="25112" y="1076"/>
                <wp:lineTo x="22928" y="-1614"/>
                <wp:lineTo x="21473" y="-1883"/>
                <wp:lineTo x="2002" y="-1883"/>
              </wp:wrapPolygon>
            </wp:wrapTight>
            <wp:docPr id="21" name="Imagem 7" descr="DSCF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44.JPG"/>
                    <pic:cNvPicPr/>
                  </pic:nvPicPr>
                  <pic:blipFill>
                    <a:blip r:embed="rId35" cstate="print"/>
                    <a:srcRect t="10046"/>
                    <a:stretch>
                      <a:fillRect/>
                    </a:stretch>
                  </pic:blipFill>
                  <pic:spPr>
                    <a:xfrm>
                      <a:off x="0" y="0"/>
                      <a:ext cx="2261235" cy="15297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pt-PT"/>
        </w:rPr>
        <w:drawing>
          <wp:anchor distT="0" distB="0" distL="114300" distR="114300" simplePos="0" relativeHeight="251680768" behindDoc="1" locked="0" layoutInCell="1" allowOverlap="1">
            <wp:simplePos x="0" y="0"/>
            <wp:positionH relativeFrom="column">
              <wp:posOffset>2915285</wp:posOffset>
            </wp:positionH>
            <wp:positionV relativeFrom="paragraph">
              <wp:posOffset>12700</wp:posOffset>
            </wp:positionV>
            <wp:extent cx="2010410" cy="1530985"/>
            <wp:effectExtent l="171450" t="133350" r="370840" b="297815"/>
            <wp:wrapTight wrapText="bothSides">
              <wp:wrapPolygon edited="0">
                <wp:start x="2251" y="-1881"/>
                <wp:lineTo x="614" y="-1613"/>
                <wp:lineTo x="-1842" y="806"/>
                <wp:lineTo x="-1228" y="23920"/>
                <wp:lineTo x="614" y="25802"/>
                <wp:lineTo x="1228" y="25802"/>
                <wp:lineTo x="22514" y="25802"/>
                <wp:lineTo x="22924" y="25802"/>
                <wp:lineTo x="24766" y="24189"/>
                <wp:lineTo x="24766" y="23920"/>
                <wp:lineTo x="25380" y="19889"/>
                <wp:lineTo x="25380" y="2419"/>
                <wp:lineTo x="25584" y="1075"/>
                <wp:lineTo x="23128" y="-1613"/>
                <wp:lineTo x="21491" y="-1881"/>
                <wp:lineTo x="2251" y="-1881"/>
              </wp:wrapPolygon>
            </wp:wrapTight>
            <wp:docPr id="22" name="Imagem 8" descr="DSCF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54.JPG"/>
                    <pic:cNvPicPr/>
                  </pic:nvPicPr>
                  <pic:blipFill>
                    <a:blip r:embed="rId36" cstate="print"/>
                    <a:stretch>
                      <a:fillRect/>
                    </a:stretch>
                  </pic:blipFill>
                  <pic:spPr>
                    <a:xfrm>
                      <a:off x="0" y="0"/>
                      <a:ext cx="2010410" cy="1530985"/>
                    </a:xfrm>
                    <a:prstGeom prst="rect">
                      <a:avLst/>
                    </a:prstGeom>
                    <a:ln>
                      <a:noFill/>
                    </a:ln>
                    <a:effectLst>
                      <a:outerShdw blurRad="292100" dist="139700" dir="2700000" algn="tl" rotWithShape="0">
                        <a:srgbClr val="333333">
                          <a:alpha val="65000"/>
                        </a:srgbClr>
                      </a:outerShdw>
                    </a:effectLst>
                  </pic:spPr>
                </pic:pic>
              </a:graphicData>
            </a:graphic>
          </wp:anchor>
        </w:drawing>
      </w:r>
      <w:r w:rsidR="007B02FE">
        <w:rPr>
          <w:noProof/>
          <w:lang w:eastAsia="pt-PT"/>
        </w:rPr>
        <w:pict>
          <v:shape id="_x0000_s1054" type="#_x0000_t202" style="position:absolute;margin-left:12.8pt;margin-top:21.3pt;width:29.25pt;height:26.25pt;z-index:251694080;mso-position-horizontal-relative:text;mso-position-vertical-relative:text" filled="f" stroked="f">
            <v:textbox>
              <w:txbxContent>
                <w:p w:rsidR="00B766F9" w:rsidRPr="009045FC" w:rsidRDefault="00B766F9" w:rsidP="004A53B1">
                  <w:pPr>
                    <w:rPr>
                      <w:color w:val="FFFFFF" w:themeColor="background1"/>
                      <w:sz w:val="28"/>
                    </w:rPr>
                  </w:pPr>
                  <w:r>
                    <w:rPr>
                      <w:color w:val="FFFFFF" w:themeColor="background1"/>
                      <w:sz w:val="28"/>
                    </w:rPr>
                    <w:t>B</w:t>
                  </w:r>
                </w:p>
              </w:txbxContent>
            </v:textbox>
          </v:shape>
        </w:pict>
      </w:r>
      <w:r w:rsidR="007B02FE">
        <w:rPr>
          <w:noProof/>
          <w:lang w:eastAsia="pt-PT"/>
        </w:rPr>
        <w:pict>
          <v:shape id="_x0000_s1053" type="#_x0000_t202" style="position:absolute;margin-left:-222.7pt;margin-top:20.55pt;width:29.25pt;height:26.25pt;z-index:251693056;mso-position-horizontal-relative:text;mso-position-vertical-relative:text" filled="f" stroked="f">
            <v:textbox>
              <w:txbxContent>
                <w:p w:rsidR="00B766F9" w:rsidRPr="009045FC" w:rsidRDefault="00B766F9" w:rsidP="004A53B1">
                  <w:pPr>
                    <w:rPr>
                      <w:color w:val="FFFFFF" w:themeColor="background1"/>
                      <w:sz w:val="28"/>
                    </w:rPr>
                  </w:pPr>
                  <w:r w:rsidRPr="009045FC">
                    <w:rPr>
                      <w:color w:val="FFFFFF" w:themeColor="background1"/>
                      <w:sz w:val="28"/>
                    </w:rPr>
                    <w:t>A</w:t>
                  </w:r>
                </w:p>
              </w:txbxContent>
            </v:textbox>
          </v:shape>
        </w:pict>
      </w:r>
    </w:p>
    <w:p w:rsidR="004A53B1" w:rsidRDefault="004A53B1" w:rsidP="004A53B1">
      <w:pPr>
        <w:tabs>
          <w:tab w:val="left" w:pos="1875"/>
        </w:tabs>
        <w:spacing w:after="0"/>
        <w:jc w:val="center"/>
        <w:rPr>
          <w:b/>
        </w:rPr>
      </w:pPr>
    </w:p>
    <w:p w:rsidR="004A53B1" w:rsidRDefault="004A53B1" w:rsidP="004A53B1">
      <w:pPr>
        <w:tabs>
          <w:tab w:val="left" w:pos="1875"/>
        </w:tabs>
        <w:spacing w:after="0"/>
        <w:jc w:val="center"/>
        <w:rPr>
          <w:b/>
        </w:rPr>
      </w:pPr>
    </w:p>
    <w:p w:rsidR="004A53B1" w:rsidRDefault="004A53B1" w:rsidP="004A53B1">
      <w:pPr>
        <w:tabs>
          <w:tab w:val="left" w:pos="1875"/>
        </w:tabs>
        <w:spacing w:after="0"/>
        <w:rPr>
          <w:b/>
        </w:rPr>
      </w:pPr>
    </w:p>
    <w:p w:rsidR="004A53B1" w:rsidRDefault="004A53B1" w:rsidP="004A53B1">
      <w:pPr>
        <w:tabs>
          <w:tab w:val="left" w:pos="1875"/>
        </w:tabs>
        <w:spacing w:after="0"/>
        <w:rPr>
          <w:b/>
        </w:rPr>
      </w:pPr>
    </w:p>
    <w:p w:rsidR="004A53B1" w:rsidRDefault="004A53B1" w:rsidP="004A53B1">
      <w:pPr>
        <w:tabs>
          <w:tab w:val="left" w:pos="1875"/>
        </w:tabs>
        <w:spacing w:after="0"/>
        <w:rPr>
          <w:b/>
        </w:rPr>
      </w:pPr>
    </w:p>
    <w:p w:rsidR="004A53B1" w:rsidRDefault="007B02FE" w:rsidP="004A53B1">
      <w:pPr>
        <w:tabs>
          <w:tab w:val="left" w:pos="1875"/>
        </w:tabs>
        <w:spacing w:after="0"/>
        <w:rPr>
          <w:b/>
        </w:rPr>
      </w:pPr>
      <w:r w:rsidRPr="007B02FE">
        <w:rPr>
          <w:noProof/>
        </w:rPr>
        <w:pict>
          <v:shape id="_x0000_s1052" type="#_x0000_t202" style="position:absolute;margin-left:5.9pt;margin-top:39.2pt;width:423pt;height:37.7pt;z-index:251692032" wrapcoords="0 0" filled="f" stroked="f">
            <v:textbox inset="0,0,0,0">
              <w:txbxContent>
                <w:p w:rsidR="00B766F9" w:rsidRPr="00FC38B4" w:rsidRDefault="00B766F9" w:rsidP="004A53B1">
                  <w:pPr>
                    <w:pStyle w:val="Legenda"/>
                    <w:jc w:val="both"/>
                    <w:rPr>
                      <w:rFonts w:ascii="Times New Roman" w:hAnsi="Times New Roman"/>
                      <w:b w:val="0"/>
                      <w:noProof/>
                      <w:color w:val="auto"/>
                      <w:sz w:val="20"/>
                    </w:rPr>
                  </w:pPr>
                  <w:r w:rsidRPr="00FC38B4">
                    <w:rPr>
                      <w:rFonts w:ascii="Times New Roman" w:hAnsi="Times New Roman"/>
                      <w:sz w:val="20"/>
                    </w:rPr>
                    <w:t xml:space="preserve">Figura </w:t>
                  </w:r>
                  <w:r>
                    <w:rPr>
                      <w:rFonts w:ascii="Times New Roman" w:hAnsi="Times New Roman"/>
                      <w:sz w:val="20"/>
                    </w:rPr>
                    <w:t>15</w:t>
                  </w:r>
                  <w:r w:rsidRPr="00FC38B4">
                    <w:rPr>
                      <w:rFonts w:ascii="Times New Roman" w:hAnsi="Times New Roman"/>
                      <w:sz w:val="20"/>
                    </w:rPr>
                    <w:t xml:space="preserve"> – </w:t>
                  </w:r>
                  <w:r w:rsidRPr="00FC38B4">
                    <w:rPr>
                      <w:rFonts w:ascii="Times New Roman" w:hAnsi="Times New Roman"/>
                      <w:color w:val="auto"/>
                      <w:sz w:val="20"/>
                    </w:rPr>
                    <w:t>(A)</w:t>
                  </w:r>
                  <w:r w:rsidRPr="00FC38B4">
                    <w:rPr>
                      <w:rFonts w:ascii="Times New Roman" w:hAnsi="Times New Roman"/>
                      <w:b w:val="0"/>
                      <w:sz w:val="20"/>
                    </w:rPr>
                    <w:t xml:space="preserve"> </w:t>
                  </w:r>
                  <w:r w:rsidRPr="00FC38B4">
                    <w:rPr>
                      <w:rFonts w:ascii="Times New Roman" w:hAnsi="Times New Roman"/>
                      <w:b w:val="0"/>
                      <w:color w:val="auto"/>
                      <w:sz w:val="20"/>
                    </w:rPr>
                    <w:t>Ilu</w:t>
                  </w:r>
                  <w:r>
                    <w:rPr>
                      <w:rFonts w:ascii="Times New Roman" w:hAnsi="Times New Roman"/>
                      <w:b w:val="0"/>
                      <w:color w:val="auto"/>
                      <w:sz w:val="20"/>
                    </w:rPr>
                    <w:t>stração do sistema de membranas</w:t>
                  </w:r>
                  <w:r w:rsidRPr="00FC38B4">
                    <w:rPr>
                      <w:rFonts w:ascii="Times New Roman" w:hAnsi="Times New Roman"/>
                      <w:b w:val="0"/>
                      <w:color w:val="auto"/>
                      <w:sz w:val="20"/>
                    </w:rPr>
                    <w:t xml:space="preserve"> </w:t>
                  </w:r>
                  <w:r w:rsidRPr="00032680">
                    <w:rPr>
                      <w:rFonts w:ascii="Times New Roman" w:hAnsi="Times New Roman"/>
                      <w:b w:val="0"/>
                      <w:i/>
                      <w:color w:val="auto"/>
                      <w:sz w:val="20"/>
                    </w:rPr>
                    <w:t>SEPA-CELL CF II system</w:t>
                  </w:r>
                  <w:r w:rsidRPr="00FC38B4">
                    <w:rPr>
                      <w:rFonts w:ascii="Times New Roman" w:hAnsi="Times New Roman"/>
                      <w:b w:val="0"/>
                      <w:color w:val="auto"/>
                      <w:sz w:val="20"/>
                    </w:rPr>
                    <w:t xml:space="preserve"> utilizado nos processos de nanofiltração e osmose inversa; </w:t>
                  </w:r>
                  <w:r w:rsidRPr="00FC38B4">
                    <w:rPr>
                      <w:rFonts w:ascii="Times New Roman" w:hAnsi="Times New Roman"/>
                      <w:color w:val="auto"/>
                      <w:sz w:val="20"/>
                    </w:rPr>
                    <w:t>(B)</w:t>
                  </w:r>
                  <w:r w:rsidRPr="00FC38B4">
                    <w:rPr>
                      <w:rFonts w:ascii="Times New Roman" w:hAnsi="Times New Roman"/>
                      <w:b w:val="0"/>
                      <w:color w:val="auto"/>
                      <w:sz w:val="20"/>
                    </w:rPr>
                    <w:t xml:space="preserve"> ilustração da</w:t>
                  </w:r>
                  <w:r>
                    <w:rPr>
                      <w:rFonts w:ascii="Times New Roman" w:hAnsi="Times New Roman"/>
                      <w:b w:val="0"/>
                      <w:color w:val="auto"/>
                      <w:sz w:val="20"/>
                    </w:rPr>
                    <w:t xml:space="preserve"> membrana polimérica comercial </w:t>
                  </w:r>
                  <w:r w:rsidRPr="00032680">
                    <w:rPr>
                      <w:rFonts w:ascii="Times New Roman" w:hAnsi="Times New Roman"/>
                      <w:b w:val="0"/>
                      <w:i/>
                      <w:color w:val="auto"/>
                      <w:sz w:val="20"/>
                    </w:rPr>
                    <w:t>Polyamide Thin-Film Composite</w:t>
                  </w:r>
                  <w:r w:rsidRPr="00FC38B4">
                    <w:rPr>
                      <w:rFonts w:ascii="Times New Roman" w:hAnsi="Times New Roman"/>
                      <w:b w:val="0"/>
                      <w:color w:val="auto"/>
                      <w:sz w:val="20"/>
                    </w:rPr>
                    <w:t xml:space="preserve"> NF270 após ter sido utilizada no processo de nanofiltração (fonte própria).</w:t>
                  </w:r>
                </w:p>
                <w:p w:rsidR="00B766F9" w:rsidRPr="00FC38B4" w:rsidRDefault="00B766F9" w:rsidP="004A53B1">
                  <w:pPr>
                    <w:pStyle w:val="Legenda"/>
                    <w:jc w:val="both"/>
                    <w:rPr>
                      <w:rFonts w:ascii="Times New Roman" w:hAnsi="Times New Roman"/>
                      <w:b w:val="0"/>
                      <w:noProof/>
                      <w:color w:val="auto"/>
                      <w:sz w:val="20"/>
                    </w:rPr>
                  </w:pPr>
                  <w:r w:rsidRPr="00FC38B4">
                    <w:rPr>
                      <w:rFonts w:ascii="Times New Roman" w:hAnsi="Times New Roman"/>
                      <w:b w:val="0"/>
                      <w:color w:val="auto"/>
                      <w:sz w:val="20"/>
                    </w:rPr>
                    <w:t xml:space="preserve"> (fonte própria) .</w:t>
                  </w:r>
                </w:p>
                <w:p w:rsidR="00B766F9" w:rsidRPr="00FC38B4" w:rsidRDefault="00B766F9" w:rsidP="004A53B1">
                  <w:pPr>
                    <w:pStyle w:val="Legenda"/>
                    <w:rPr>
                      <w:rFonts w:ascii="Times New Roman" w:hAnsi="Times New Roman"/>
                      <w:noProof/>
                      <w:sz w:val="20"/>
                    </w:rPr>
                  </w:pPr>
                </w:p>
              </w:txbxContent>
            </v:textbox>
            <w10:wrap type="tight"/>
          </v:shape>
        </w:pict>
      </w:r>
    </w:p>
    <w:p w:rsidR="004A53B1" w:rsidRDefault="004A53B1" w:rsidP="004A53B1">
      <w:pPr>
        <w:tabs>
          <w:tab w:val="left" w:pos="1875"/>
        </w:tabs>
        <w:spacing w:after="0"/>
        <w:jc w:val="center"/>
        <w:rPr>
          <w:b/>
        </w:rPr>
      </w:pPr>
    </w:p>
    <w:p w:rsidR="004A53B1" w:rsidRDefault="004A53B1" w:rsidP="004A53B1">
      <w:pPr>
        <w:tabs>
          <w:tab w:val="left" w:pos="1875"/>
        </w:tabs>
        <w:spacing w:after="0"/>
        <w:jc w:val="center"/>
        <w:rPr>
          <w:b/>
        </w:rPr>
      </w:pPr>
    </w:p>
    <w:p w:rsidR="004A53B1" w:rsidRDefault="004A53B1" w:rsidP="004A53B1">
      <w:pPr>
        <w:tabs>
          <w:tab w:val="left" w:pos="1875"/>
        </w:tabs>
        <w:spacing w:after="0"/>
        <w:jc w:val="center"/>
        <w:rPr>
          <w:b/>
        </w:rPr>
      </w:pPr>
    </w:p>
    <w:p w:rsidR="004A53B1" w:rsidRDefault="004A53B1" w:rsidP="004A53B1">
      <w:pPr>
        <w:tabs>
          <w:tab w:val="left" w:pos="1875"/>
        </w:tabs>
        <w:spacing w:after="0"/>
        <w:jc w:val="center"/>
        <w:rPr>
          <w:b/>
        </w:rPr>
      </w:pPr>
    </w:p>
    <w:p w:rsidR="004A53B1" w:rsidRPr="00FC38B4" w:rsidRDefault="004A53B1" w:rsidP="004A53B1">
      <w:pPr>
        <w:pStyle w:val="PargrafodaLista"/>
        <w:numPr>
          <w:ilvl w:val="1"/>
          <w:numId w:val="24"/>
        </w:numPr>
        <w:tabs>
          <w:tab w:val="left" w:pos="1276"/>
        </w:tabs>
        <w:spacing w:after="0"/>
        <w:ind w:left="567" w:firstLine="0"/>
        <w:jc w:val="both"/>
        <w:rPr>
          <w:rFonts w:ascii="Times New Roman" w:hAnsi="Times New Roman"/>
          <w:b/>
          <w:sz w:val="28"/>
        </w:rPr>
      </w:pPr>
      <w:r w:rsidRPr="00FC38B4">
        <w:rPr>
          <w:rFonts w:ascii="Times New Roman" w:hAnsi="Times New Roman"/>
          <w:b/>
          <w:sz w:val="28"/>
        </w:rPr>
        <w:t>Quantificação dos Fenóis Totais presentes nos extractos de bagaço de azeitona extractado pelo método de Folin-Ciocalteau</w:t>
      </w:r>
    </w:p>
    <w:p w:rsidR="004A53B1" w:rsidRPr="00FC38B4" w:rsidRDefault="004A53B1" w:rsidP="004A53B1">
      <w:pPr>
        <w:tabs>
          <w:tab w:val="left" w:pos="1875"/>
        </w:tabs>
        <w:spacing w:after="0"/>
        <w:jc w:val="both"/>
        <w:rPr>
          <w:rFonts w:ascii="Times New Roman" w:hAnsi="Times New Roman"/>
          <w:b/>
          <w:sz w:val="28"/>
        </w:rPr>
      </w:pPr>
    </w:p>
    <w:p w:rsidR="004A53B1" w:rsidRPr="00FC38B4" w:rsidRDefault="004A53B1" w:rsidP="004A53B1">
      <w:pPr>
        <w:tabs>
          <w:tab w:val="left" w:pos="1875"/>
        </w:tabs>
        <w:spacing w:after="0"/>
        <w:jc w:val="center"/>
        <w:rPr>
          <w:rFonts w:ascii="Times New Roman" w:hAnsi="Times New Roman"/>
          <w:b/>
          <w:sz w:val="24"/>
        </w:rPr>
      </w:pPr>
    </w:p>
    <w:p w:rsidR="004A53B1" w:rsidRPr="003B4F7A" w:rsidRDefault="004A53B1" w:rsidP="004A53B1">
      <w:pPr>
        <w:tabs>
          <w:tab w:val="left" w:pos="851"/>
        </w:tabs>
        <w:spacing w:after="0"/>
        <w:jc w:val="both"/>
        <w:rPr>
          <w:rFonts w:ascii="Times New Roman" w:hAnsi="Times New Roman"/>
          <w:sz w:val="24"/>
        </w:rPr>
      </w:pPr>
      <w:r w:rsidRPr="00FC38B4">
        <w:rPr>
          <w:rFonts w:ascii="Times New Roman" w:hAnsi="Times New Roman"/>
          <w:sz w:val="24"/>
        </w:rPr>
        <w:tab/>
        <w:t>Foi inicialmente preparada ma solução stock de ácido gálico com uma concentração de 200µg/mL, a partir desta prepararam-se as seguintes concentrações para a curva padrão de ácido gálico:</w:t>
      </w:r>
    </w:p>
    <w:p w:rsidR="004A53B1" w:rsidRDefault="004A53B1" w:rsidP="004A53B1">
      <w:pPr>
        <w:tabs>
          <w:tab w:val="left" w:pos="851"/>
        </w:tabs>
        <w:spacing w:after="0"/>
        <w:jc w:val="both"/>
      </w:pPr>
    </w:p>
    <w:p w:rsidR="004A53B1" w:rsidRDefault="004A53B1" w:rsidP="004A53B1">
      <w:pPr>
        <w:tabs>
          <w:tab w:val="left" w:pos="851"/>
        </w:tabs>
        <w:spacing w:after="0"/>
        <w:jc w:val="both"/>
      </w:pPr>
    </w:p>
    <w:tbl>
      <w:tblPr>
        <w:tblStyle w:val="ListaClara-Cor3"/>
        <w:tblW w:w="0" w:type="auto"/>
        <w:jc w:val="center"/>
        <w:tblInd w:w="-623" w:type="dxa"/>
        <w:tblLook w:val="04A0"/>
      </w:tblPr>
      <w:tblGrid>
        <w:gridCol w:w="1998"/>
        <w:gridCol w:w="1712"/>
        <w:gridCol w:w="1690"/>
      </w:tblGrid>
      <w:tr w:rsidR="004A53B1" w:rsidRPr="003B4F7A" w:rsidTr="00CD0784">
        <w:trPr>
          <w:cnfStyle w:val="100000000000"/>
          <w:trHeight w:val="246"/>
          <w:jc w:val="center"/>
        </w:trPr>
        <w:tc>
          <w:tcPr>
            <w:cnfStyle w:val="001000000000"/>
            <w:tcW w:w="1998" w:type="dxa"/>
            <w:vAlign w:val="center"/>
          </w:tcPr>
          <w:p w:rsidR="004A53B1" w:rsidRPr="003B4F7A" w:rsidRDefault="004A53B1" w:rsidP="00CD0784">
            <w:pPr>
              <w:tabs>
                <w:tab w:val="left" w:pos="851"/>
              </w:tabs>
              <w:spacing w:after="0" w:line="240" w:lineRule="auto"/>
              <w:jc w:val="center"/>
              <w:rPr>
                <w:rFonts w:ascii="Times New Roman" w:hAnsi="Times New Roman"/>
                <w:color w:val="auto"/>
                <w:sz w:val="20"/>
              </w:rPr>
            </w:pPr>
            <w:r w:rsidRPr="003B4F7A">
              <w:rPr>
                <w:rFonts w:ascii="Times New Roman" w:hAnsi="Times New Roman"/>
                <w:color w:val="auto"/>
                <w:sz w:val="20"/>
              </w:rPr>
              <w:t>Concentração de ácido gálico (µg/mL)</w:t>
            </w:r>
          </w:p>
        </w:tc>
        <w:tc>
          <w:tcPr>
            <w:tcW w:w="1712" w:type="dxa"/>
            <w:vAlign w:val="center"/>
          </w:tcPr>
          <w:p w:rsidR="004A53B1" w:rsidRPr="003B4F7A" w:rsidRDefault="004A53B1" w:rsidP="00CD0784">
            <w:pPr>
              <w:tabs>
                <w:tab w:val="left" w:pos="851"/>
              </w:tabs>
              <w:spacing w:after="0" w:line="240" w:lineRule="auto"/>
              <w:jc w:val="center"/>
              <w:cnfStyle w:val="100000000000"/>
              <w:rPr>
                <w:rFonts w:ascii="Times New Roman" w:hAnsi="Times New Roman"/>
                <w:color w:val="auto"/>
                <w:sz w:val="20"/>
              </w:rPr>
            </w:pPr>
            <w:r w:rsidRPr="003B4F7A">
              <w:rPr>
                <w:rFonts w:ascii="Times New Roman" w:hAnsi="Times New Roman"/>
                <w:color w:val="auto"/>
                <w:sz w:val="20"/>
              </w:rPr>
              <w:t>Volume de ácido gálico (µL)</w:t>
            </w:r>
          </w:p>
        </w:tc>
        <w:tc>
          <w:tcPr>
            <w:tcW w:w="1690" w:type="dxa"/>
            <w:vAlign w:val="center"/>
          </w:tcPr>
          <w:p w:rsidR="004A53B1" w:rsidRPr="003B4F7A" w:rsidRDefault="004A53B1" w:rsidP="00CD0784">
            <w:pPr>
              <w:tabs>
                <w:tab w:val="left" w:pos="851"/>
              </w:tabs>
              <w:spacing w:after="0" w:line="240" w:lineRule="auto"/>
              <w:jc w:val="center"/>
              <w:cnfStyle w:val="100000000000"/>
              <w:rPr>
                <w:rFonts w:ascii="Times New Roman" w:hAnsi="Times New Roman"/>
                <w:color w:val="auto"/>
                <w:sz w:val="20"/>
              </w:rPr>
            </w:pPr>
            <w:r w:rsidRPr="003B4F7A">
              <w:rPr>
                <w:rFonts w:ascii="Times New Roman" w:hAnsi="Times New Roman"/>
                <w:color w:val="auto"/>
                <w:sz w:val="20"/>
              </w:rPr>
              <w:t>Volume de água destilada (µL)</w:t>
            </w:r>
          </w:p>
        </w:tc>
      </w:tr>
      <w:tr w:rsidR="004A53B1" w:rsidRPr="003B4F7A" w:rsidTr="00CD0784">
        <w:trPr>
          <w:cnfStyle w:val="000000100000"/>
          <w:trHeight w:val="260"/>
          <w:jc w:val="center"/>
        </w:trPr>
        <w:tc>
          <w:tcPr>
            <w:cnfStyle w:val="001000000000"/>
            <w:tcW w:w="1998" w:type="dxa"/>
            <w:vAlign w:val="center"/>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20</w:t>
            </w:r>
          </w:p>
        </w:tc>
        <w:tc>
          <w:tcPr>
            <w:tcW w:w="1712" w:type="dxa"/>
            <w:vAlign w:val="center"/>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0,1</w:t>
            </w:r>
          </w:p>
        </w:tc>
        <w:tc>
          <w:tcPr>
            <w:tcW w:w="1690" w:type="dxa"/>
            <w:vAlign w:val="center"/>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0,9</w:t>
            </w:r>
          </w:p>
        </w:tc>
      </w:tr>
      <w:tr w:rsidR="004A53B1" w:rsidRPr="003B4F7A" w:rsidTr="00CD0784">
        <w:trPr>
          <w:trHeight w:val="260"/>
          <w:jc w:val="center"/>
        </w:trPr>
        <w:tc>
          <w:tcPr>
            <w:cnfStyle w:val="001000000000"/>
            <w:tcW w:w="1998" w:type="dxa"/>
            <w:vAlign w:val="center"/>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40</w:t>
            </w:r>
          </w:p>
        </w:tc>
        <w:tc>
          <w:tcPr>
            <w:tcW w:w="1712" w:type="dxa"/>
            <w:vAlign w:val="center"/>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0,2</w:t>
            </w:r>
          </w:p>
        </w:tc>
        <w:tc>
          <w:tcPr>
            <w:tcW w:w="1690" w:type="dxa"/>
            <w:vAlign w:val="center"/>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0,8</w:t>
            </w:r>
          </w:p>
        </w:tc>
      </w:tr>
      <w:tr w:rsidR="004A53B1" w:rsidRPr="003B4F7A" w:rsidTr="00CD0784">
        <w:trPr>
          <w:cnfStyle w:val="000000100000"/>
          <w:trHeight w:val="246"/>
          <w:jc w:val="center"/>
        </w:trPr>
        <w:tc>
          <w:tcPr>
            <w:cnfStyle w:val="001000000000"/>
            <w:tcW w:w="1998" w:type="dxa"/>
            <w:vAlign w:val="center"/>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60</w:t>
            </w:r>
          </w:p>
        </w:tc>
        <w:tc>
          <w:tcPr>
            <w:tcW w:w="1712" w:type="dxa"/>
            <w:vAlign w:val="center"/>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0,3</w:t>
            </w:r>
          </w:p>
        </w:tc>
        <w:tc>
          <w:tcPr>
            <w:tcW w:w="1690" w:type="dxa"/>
            <w:vAlign w:val="center"/>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0,7</w:t>
            </w:r>
          </w:p>
        </w:tc>
      </w:tr>
      <w:tr w:rsidR="004A53B1" w:rsidRPr="003B4F7A" w:rsidTr="00CD0784">
        <w:trPr>
          <w:trHeight w:val="260"/>
          <w:jc w:val="center"/>
        </w:trPr>
        <w:tc>
          <w:tcPr>
            <w:cnfStyle w:val="001000000000"/>
            <w:tcW w:w="1998" w:type="dxa"/>
            <w:vAlign w:val="center"/>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80</w:t>
            </w:r>
          </w:p>
        </w:tc>
        <w:tc>
          <w:tcPr>
            <w:tcW w:w="1712" w:type="dxa"/>
            <w:vAlign w:val="center"/>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0,4</w:t>
            </w:r>
          </w:p>
        </w:tc>
        <w:tc>
          <w:tcPr>
            <w:tcW w:w="1690" w:type="dxa"/>
            <w:vAlign w:val="center"/>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0,6</w:t>
            </w:r>
          </w:p>
        </w:tc>
      </w:tr>
      <w:tr w:rsidR="004A53B1" w:rsidRPr="003B4F7A" w:rsidTr="00CD0784">
        <w:trPr>
          <w:cnfStyle w:val="000000100000"/>
          <w:trHeight w:val="246"/>
          <w:jc w:val="center"/>
        </w:trPr>
        <w:tc>
          <w:tcPr>
            <w:cnfStyle w:val="001000000000"/>
            <w:tcW w:w="1998" w:type="dxa"/>
            <w:vAlign w:val="center"/>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100</w:t>
            </w:r>
          </w:p>
        </w:tc>
        <w:tc>
          <w:tcPr>
            <w:tcW w:w="1712" w:type="dxa"/>
            <w:vAlign w:val="center"/>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0,5</w:t>
            </w:r>
          </w:p>
        </w:tc>
        <w:tc>
          <w:tcPr>
            <w:tcW w:w="1690" w:type="dxa"/>
            <w:vAlign w:val="center"/>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0,5</w:t>
            </w:r>
          </w:p>
        </w:tc>
      </w:tr>
      <w:tr w:rsidR="004A53B1" w:rsidRPr="003B4F7A" w:rsidTr="00CD0784">
        <w:trPr>
          <w:trHeight w:val="275"/>
          <w:jc w:val="center"/>
        </w:trPr>
        <w:tc>
          <w:tcPr>
            <w:cnfStyle w:val="001000000000"/>
            <w:tcW w:w="1998" w:type="dxa"/>
            <w:vAlign w:val="center"/>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120</w:t>
            </w:r>
          </w:p>
        </w:tc>
        <w:tc>
          <w:tcPr>
            <w:tcW w:w="1712" w:type="dxa"/>
            <w:vAlign w:val="center"/>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0,6</w:t>
            </w:r>
          </w:p>
        </w:tc>
        <w:tc>
          <w:tcPr>
            <w:tcW w:w="1690" w:type="dxa"/>
            <w:vAlign w:val="center"/>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0,4</w:t>
            </w:r>
          </w:p>
        </w:tc>
      </w:tr>
    </w:tbl>
    <w:p w:rsidR="004A53B1" w:rsidRPr="0053468A" w:rsidRDefault="004A53B1" w:rsidP="004A53B1">
      <w:pPr>
        <w:tabs>
          <w:tab w:val="left" w:pos="851"/>
        </w:tabs>
        <w:spacing w:after="0"/>
        <w:jc w:val="both"/>
      </w:pPr>
    </w:p>
    <w:p w:rsidR="004A53B1" w:rsidRPr="0053468A" w:rsidRDefault="004A53B1" w:rsidP="004A53B1">
      <w:pPr>
        <w:tabs>
          <w:tab w:val="left" w:pos="1875"/>
        </w:tabs>
        <w:spacing w:after="0"/>
        <w:jc w:val="both"/>
      </w:pPr>
    </w:p>
    <w:p w:rsidR="004A53B1" w:rsidRDefault="004A53B1" w:rsidP="004A53B1">
      <w:pPr>
        <w:tabs>
          <w:tab w:val="left" w:pos="851"/>
        </w:tabs>
        <w:spacing w:after="0"/>
        <w:jc w:val="both"/>
        <w:rPr>
          <w:rFonts w:ascii="Times New Roman" w:hAnsi="Times New Roman"/>
          <w:sz w:val="24"/>
        </w:rPr>
      </w:pPr>
      <w:r>
        <w:tab/>
      </w:r>
      <w:r w:rsidRPr="003B4F7A">
        <w:rPr>
          <w:rFonts w:ascii="Times New Roman" w:hAnsi="Times New Roman"/>
          <w:sz w:val="24"/>
        </w:rPr>
        <w:t>Foram ainda preparadas uma solução de carbonato de sódio em água destilada</w:t>
      </w:r>
      <w:r>
        <w:rPr>
          <w:rFonts w:ascii="Times New Roman" w:hAnsi="Times New Roman"/>
          <w:sz w:val="24"/>
        </w:rPr>
        <w:t xml:space="preserve"> (7% </w:t>
      </w:r>
      <w:r w:rsidRPr="003B4F7A">
        <w:rPr>
          <w:rFonts w:ascii="Times New Roman" w:hAnsi="Times New Roman"/>
          <w:sz w:val="24"/>
        </w:rPr>
        <w:t xml:space="preserve">(m/V)), e uma solução de Folin-Ciocalteau em água destilada (1:10 (v/v). Seguidamente preparam-se as alíquotas das amostras dos diferentes extractos EPC, ERC e EB fazendo </w:t>
      </w:r>
      <w:r>
        <w:rPr>
          <w:rFonts w:ascii="Times New Roman" w:hAnsi="Times New Roman"/>
          <w:sz w:val="24"/>
        </w:rPr>
        <w:t xml:space="preserve">as </w:t>
      </w:r>
      <w:r w:rsidRPr="003B4F7A">
        <w:rPr>
          <w:rFonts w:ascii="Times New Roman" w:hAnsi="Times New Roman"/>
          <w:sz w:val="24"/>
        </w:rPr>
        <w:t>diluições</w:t>
      </w:r>
      <w:r>
        <w:rPr>
          <w:rFonts w:ascii="Times New Roman" w:hAnsi="Times New Roman"/>
          <w:sz w:val="24"/>
        </w:rPr>
        <w:t xml:space="preserve"> necessárias</w:t>
      </w:r>
      <w:r w:rsidRPr="003B4F7A">
        <w:rPr>
          <w:rFonts w:ascii="Times New Roman" w:hAnsi="Times New Roman"/>
          <w:sz w:val="24"/>
        </w:rPr>
        <w:t xml:space="preserve"> em água destilada, e utilizaram-se como brancos para o ensaio água destilada. Os padrões de ácido gálico, os brancos e as amostras de extracto foram preparadas em triplicado. A 200µL de cada uma das amostras (padrões, extractos diluídos e brancos) adicionaram-se 1500µL de solução de Folin-Ciocalteau, agitou-se no vórtex e colocou-se no escuro cerca de 5min. Após os 5min, adicionaram-se 1500µL da solução de carbonato de sódio a todas as amostras, agitou-se novamente </w:t>
      </w:r>
      <w:r w:rsidRPr="003B4F7A">
        <w:rPr>
          <w:rFonts w:ascii="Times New Roman" w:hAnsi="Times New Roman"/>
          <w:sz w:val="24"/>
        </w:rPr>
        <w:lastRenderedPageBreak/>
        <w:t>no vórtex e colocou-se no escuro durante 60min. Após o tempo de espera, leram-se as amostras no espectrofotómero a 725nm e registaram-se as absorvâncias obtidas. Desenhou-se a curva de calibração</w:t>
      </w:r>
      <w:r>
        <w:rPr>
          <w:rFonts w:ascii="Times New Roman" w:hAnsi="Times New Roman"/>
          <w:sz w:val="24"/>
        </w:rPr>
        <w:t xml:space="preserve"> de ácido gálico</w:t>
      </w:r>
      <w:r w:rsidRPr="003B4F7A">
        <w:rPr>
          <w:rFonts w:ascii="Times New Roman" w:hAnsi="Times New Roman"/>
          <w:sz w:val="24"/>
        </w:rPr>
        <w:t xml:space="preserve"> </w:t>
      </w:r>
      <w:r>
        <w:rPr>
          <w:rFonts w:ascii="Times New Roman" w:hAnsi="Times New Roman"/>
          <w:sz w:val="24"/>
        </w:rPr>
        <w:t>pela</w:t>
      </w:r>
      <w:r w:rsidRPr="003B4F7A">
        <w:rPr>
          <w:rFonts w:ascii="Times New Roman" w:hAnsi="Times New Roman"/>
          <w:sz w:val="24"/>
        </w:rPr>
        <w:t xml:space="preserve"> absorvância das amostras dos padrões preparados em função da sua concentração em ácido gálico, e a partir da equação da recta </w:t>
      </w:r>
      <w:r>
        <w:rPr>
          <w:rFonts w:ascii="Times New Roman" w:hAnsi="Times New Roman"/>
          <w:sz w:val="24"/>
        </w:rPr>
        <w:t>calculou-se</w:t>
      </w:r>
      <w:r w:rsidRPr="003B4F7A">
        <w:rPr>
          <w:rFonts w:ascii="Times New Roman" w:hAnsi="Times New Roman"/>
          <w:sz w:val="24"/>
        </w:rPr>
        <w:t xml:space="preserve"> a concentração em fenóis totais presente em cada um dos extractos, </w:t>
      </w:r>
      <w:r>
        <w:rPr>
          <w:rFonts w:ascii="Times New Roman" w:hAnsi="Times New Roman"/>
          <w:sz w:val="24"/>
        </w:rPr>
        <w:t xml:space="preserve">e ainda </w:t>
      </w:r>
      <w:r w:rsidRPr="003B4F7A">
        <w:rPr>
          <w:rFonts w:ascii="Times New Roman" w:hAnsi="Times New Roman"/>
          <w:sz w:val="24"/>
        </w:rPr>
        <w:t>o seu grau de pureza em fenóis</w:t>
      </w:r>
      <w:r>
        <w:rPr>
          <w:rFonts w:ascii="Times New Roman" w:hAnsi="Times New Roman"/>
          <w:sz w:val="24"/>
        </w:rPr>
        <w:t>, pela fórmula abaixo descrita</w:t>
      </w:r>
      <w:r w:rsidRPr="003B4F7A">
        <w:rPr>
          <w:rFonts w:ascii="Times New Roman" w:hAnsi="Times New Roman"/>
          <w:sz w:val="24"/>
        </w:rPr>
        <w:t>.</w:t>
      </w:r>
    </w:p>
    <w:p w:rsidR="004A53B1" w:rsidRDefault="004A53B1" w:rsidP="004A53B1">
      <w:pPr>
        <w:tabs>
          <w:tab w:val="left" w:pos="851"/>
        </w:tabs>
        <w:spacing w:after="0"/>
        <w:jc w:val="both"/>
        <w:rPr>
          <w:rFonts w:ascii="Times New Roman" w:hAnsi="Times New Roman"/>
          <w:sz w:val="24"/>
        </w:rPr>
      </w:pPr>
    </w:p>
    <w:p w:rsidR="004A53B1" w:rsidRPr="00123DBE" w:rsidRDefault="004A53B1" w:rsidP="004A53B1">
      <w:pPr>
        <w:tabs>
          <w:tab w:val="left" w:pos="851"/>
        </w:tabs>
        <w:spacing w:after="0"/>
        <w:jc w:val="both"/>
        <w:rPr>
          <w:rFonts w:ascii="Times New Roman" w:hAnsi="Times New Roman"/>
          <w:sz w:val="24"/>
        </w:rPr>
      </w:pPr>
      <m:oMathPara>
        <m:oMath>
          <m:r>
            <m:rPr>
              <m:sty m:val="p"/>
            </m:rPr>
            <w:rPr>
              <w:rFonts w:ascii="Cambria Math" w:hAnsi="Cambria Math"/>
              <w:sz w:val="18"/>
            </w:rPr>
            <m:t>Grau de Pureza em Fnóis Totais=</m:t>
          </m:r>
          <m:f>
            <m:fPr>
              <m:ctrlPr>
                <w:rPr>
                  <w:rFonts w:ascii="Cambria Math" w:hAnsi="Cambria Math"/>
                  <w:sz w:val="18"/>
                </w:rPr>
              </m:ctrlPr>
            </m:fPr>
            <m:num>
              <m:r>
                <m:rPr>
                  <m:sty m:val="p"/>
                </m:rPr>
                <w:rPr>
                  <w:rFonts w:ascii="Cambria Math" w:hAnsi="Cambria Math"/>
                  <w:sz w:val="18"/>
                </w:rPr>
                <m:t>Concentração de Fenóis Totais(</m:t>
              </m:r>
              <m:f>
                <m:fPr>
                  <m:type m:val="lin"/>
                  <m:ctrlPr>
                    <w:rPr>
                      <w:rFonts w:ascii="Cambria Math" w:hAnsi="Cambria Math"/>
                      <w:sz w:val="18"/>
                    </w:rPr>
                  </m:ctrlPr>
                </m:fPr>
                <m:num>
                  <m:r>
                    <m:rPr>
                      <m:sty m:val="p"/>
                    </m:rPr>
                    <w:rPr>
                      <w:rFonts w:ascii="Cambria Math" w:hAnsi="Cambria Math"/>
                      <w:sz w:val="18"/>
                    </w:rPr>
                    <m:t>mg</m:t>
                  </m:r>
                </m:num>
                <m:den>
                  <m:r>
                    <m:rPr>
                      <m:sty m:val="p"/>
                    </m:rPr>
                    <w:rPr>
                      <w:rFonts w:ascii="Cambria Math" w:hAnsi="Cambria Math"/>
                      <w:sz w:val="18"/>
                    </w:rPr>
                    <m:t>mL) na amostra</m:t>
                  </m:r>
                </m:den>
              </m:f>
            </m:num>
            <m:den>
              <m:r>
                <m:rPr>
                  <m:sty m:val="p"/>
                </m:rPr>
                <w:rPr>
                  <w:rFonts w:ascii="Cambria Math" w:hAnsi="Cambria Math"/>
                  <w:sz w:val="18"/>
                </w:rPr>
                <m:t>Concentração de extracto inicial (</m:t>
              </m:r>
              <m:f>
                <m:fPr>
                  <m:type m:val="lin"/>
                  <m:ctrlPr>
                    <w:rPr>
                      <w:rFonts w:ascii="Cambria Math" w:hAnsi="Cambria Math"/>
                      <w:sz w:val="18"/>
                    </w:rPr>
                  </m:ctrlPr>
                </m:fPr>
                <m:num>
                  <m:r>
                    <m:rPr>
                      <m:sty m:val="p"/>
                    </m:rPr>
                    <w:rPr>
                      <w:rFonts w:ascii="Cambria Math" w:hAnsi="Cambria Math"/>
                      <w:sz w:val="18"/>
                    </w:rPr>
                    <m:t>mg</m:t>
                  </m:r>
                </m:num>
                <m:den>
                  <m:r>
                    <m:rPr>
                      <m:sty m:val="p"/>
                    </m:rPr>
                    <w:rPr>
                      <w:rFonts w:ascii="Cambria Math" w:hAnsi="Cambria Math"/>
                      <w:sz w:val="18"/>
                    </w:rPr>
                    <m:t>mL</m:t>
                  </m:r>
                </m:den>
              </m:f>
              <m:r>
                <m:rPr>
                  <m:sty m:val="p"/>
                </m:rPr>
                <w:rPr>
                  <w:rFonts w:ascii="Cambria Math" w:hAnsi="Cambria Math"/>
                  <w:sz w:val="18"/>
                </w:rPr>
                <m:t>)</m:t>
              </m:r>
            </m:den>
          </m:f>
          <m:r>
            <m:rPr>
              <m:sty m:val="p"/>
            </m:rPr>
            <w:rPr>
              <w:rFonts w:ascii="Cambria Math" w:hAnsi="Cambria Math"/>
              <w:sz w:val="18"/>
            </w:rPr>
            <m:t xml:space="preserve"> ×100 </m:t>
          </m:r>
        </m:oMath>
      </m:oMathPara>
    </w:p>
    <w:p w:rsidR="004A53B1" w:rsidRPr="00661A0C" w:rsidRDefault="004A53B1" w:rsidP="004A53B1">
      <w:pPr>
        <w:tabs>
          <w:tab w:val="left" w:pos="1875"/>
        </w:tabs>
        <w:spacing w:after="0"/>
        <w:jc w:val="both"/>
      </w:pPr>
    </w:p>
    <w:p w:rsidR="004A53B1" w:rsidRDefault="004A53B1" w:rsidP="004A53B1">
      <w:pPr>
        <w:tabs>
          <w:tab w:val="left" w:pos="1875"/>
        </w:tabs>
        <w:spacing w:after="0"/>
        <w:jc w:val="center"/>
        <w:rPr>
          <w:b/>
        </w:rPr>
      </w:pPr>
    </w:p>
    <w:p w:rsidR="004A53B1" w:rsidRPr="00BB7439" w:rsidRDefault="004A53B1" w:rsidP="004A53B1">
      <w:pPr>
        <w:tabs>
          <w:tab w:val="left" w:pos="1875"/>
        </w:tabs>
        <w:spacing w:after="0"/>
        <w:jc w:val="center"/>
      </w:pPr>
      <m:oMathPara>
        <m:oMath>
          <m:r>
            <m:rPr>
              <m:sty m:val="p"/>
            </m:rPr>
            <w:rPr>
              <w:rFonts w:ascii="Cambria Math" w:hAnsi="Cambria Math"/>
              <w:sz w:val="20"/>
            </w:rPr>
            <m:t xml:space="preserve">Concentração de extracto </m:t>
          </m:r>
          <m:f>
            <m:fPr>
              <m:type m:val="lin"/>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 xml:space="preserve">mL)= </m:t>
              </m:r>
              <m:f>
                <m:fPr>
                  <m:ctrlPr>
                    <w:rPr>
                      <w:rFonts w:ascii="Cambria Math" w:hAnsi="Cambria Math"/>
                      <w:sz w:val="20"/>
                    </w:rPr>
                  </m:ctrlPr>
                </m:fPr>
                <m:num>
                  <m:r>
                    <m:rPr>
                      <m:sty m:val="p"/>
                    </m:rPr>
                    <w:rPr>
                      <w:rFonts w:ascii="Cambria Math" w:hAnsi="Cambria Math"/>
                      <w:sz w:val="20"/>
                    </w:rPr>
                    <m:t>Massa de extracto liofilizado-Massa do tubo de falcon</m:t>
                  </m:r>
                </m:num>
                <m:den>
                  <m:r>
                    <m:rPr>
                      <m:sty m:val="p"/>
                    </m:rPr>
                    <w:rPr>
                      <w:rFonts w:ascii="Cambria Math" w:hAnsi="Cambria Math"/>
                      <w:sz w:val="20"/>
                    </w:rPr>
                    <m:t>Volume de extracto liofilizado</m:t>
                  </m:r>
                </m:den>
              </m:f>
            </m:den>
          </m:f>
        </m:oMath>
      </m:oMathPara>
    </w:p>
    <w:p w:rsidR="004A53B1" w:rsidRDefault="004A53B1" w:rsidP="004A53B1">
      <w:pPr>
        <w:tabs>
          <w:tab w:val="left" w:pos="1875"/>
        </w:tabs>
        <w:spacing w:after="0"/>
        <w:jc w:val="center"/>
        <w:rPr>
          <w:b/>
        </w:rPr>
      </w:pPr>
    </w:p>
    <w:p w:rsidR="004A53B1" w:rsidRDefault="004A53B1" w:rsidP="004A53B1">
      <w:pPr>
        <w:tabs>
          <w:tab w:val="left" w:pos="1875"/>
        </w:tabs>
        <w:spacing w:after="0"/>
        <w:jc w:val="center"/>
        <w:rPr>
          <w:b/>
        </w:rPr>
      </w:pPr>
    </w:p>
    <w:p w:rsidR="004A53B1" w:rsidRDefault="004A53B1" w:rsidP="004A53B1">
      <w:pPr>
        <w:ind w:firstLine="284"/>
        <w:jc w:val="both"/>
        <w:rPr>
          <w:rFonts w:ascii="Times New Roman" w:hAnsi="Times New Roman"/>
          <w:sz w:val="24"/>
          <w:szCs w:val="24"/>
        </w:rPr>
      </w:pPr>
      <w:r>
        <w:rPr>
          <w:rFonts w:ascii="Times New Roman" w:hAnsi="Times New Roman"/>
          <w:sz w:val="24"/>
          <w:szCs w:val="24"/>
        </w:rPr>
        <w:t>A concentração de extracto inicial determinada pêlo peso seco de cada extracto foi de: EB=13,09mg/mL; ERC=10,92mg/mL; e, EPC=0,65mg/mL.</w:t>
      </w:r>
    </w:p>
    <w:p w:rsidR="004A53B1" w:rsidRPr="00D45839" w:rsidRDefault="004A53B1" w:rsidP="004A53B1">
      <w:pPr>
        <w:ind w:firstLine="284"/>
        <w:jc w:val="both"/>
        <w:rPr>
          <w:sz w:val="28"/>
        </w:rPr>
      </w:pPr>
      <w:r>
        <w:rPr>
          <w:rFonts w:ascii="Times New Roman" w:hAnsi="Times New Roman"/>
          <w:sz w:val="24"/>
          <w:szCs w:val="24"/>
        </w:rPr>
        <w:t>O presente ensaio foi realizado em triplicado, tendo sido o tratamento de dados aplicado a cada réplica dos triplicados realizado em separado, correspondendo os resultados finais apresentados à média das três réplicas.</w:t>
      </w:r>
    </w:p>
    <w:p w:rsidR="004A53B1" w:rsidRDefault="004A53B1" w:rsidP="004A53B1">
      <w:pPr>
        <w:tabs>
          <w:tab w:val="left" w:pos="1875"/>
        </w:tabs>
        <w:spacing w:after="0"/>
        <w:jc w:val="both"/>
        <w:rPr>
          <w:b/>
        </w:rPr>
      </w:pPr>
    </w:p>
    <w:p w:rsidR="004A53B1" w:rsidRPr="003B4F7A" w:rsidRDefault="004A53B1" w:rsidP="004A53B1">
      <w:pPr>
        <w:pStyle w:val="PargrafodaLista"/>
        <w:numPr>
          <w:ilvl w:val="1"/>
          <w:numId w:val="24"/>
        </w:numPr>
        <w:tabs>
          <w:tab w:val="left" w:pos="1276"/>
        </w:tabs>
        <w:spacing w:after="0"/>
        <w:ind w:left="567" w:firstLine="0"/>
        <w:jc w:val="both"/>
        <w:rPr>
          <w:rFonts w:ascii="Times New Roman" w:hAnsi="Times New Roman"/>
          <w:b/>
          <w:sz w:val="28"/>
        </w:rPr>
      </w:pPr>
      <w:r w:rsidRPr="003B4F7A">
        <w:rPr>
          <w:rFonts w:ascii="Times New Roman" w:hAnsi="Times New Roman"/>
          <w:b/>
          <w:sz w:val="28"/>
        </w:rPr>
        <w:t>Quantificação de Hidroxitirosol presente nos extractos de</w:t>
      </w:r>
      <w:r w:rsidR="00F05DE6">
        <w:rPr>
          <w:rFonts w:ascii="Times New Roman" w:hAnsi="Times New Roman"/>
          <w:b/>
          <w:sz w:val="28"/>
        </w:rPr>
        <w:t>rivados de</w:t>
      </w:r>
      <w:r w:rsidRPr="003B4F7A">
        <w:rPr>
          <w:rFonts w:ascii="Times New Roman" w:hAnsi="Times New Roman"/>
          <w:b/>
          <w:sz w:val="28"/>
        </w:rPr>
        <w:t xml:space="preserve"> </w:t>
      </w:r>
      <w:r w:rsidR="00F05DE6">
        <w:rPr>
          <w:rFonts w:ascii="Times New Roman" w:hAnsi="Times New Roman"/>
          <w:b/>
          <w:sz w:val="28"/>
        </w:rPr>
        <w:t>bagaço de azeitona extractado</w:t>
      </w:r>
      <w:r w:rsidRPr="003B4F7A">
        <w:rPr>
          <w:rFonts w:ascii="Times New Roman" w:hAnsi="Times New Roman"/>
          <w:b/>
          <w:sz w:val="28"/>
        </w:rPr>
        <w:t xml:space="preserve"> por cromatografia líquida de</w:t>
      </w:r>
      <w:r>
        <w:rPr>
          <w:rFonts w:ascii="Times New Roman" w:hAnsi="Times New Roman"/>
          <w:b/>
          <w:sz w:val="28"/>
        </w:rPr>
        <w:t xml:space="preserve"> alta eficiência </w:t>
      </w:r>
    </w:p>
    <w:p w:rsidR="004A53B1" w:rsidRPr="003B4F7A" w:rsidRDefault="004A53B1" w:rsidP="004A53B1">
      <w:pPr>
        <w:tabs>
          <w:tab w:val="left" w:pos="1875"/>
        </w:tabs>
        <w:jc w:val="both"/>
        <w:rPr>
          <w:rFonts w:ascii="Times New Roman" w:hAnsi="Times New Roman"/>
          <w:sz w:val="24"/>
        </w:rPr>
      </w:pPr>
    </w:p>
    <w:p w:rsidR="004A53B1" w:rsidRPr="003B4F7A" w:rsidRDefault="004A53B1" w:rsidP="004A53B1">
      <w:pPr>
        <w:tabs>
          <w:tab w:val="left" w:pos="851"/>
        </w:tabs>
        <w:jc w:val="both"/>
        <w:rPr>
          <w:rFonts w:ascii="Times New Roman" w:hAnsi="Times New Roman"/>
          <w:sz w:val="24"/>
        </w:rPr>
      </w:pPr>
      <w:r w:rsidRPr="003B4F7A">
        <w:rPr>
          <w:rFonts w:ascii="Times New Roman" w:hAnsi="Times New Roman"/>
          <w:sz w:val="24"/>
        </w:rPr>
        <w:tab/>
        <w:t xml:space="preserve">As amostras de EPC, ERC e EB foram previamente filtradas com membranas GHP de 0,45µm de diâmetro de poro antes de serem injectadas. O sistema de HPLC Merck-Hitachi utilizado é constituído por um injector automático L-7200, por uma bomba quaternária L-7100 e por um detector ultravioleta-visível (UV) L-7420 que funcionou com o </w:t>
      </w:r>
      <w:r w:rsidRPr="0056617B">
        <w:rPr>
          <w:rFonts w:ascii="Times New Roman" w:hAnsi="Times New Roman"/>
          <w:i/>
          <w:sz w:val="24"/>
        </w:rPr>
        <w:t>software</w:t>
      </w:r>
      <w:r w:rsidRPr="003B4F7A">
        <w:rPr>
          <w:rFonts w:ascii="Times New Roman" w:hAnsi="Times New Roman"/>
          <w:sz w:val="24"/>
        </w:rPr>
        <w:t xml:space="preserve"> “HPLC </w:t>
      </w:r>
      <w:r w:rsidRPr="0056617B">
        <w:rPr>
          <w:rFonts w:ascii="Times New Roman" w:hAnsi="Times New Roman"/>
          <w:i/>
          <w:sz w:val="24"/>
        </w:rPr>
        <w:t>Data System</w:t>
      </w:r>
      <w:r w:rsidRPr="003B4F7A">
        <w:rPr>
          <w:rFonts w:ascii="Times New Roman" w:hAnsi="Times New Roman"/>
          <w:sz w:val="24"/>
        </w:rPr>
        <w:t>”. Foi usada uma coluna de fase reversa C</w:t>
      </w:r>
      <w:r w:rsidRPr="003B4F7A">
        <w:rPr>
          <w:rFonts w:ascii="Times New Roman" w:hAnsi="Times New Roman"/>
          <w:sz w:val="24"/>
          <w:vertAlign w:val="subscript"/>
        </w:rPr>
        <w:t>18</w:t>
      </w:r>
      <w:r>
        <w:rPr>
          <w:rFonts w:ascii="Times New Roman" w:hAnsi="Times New Roman"/>
          <w:sz w:val="24"/>
        </w:rPr>
        <w:t xml:space="preserve">, </w:t>
      </w:r>
      <w:r w:rsidRPr="003B4F7A">
        <w:rPr>
          <w:rFonts w:ascii="Times New Roman" w:hAnsi="Times New Roman"/>
          <w:sz w:val="24"/>
        </w:rPr>
        <w:t xml:space="preserve">Sherisorb ODS-2, 240x46mm e 5µm de tamanho de partícula da marca </w:t>
      </w:r>
      <w:r w:rsidRPr="003B4F7A">
        <w:rPr>
          <w:rFonts w:ascii="Times New Roman" w:hAnsi="Times New Roman"/>
          <w:i/>
          <w:sz w:val="24"/>
        </w:rPr>
        <w:t>Waters</w:t>
      </w:r>
      <w:r w:rsidRPr="003B4F7A">
        <w:rPr>
          <w:rFonts w:ascii="Times New Roman" w:hAnsi="Times New Roman"/>
          <w:sz w:val="24"/>
        </w:rPr>
        <w:t xml:space="preserve">, e </w:t>
      </w:r>
      <w:r w:rsidRPr="00AD442B">
        <w:rPr>
          <w:rFonts w:ascii="Times New Roman" w:hAnsi="Times New Roman"/>
          <w:sz w:val="24"/>
          <w:szCs w:val="24"/>
        </w:rPr>
        <w:t xml:space="preserve">uma pré-coluna </w:t>
      </w:r>
      <w:r w:rsidRPr="00AD442B">
        <w:rPr>
          <w:rStyle w:val="apple-style-span"/>
          <w:rFonts w:ascii="Times New Roman" w:hAnsi="Times New Roman"/>
          <w:sz w:val="24"/>
          <w:szCs w:val="24"/>
          <w:shd w:val="clear" w:color="auto" w:fill="FFFFFF"/>
        </w:rPr>
        <w:t>Sh</w:t>
      </w:r>
      <w:r>
        <w:rPr>
          <w:rStyle w:val="apple-style-span"/>
          <w:rFonts w:ascii="Times New Roman" w:hAnsi="Times New Roman"/>
          <w:sz w:val="24"/>
          <w:szCs w:val="24"/>
          <w:shd w:val="clear" w:color="auto" w:fill="FFFFFF"/>
        </w:rPr>
        <w:t>erisorb ODS-2, 30x4.6mm e 5</w:t>
      </w:r>
      <w:r w:rsidRPr="003B4F7A">
        <w:rPr>
          <w:rFonts w:ascii="Times New Roman" w:hAnsi="Times New Roman"/>
          <w:sz w:val="24"/>
        </w:rPr>
        <w:t>µm</w:t>
      </w:r>
      <w:r>
        <w:rPr>
          <w:rFonts w:ascii="Times New Roman" w:hAnsi="Times New Roman"/>
          <w:sz w:val="24"/>
        </w:rPr>
        <w:t xml:space="preserve"> </w:t>
      </w:r>
      <w:r w:rsidRPr="003B4F7A">
        <w:rPr>
          <w:rFonts w:ascii="Times New Roman" w:hAnsi="Times New Roman"/>
          <w:sz w:val="24"/>
        </w:rPr>
        <w:t>de tamanho de partícula</w:t>
      </w:r>
      <w:r w:rsidRPr="00AD442B">
        <w:rPr>
          <w:rStyle w:val="apple-style-span"/>
          <w:rFonts w:ascii="Times New Roman" w:hAnsi="Times New Roman"/>
          <w:sz w:val="24"/>
          <w:szCs w:val="24"/>
          <w:shd w:val="clear" w:color="auto" w:fill="FFFFFF"/>
        </w:rPr>
        <w:t>, Waters, Milford, MA, USA.</w:t>
      </w:r>
    </w:p>
    <w:p w:rsidR="004A53B1" w:rsidRPr="003B4F7A" w:rsidRDefault="004A53B1" w:rsidP="004A53B1">
      <w:pPr>
        <w:tabs>
          <w:tab w:val="left" w:pos="851"/>
        </w:tabs>
        <w:jc w:val="both"/>
        <w:rPr>
          <w:rFonts w:ascii="Times New Roman" w:hAnsi="Times New Roman"/>
          <w:sz w:val="24"/>
        </w:rPr>
      </w:pPr>
      <w:r>
        <w:tab/>
      </w:r>
      <w:r w:rsidR="00A44AF8" w:rsidRPr="00CF1152">
        <w:rPr>
          <w:rFonts w:ascii="Times New Roman" w:hAnsi="Times New Roman"/>
          <w:sz w:val="24"/>
        </w:rPr>
        <w:t>O volume de amostra injectada foi de 20µl no modo “loop total”, a uma absorvância de 280nm, à temperatura ambiente de 25ºC.</w:t>
      </w:r>
      <w:r w:rsidR="00A44AF8">
        <w:rPr>
          <w:rFonts w:ascii="Times New Roman" w:hAnsi="Times New Roman"/>
          <w:sz w:val="24"/>
        </w:rPr>
        <w:t xml:space="preserve"> </w:t>
      </w:r>
      <w:r w:rsidRPr="003B4F7A">
        <w:rPr>
          <w:rFonts w:ascii="Times New Roman" w:hAnsi="Times New Roman"/>
          <w:sz w:val="24"/>
        </w:rPr>
        <w:t xml:space="preserve">A separação foi alcançada por gradiente de fase móvel segundo o método de Jerman </w:t>
      </w:r>
      <w:r w:rsidRPr="003B4F7A">
        <w:rPr>
          <w:rFonts w:ascii="Times New Roman" w:hAnsi="Times New Roman"/>
          <w:i/>
          <w:sz w:val="24"/>
        </w:rPr>
        <w:t>et al</w:t>
      </w:r>
      <w:r w:rsidRPr="003B4F7A">
        <w:rPr>
          <w:rFonts w:ascii="Times New Roman" w:hAnsi="Times New Roman"/>
          <w:sz w:val="24"/>
        </w:rPr>
        <w:t>., 2010. A fase móvel foi composta por: (A) água Mili-Q (95%) / ácido acético (5%) (pH</w:t>
      </w:r>
      <w:r>
        <w:rPr>
          <w:rFonts w:ascii="Times New Roman" w:hAnsi="Times New Roman"/>
          <w:sz w:val="24"/>
        </w:rPr>
        <w:t xml:space="preserve"> </w:t>
      </w:r>
      <w:r w:rsidRPr="003B4F7A">
        <w:rPr>
          <w:rFonts w:ascii="Times New Roman" w:hAnsi="Times New Roman"/>
          <w:sz w:val="24"/>
        </w:rPr>
        <w:t xml:space="preserve">2,331), e (B) metanol, ambos foram previamente filtrados em vácuo com uma membrana GHP de 0,22µm de diâmetro de poro, tendo sido depois sujeitos a ultrasons por 15 min, para eliminação de possíveis bolhas nas soluções. </w:t>
      </w:r>
    </w:p>
    <w:p w:rsidR="004A53B1" w:rsidRPr="003B4F7A" w:rsidRDefault="004A53B1" w:rsidP="004A53B1">
      <w:pPr>
        <w:tabs>
          <w:tab w:val="left" w:pos="851"/>
        </w:tabs>
        <w:jc w:val="both"/>
        <w:rPr>
          <w:rFonts w:ascii="Times New Roman" w:hAnsi="Times New Roman"/>
          <w:sz w:val="24"/>
        </w:rPr>
      </w:pPr>
      <w:r w:rsidRPr="003B4F7A">
        <w:rPr>
          <w:rFonts w:ascii="Times New Roman" w:hAnsi="Times New Roman"/>
          <w:sz w:val="24"/>
        </w:rPr>
        <w:lastRenderedPageBreak/>
        <w:tab/>
      </w:r>
      <w:r w:rsidRPr="003B4F7A">
        <w:rPr>
          <w:rFonts w:ascii="Times New Roman" w:hAnsi="Times New Roman"/>
          <w:sz w:val="24"/>
          <w:lang w:val="sv-SE"/>
        </w:rPr>
        <w:t xml:space="preserve">O programa de gradiente utilizado foi: 5% B (0min), 10% B (3min), 25% B (18min), 29% B (19min), 30% B (24min), 31% B (30min), 35% B (31min), 45% B (41min), 55% B (51min), 65% B (61min), 100% B (67min), 5% B (70min). </w:t>
      </w:r>
      <w:r w:rsidRPr="003B4F7A">
        <w:rPr>
          <w:rFonts w:ascii="Times New Roman" w:hAnsi="Times New Roman"/>
          <w:sz w:val="24"/>
        </w:rPr>
        <w:t>O caudal da fase móvel foi de 1,0mL/min.</w:t>
      </w:r>
    </w:p>
    <w:p w:rsidR="004A53B1" w:rsidRPr="003B4F7A" w:rsidRDefault="004A53B1" w:rsidP="004A53B1">
      <w:pPr>
        <w:tabs>
          <w:tab w:val="left" w:pos="851"/>
        </w:tabs>
        <w:jc w:val="both"/>
        <w:rPr>
          <w:rFonts w:ascii="Times New Roman" w:hAnsi="Times New Roman"/>
          <w:sz w:val="24"/>
        </w:rPr>
      </w:pPr>
      <w:r w:rsidRPr="003B4F7A">
        <w:rPr>
          <w:rFonts w:ascii="Times New Roman" w:hAnsi="Times New Roman"/>
          <w:sz w:val="24"/>
        </w:rPr>
        <w:t>Concentrações testadas para a obtenção da curva de</w:t>
      </w:r>
      <w:r w:rsidRPr="003B4F7A">
        <w:rPr>
          <w:rFonts w:ascii="Times New Roman" w:hAnsi="Times New Roman"/>
          <w:color w:val="FF0000"/>
          <w:sz w:val="24"/>
        </w:rPr>
        <w:t xml:space="preserve"> </w:t>
      </w:r>
      <w:r w:rsidRPr="003B4F7A">
        <w:rPr>
          <w:rFonts w:ascii="Times New Roman" w:hAnsi="Times New Roman"/>
          <w:sz w:val="24"/>
        </w:rPr>
        <w:t>calibração de Hidroxitirosol:</w:t>
      </w:r>
    </w:p>
    <w:tbl>
      <w:tblPr>
        <w:tblStyle w:val="ListaClara-Cor5"/>
        <w:tblW w:w="0" w:type="auto"/>
        <w:jc w:val="center"/>
        <w:tblInd w:w="-164" w:type="dxa"/>
        <w:tblLook w:val="04A0"/>
      </w:tblPr>
      <w:tblGrid>
        <w:gridCol w:w="1994"/>
        <w:gridCol w:w="1550"/>
        <w:gridCol w:w="1675"/>
      </w:tblGrid>
      <w:tr w:rsidR="004A53B1" w:rsidRPr="003B4F7A" w:rsidTr="00CD0784">
        <w:trPr>
          <w:cnfStyle w:val="100000000000"/>
          <w:trHeight w:val="246"/>
          <w:jc w:val="center"/>
        </w:trPr>
        <w:tc>
          <w:tcPr>
            <w:cnfStyle w:val="001000000000"/>
            <w:tcW w:w="1994" w:type="dxa"/>
          </w:tcPr>
          <w:p w:rsidR="004A53B1" w:rsidRPr="003B4F7A" w:rsidRDefault="004A53B1" w:rsidP="00CD0784">
            <w:pPr>
              <w:tabs>
                <w:tab w:val="left" w:pos="851"/>
              </w:tabs>
              <w:spacing w:after="0" w:line="240" w:lineRule="auto"/>
              <w:jc w:val="center"/>
              <w:rPr>
                <w:rFonts w:ascii="Times New Roman" w:hAnsi="Times New Roman"/>
                <w:color w:val="auto"/>
                <w:sz w:val="20"/>
              </w:rPr>
            </w:pPr>
            <w:r w:rsidRPr="003B4F7A">
              <w:rPr>
                <w:rFonts w:ascii="Times New Roman" w:hAnsi="Times New Roman"/>
                <w:color w:val="auto"/>
                <w:sz w:val="20"/>
              </w:rPr>
              <w:t>Concentração de Hidroxitirosol (µg/mL)</w:t>
            </w:r>
          </w:p>
        </w:tc>
        <w:tc>
          <w:tcPr>
            <w:tcW w:w="1550" w:type="dxa"/>
          </w:tcPr>
          <w:p w:rsidR="004A53B1" w:rsidRPr="003B4F7A" w:rsidRDefault="004A53B1" w:rsidP="00CD0784">
            <w:pPr>
              <w:tabs>
                <w:tab w:val="left" w:pos="851"/>
              </w:tabs>
              <w:spacing w:after="0" w:line="240" w:lineRule="auto"/>
              <w:jc w:val="center"/>
              <w:cnfStyle w:val="100000000000"/>
              <w:rPr>
                <w:rFonts w:ascii="Times New Roman" w:hAnsi="Times New Roman"/>
                <w:color w:val="auto"/>
                <w:sz w:val="20"/>
              </w:rPr>
            </w:pPr>
            <w:r w:rsidRPr="003B4F7A">
              <w:rPr>
                <w:rFonts w:ascii="Times New Roman" w:hAnsi="Times New Roman"/>
                <w:color w:val="auto"/>
                <w:sz w:val="20"/>
              </w:rPr>
              <w:t>Volume de Hidroxitirsol (µL)</w:t>
            </w:r>
          </w:p>
        </w:tc>
        <w:tc>
          <w:tcPr>
            <w:tcW w:w="1675" w:type="dxa"/>
          </w:tcPr>
          <w:p w:rsidR="004A53B1" w:rsidRPr="003B4F7A" w:rsidRDefault="004A53B1" w:rsidP="00CD0784">
            <w:pPr>
              <w:tabs>
                <w:tab w:val="left" w:pos="851"/>
              </w:tabs>
              <w:spacing w:after="0" w:line="240" w:lineRule="auto"/>
              <w:jc w:val="center"/>
              <w:cnfStyle w:val="100000000000"/>
              <w:rPr>
                <w:rFonts w:ascii="Times New Roman" w:hAnsi="Times New Roman"/>
                <w:color w:val="auto"/>
                <w:sz w:val="20"/>
              </w:rPr>
            </w:pPr>
            <w:r w:rsidRPr="003B4F7A">
              <w:rPr>
                <w:rFonts w:ascii="Times New Roman" w:hAnsi="Times New Roman"/>
                <w:color w:val="auto"/>
                <w:sz w:val="20"/>
              </w:rPr>
              <w:t>Volume de água Mili-Q (µL)</w:t>
            </w:r>
          </w:p>
        </w:tc>
      </w:tr>
      <w:tr w:rsidR="004A53B1" w:rsidRPr="003B4F7A" w:rsidTr="00CD0784">
        <w:trPr>
          <w:cnfStyle w:val="000000100000"/>
          <w:trHeight w:val="260"/>
          <w:jc w:val="center"/>
        </w:trPr>
        <w:tc>
          <w:tcPr>
            <w:cnfStyle w:val="001000000000"/>
            <w:tcW w:w="1994" w:type="dxa"/>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50</w:t>
            </w:r>
          </w:p>
        </w:tc>
        <w:tc>
          <w:tcPr>
            <w:tcW w:w="1550" w:type="dxa"/>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50</w:t>
            </w:r>
          </w:p>
        </w:tc>
        <w:tc>
          <w:tcPr>
            <w:tcW w:w="1675" w:type="dxa"/>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950</w:t>
            </w:r>
          </w:p>
        </w:tc>
      </w:tr>
      <w:tr w:rsidR="004A53B1" w:rsidRPr="003B4F7A" w:rsidTr="00CD0784">
        <w:trPr>
          <w:trHeight w:val="260"/>
          <w:jc w:val="center"/>
        </w:trPr>
        <w:tc>
          <w:tcPr>
            <w:cnfStyle w:val="001000000000"/>
            <w:tcW w:w="1994" w:type="dxa"/>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100</w:t>
            </w:r>
          </w:p>
        </w:tc>
        <w:tc>
          <w:tcPr>
            <w:tcW w:w="1550" w:type="dxa"/>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100</w:t>
            </w:r>
          </w:p>
        </w:tc>
        <w:tc>
          <w:tcPr>
            <w:tcW w:w="1675" w:type="dxa"/>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900</w:t>
            </w:r>
          </w:p>
        </w:tc>
      </w:tr>
      <w:tr w:rsidR="004A53B1" w:rsidRPr="003B4F7A" w:rsidTr="00CD0784">
        <w:trPr>
          <w:cnfStyle w:val="000000100000"/>
          <w:trHeight w:val="246"/>
          <w:jc w:val="center"/>
        </w:trPr>
        <w:tc>
          <w:tcPr>
            <w:cnfStyle w:val="001000000000"/>
            <w:tcW w:w="1994" w:type="dxa"/>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200</w:t>
            </w:r>
          </w:p>
        </w:tc>
        <w:tc>
          <w:tcPr>
            <w:tcW w:w="1550" w:type="dxa"/>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200</w:t>
            </w:r>
          </w:p>
        </w:tc>
        <w:tc>
          <w:tcPr>
            <w:tcW w:w="1675" w:type="dxa"/>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800</w:t>
            </w:r>
          </w:p>
        </w:tc>
      </w:tr>
      <w:tr w:rsidR="004A53B1" w:rsidRPr="003B4F7A" w:rsidTr="00CD0784">
        <w:trPr>
          <w:trHeight w:val="260"/>
          <w:jc w:val="center"/>
        </w:trPr>
        <w:tc>
          <w:tcPr>
            <w:cnfStyle w:val="001000000000"/>
            <w:tcW w:w="1994" w:type="dxa"/>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300</w:t>
            </w:r>
          </w:p>
        </w:tc>
        <w:tc>
          <w:tcPr>
            <w:tcW w:w="1550" w:type="dxa"/>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300</w:t>
            </w:r>
          </w:p>
        </w:tc>
        <w:tc>
          <w:tcPr>
            <w:tcW w:w="1675" w:type="dxa"/>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700</w:t>
            </w:r>
          </w:p>
        </w:tc>
      </w:tr>
      <w:tr w:rsidR="004A53B1" w:rsidRPr="003B4F7A" w:rsidTr="00CD0784">
        <w:trPr>
          <w:cnfStyle w:val="000000100000"/>
          <w:trHeight w:val="246"/>
          <w:jc w:val="center"/>
        </w:trPr>
        <w:tc>
          <w:tcPr>
            <w:cnfStyle w:val="001000000000"/>
            <w:tcW w:w="1994" w:type="dxa"/>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400</w:t>
            </w:r>
          </w:p>
        </w:tc>
        <w:tc>
          <w:tcPr>
            <w:tcW w:w="1550" w:type="dxa"/>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400</w:t>
            </w:r>
          </w:p>
        </w:tc>
        <w:tc>
          <w:tcPr>
            <w:tcW w:w="1675" w:type="dxa"/>
          </w:tcPr>
          <w:p w:rsidR="004A53B1" w:rsidRPr="003B4F7A" w:rsidRDefault="004A53B1" w:rsidP="00CD0784">
            <w:pPr>
              <w:tabs>
                <w:tab w:val="left" w:pos="851"/>
              </w:tabs>
              <w:spacing w:after="0" w:line="240" w:lineRule="auto"/>
              <w:jc w:val="center"/>
              <w:cnfStyle w:val="000000100000"/>
              <w:rPr>
                <w:rFonts w:ascii="Times New Roman" w:hAnsi="Times New Roman"/>
                <w:sz w:val="20"/>
              </w:rPr>
            </w:pPr>
            <w:r w:rsidRPr="003B4F7A">
              <w:rPr>
                <w:rFonts w:ascii="Times New Roman" w:hAnsi="Times New Roman"/>
                <w:sz w:val="20"/>
              </w:rPr>
              <w:t>600</w:t>
            </w:r>
          </w:p>
        </w:tc>
      </w:tr>
      <w:tr w:rsidR="004A53B1" w:rsidRPr="003B4F7A" w:rsidTr="00CD0784">
        <w:trPr>
          <w:trHeight w:val="275"/>
          <w:jc w:val="center"/>
        </w:trPr>
        <w:tc>
          <w:tcPr>
            <w:cnfStyle w:val="001000000000"/>
            <w:tcW w:w="1994" w:type="dxa"/>
          </w:tcPr>
          <w:p w:rsidR="004A53B1" w:rsidRPr="003B4F7A" w:rsidRDefault="004A53B1" w:rsidP="00CD0784">
            <w:pPr>
              <w:tabs>
                <w:tab w:val="left" w:pos="851"/>
              </w:tabs>
              <w:spacing w:after="0" w:line="240" w:lineRule="auto"/>
              <w:jc w:val="center"/>
              <w:rPr>
                <w:rFonts w:ascii="Times New Roman" w:hAnsi="Times New Roman"/>
                <w:sz w:val="20"/>
              </w:rPr>
            </w:pPr>
            <w:r w:rsidRPr="003B4F7A">
              <w:rPr>
                <w:rFonts w:ascii="Times New Roman" w:hAnsi="Times New Roman"/>
                <w:sz w:val="20"/>
              </w:rPr>
              <w:t>500</w:t>
            </w:r>
          </w:p>
        </w:tc>
        <w:tc>
          <w:tcPr>
            <w:tcW w:w="1550" w:type="dxa"/>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500</w:t>
            </w:r>
          </w:p>
        </w:tc>
        <w:tc>
          <w:tcPr>
            <w:tcW w:w="1675" w:type="dxa"/>
          </w:tcPr>
          <w:p w:rsidR="004A53B1" w:rsidRPr="003B4F7A" w:rsidRDefault="004A53B1" w:rsidP="00CD0784">
            <w:pPr>
              <w:tabs>
                <w:tab w:val="left" w:pos="851"/>
              </w:tabs>
              <w:spacing w:after="0" w:line="240" w:lineRule="auto"/>
              <w:jc w:val="center"/>
              <w:cnfStyle w:val="000000000000"/>
              <w:rPr>
                <w:rFonts w:ascii="Times New Roman" w:hAnsi="Times New Roman"/>
                <w:sz w:val="20"/>
              </w:rPr>
            </w:pPr>
            <w:r w:rsidRPr="003B4F7A">
              <w:rPr>
                <w:rFonts w:ascii="Times New Roman" w:hAnsi="Times New Roman"/>
                <w:sz w:val="20"/>
              </w:rPr>
              <w:t>500</w:t>
            </w:r>
          </w:p>
        </w:tc>
      </w:tr>
    </w:tbl>
    <w:p w:rsidR="004A53B1" w:rsidRDefault="004A53B1" w:rsidP="004A53B1">
      <w:pPr>
        <w:tabs>
          <w:tab w:val="left" w:pos="851"/>
        </w:tabs>
        <w:spacing w:after="0"/>
        <w:jc w:val="both"/>
      </w:pPr>
    </w:p>
    <w:p w:rsidR="004A53B1" w:rsidRPr="003B4F7A" w:rsidRDefault="004A53B1" w:rsidP="004A53B1">
      <w:pPr>
        <w:tabs>
          <w:tab w:val="left" w:pos="851"/>
        </w:tabs>
        <w:spacing w:after="0"/>
        <w:jc w:val="both"/>
        <w:rPr>
          <w:rFonts w:ascii="Times New Roman" w:hAnsi="Times New Roman"/>
          <w:sz w:val="24"/>
          <w:szCs w:val="24"/>
        </w:rPr>
      </w:pPr>
      <w:r>
        <w:tab/>
      </w:r>
      <w:r>
        <w:rPr>
          <w:rFonts w:ascii="Times New Roman" w:hAnsi="Times New Roman"/>
          <w:sz w:val="24"/>
          <w:szCs w:val="24"/>
        </w:rPr>
        <w:t>Para o presente ensaio</w:t>
      </w:r>
      <w:r w:rsidRPr="003B4F7A">
        <w:rPr>
          <w:rFonts w:ascii="Times New Roman" w:hAnsi="Times New Roman"/>
          <w:sz w:val="24"/>
          <w:szCs w:val="24"/>
        </w:rPr>
        <w:t xml:space="preserve"> foi preparada uma solução de etanol a 1% </w:t>
      </w:r>
      <w:r w:rsidR="00F05DE6">
        <w:rPr>
          <w:rFonts w:ascii="Times New Roman" w:hAnsi="Times New Roman"/>
          <w:sz w:val="24"/>
          <w:szCs w:val="24"/>
        </w:rPr>
        <w:t>como branco para os padrões de H</w:t>
      </w:r>
      <w:r w:rsidRPr="003B4F7A">
        <w:rPr>
          <w:rFonts w:ascii="Times New Roman" w:hAnsi="Times New Roman"/>
          <w:sz w:val="24"/>
          <w:szCs w:val="24"/>
        </w:rPr>
        <w:t xml:space="preserve">idroxitirosol e uma solução de água destilada como branco para as amostras de EPC, ERC e EB. Após a obtenção dos cromatogramas foi possível obter a curva </w:t>
      </w:r>
      <w:r w:rsidRPr="00812FF4">
        <w:rPr>
          <w:rFonts w:ascii="Times New Roman" w:hAnsi="Times New Roman"/>
          <w:sz w:val="24"/>
          <w:szCs w:val="24"/>
        </w:rPr>
        <w:t>padrão</w:t>
      </w:r>
      <w:r w:rsidRPr="003B4F7A">
        <w:rPr>
          <w:rFonts w:ascii="Times New Roman" w:hAnsi="Times New Roman"/>
          <w:sz w:val="24"/>
          <w:szCs w:val="24"/>
        </w:rPr>
        <w:t xml:space="preserve"> de </w:t>
      </w:r>
      <w:r>
        <w:rPr>
          <w:rFonts w:ascii="Times New Roman" w:hAnsi="Times New Roman"/>
          <w:sz w:val="24"/>
          <w:szCs w:val="24"/>
        </w:rPr>
        <w:t>HT</w:t>
      </w:r>
      <w:r w:rsidRPr="003B4F7A">
        <w:rPr>
          <w:rFonts w:ascii="Times New Roman" w:hAnsi="Times New Roman"/>
          <w:sz w:val="24"/>
          <w:szCs w:val="24"/>
        </w:rPr>
        <w:t xml:space="preserve"> (área dos picos em função da concentração de HT) e a respectiva equação da recta. A equação da recta permi</w:t>
      </w:r>
      <w:r w:rsidR="00F05DE6">
        <w:rPr>
          <w:rFonts w:ascii="Times New Roman" w:hAnsi="Times New Roman"/>
          <w:sz w:val="24"/>
          <w:szCs w:val="24"/>
        </w:rPr>
        <w:t>tiu calcular a concentração de H</w:t>
      </w:r>
      <w:r w:rsidRPr="003B4F7A">
        <w:rPr>
          <w:rFonts w:ascii="Times New Roman" w:hAnsi="Times New Roman"/>
          <w:sz w:val="24"/>
          <w:szCs w:val="24"/>
        </w:rPr>
        <w:t>idroxitirosol presente em cada uma das amostras de extracto de bagaço de azeitona extractado, bem como o seu grau de pureza no presente fenol de interesse</w:t>
      </w:r>
      <w:r>
        <w:rPr>
          <w:rFonts w:ascii="Times New Roman" w:hAnsi="Times New Roman"/>
          <w:sz w:val="24"/>
          <w:szCs w:val="24"/>
        </w:rPr>
        <w:t xml:space="preserve">, </w:t>
      </w:r>
      <w:r>
        <w:rPr>
          <w:rFonts w:ascii="Times New Roman" w:hAnsi="Times New Roman"/>
          <w:sz w:val="24"/>
        </w:rPr>
        <w:t>pela fórmula abaixo descrita</w:t>
      </w:r>
      <w:r w:rsidRPr="003B4F7A">
        <w:rPr>
          <w:rFonts w:ascii="Times New Roman" w:hAnsi="Times New Roman"/>
          <w:sz w:val="24"/>
          <w:szCs w:val="24"/>
        </w:rPr>
        <w:t>.</w:t>
      </w:r>
    </w:p>
    <w:p w:rsidR="004A53B1" w:rsidRDefault="004A53B1" w:rsidP="004A53B1">
      <w:pPr>
        <w:tabs>
          <w:tab w:val="left" w:pos="851"/>
        </w:tabs>
        <w:jc w:val="both"/>
      </w:pPr>
    </w:p>
    <w:p w:rsidR="004A53B1" w:rsidRDefault="004A53B1" w:rsidP="004A53B1">
      <w:pPr>
        <w:tabs>
          <w:tab w:val="left" w:pos="851"/>
        </w:tabs>
        <w:spacing w:after="0"/>
        <w:jc w:val="both"/>
        <w:rPr>
          <w:rFonts w:ascii="Times New Roman" w:hAnsi="Times New Roman"/>
          <w:sz w:val="20"/>
        </w:rPr>
      </w:pPr>
      <m:oMathPara>
        <m:oMath>
          <m:r>
            <m:rPr>
              <m:sty m:val="p"/>
            </m:rPr>
            <w:rPr>
              <w:rFonts w:ascii="Cambria Math" w:hAnsi="Cambria Math"/>
              <w:sz w:val="20"/>
            </w:rPr>
            <m:t>Grau de Pureza em HT=</m:t>
          </m:r>
          <m:f>
            <m:fPr>
              <m:ctrlPr>
                <w:rPr>
                  <w:rFonts w:ascii="Cambria Math" w:hAnsi="Cambria Math"/>
                  <w:sz w:val="20"/>
                </w:rPr>
              </m:ctrlPr>
            </m:fPr>
            <m:num>
              <m:r>
                <m:rPr>
                  <m:sty m:val="p"/>
                </m:rPr>
                <w:rPr>
                  <w:rFonts w:ascii="Cambria Math" w:hAnsi="Cambria Math"/>
                  <w:sz w:val="20"/>
                </w:rPr>
                <m:t>Concentração de Hidroxitirosol (</m:t>
              </m:r>
              <m:f>
                <m:fPr>
                  <m:type m:val="lin"/>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mL) na amostra</m:t>
                  </m:r>
                </m:den>
              </m:f>
            </m:num>
            <m:den>
              <m:r>
                <m:rPr>
                  <m:sty m:val="p"/>
                </m:rPr>
                <w:rPr>
                  <w:rFonts w:ascii="Cambria Math" w:hAnsi="Cambria Math"/>
                  <w:sz w:val="20"/>
                </w:rPr>
                <m:t>Concentração de extracto (</m:t>
              </m:r>
              <m:f>
                <m:fPr>
                  <m:type m:val="lin"/>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mL</m:t>
                  </m:r>
                </m:den>
              </m:f>
              <m:r>
                <m:rPr>
                  <m:sty m:val="p"/>
                </m:rPr>
                <w:rPr>
                  <w:rFonts w:ascii="Cambria Math" w:hAnsi="Cambria Math"/>
                  <w:sz w:val="20"/>
                </w:rPr>
                <m:t>)</m:t>
              </m:r>
            </m:den>
          </m:f>
          <m:r>
            <m:rPr>
              <m:sty m:val="p"/>
            </m:rPr>
            <w:rPr>
              <w:rFonts w:ascii="Cambria Math" w:hAnsi="Cambria Math"/>
              <w:sz w:val="20"/>
            </w:rPr>
            <m:t xml:space="preserve"> ×100 </m:t>
          </m:r>
        </m:oMath>
      </m:oMathPara>
    </w:p>
    <w:p w:rsidR="004A53B1" w:rsidRDefault="004A53B1" w:rsidP="004A53B1">
      <w:pPr>
        <w:tabs>
          <w:tab w:val="left" w:pos="851"/>
        </w:tabs>
        <w:spacing w:after="0"/>
        <w:jc w:val="both"/>
        <w:rPr>
          <w:rFonts w:ascii="Times New Roman" w:hAnsi="Times New Roman"/>
          <w:sz w:val="20"/>
        </w:rPr>
      </w:pPr>
    </w:p>
    <w:p w:rsidR="004A53B1" w:rsidRDefault="004A53B1" w:rsidP="004A53B1">
      <w:pPr>
        <w:tabs>
          <w:tab w:val="left" w:pos="851"/>
        </w:tabs>
        <w:spacing w:after="0"/>
        <w:jc w:val="both"/>
        <w:rPr>
          <w:rFonts w:ascii="Times New Roman" w:hAnsi="Times New Roman"/>
          <w:sz w:val="24"/>
        </w:rPr>
      </w:pPr>
      <w:r w:rsidRPr="00796FEB">
        <w:rPr>
          <w:rFonts w:ascii="Times New Roman" w:hAnsi="Times New Roman"/>
          <w:sz w:val="24"/>
          <w:szCs w:val="24"/>
        </w:rPr>
        <w:t>O cálculo d</w:t>
      </w:r>
      <w:r>
        <w:rPr>
          <w:rFonts w:ascii="Times New Roman" w:hAnsi="Times New Roman"/>
          <w:sz w:val="24"/>
          <w:szCs w:val="24"/>
        </w:rPr>
        <w:t>a percentagem de Hidroxitirosol</w:t>
      </w:r>
      <w:r w:rsidRPr="00796FEB">
        <w:rPr>
          <w:rFonts w:ascii="Times New Roman" w:hAnsi="Times New Roman"/>
          <w:sz w:val="24"/>
          <w:szCs w:val="24"/>
        </w:rPr>
        <w:t xml:space="preserve"> presente</w:t>
      </w:r>
      <w:r>
        <w:rPr>
          <w:rFonts w:ascii="Times New Roman" w:hAnsi="Times New Roman"/>
          <w:sz w:val="24"/>
          <w:szCs w:val="24"/>
        </w:rPr>
        <w:t xml:space="preserve"> na fracção fenólica de cada extracto foi calculada </w:t>
      </w:r>
      <w:r w:rsidRPr="00796FEB">
        <w:rPr>
          <w:rFonts w:ascii="Times New Roman" w:hAnsi="Times New Roman"/>
          <w:sz w:val="24"/>
          <w:szCs w:val="24"/>
        </w:rPr>
        <w:t xml:space="preserve">segundo a </w:t>
      </w:r>
      <w:r>
        <w:rPr>
          <w:rFonts w:ascii="Times New Roman" w:hAnsi="Times New Roman"/>
          <w:sz w:val="24"/>
        </w:rPr>
        <w:t>fórmula abaixo descrita.</w:t>
      </w:r>
    </w:p>
    <w:p w:rsidR="004A53B1" w:rsidRDefault="004A53B1" w:rsidP="004A53B1">
      <w:pPr>
        <w:tabs>
          <w:tab w:val="left" w:pos="851"/>
        </w:tabs>
        <w:spacing w:after="0"/>
        <w:jc w:val="both"/>
        <w:rPr>
          <w:rFonts w:ascii="Times New Roman" w:hAnsi="Times New Roman"/>
          <w:sz w:val="24"/>
        </w:rPr>
      </w:pPr>
    </w:p>
    <w:p w:rsidR="004A53B1" w:rsidRDefault="004A53B1" w:rsidP="004A53B1">
      <w:pPr>
        <w:tabs>
          <w:tab w:val="left" w:pos="851"/>
        </w:tabs>
        <w:spacing w:after="0"/>
        <w:jc w:val="both"/>
        <w:rPr>
          <w:rFonts w:ascii="Times New Roman" w:hAnsi="Times New Roman"/>
          <w:sz w:val="24"/>
        </w:rPr>
      </w:pPr>
      <m:oMathPara>
        <m:oMath>
          <m:r>
            <m:rPr>
              <m:sty m:val="p"/>
            </m:rPr>
            <w:rPr>
              <w:rFonts w:ascii="Cambria Math" w:hAnsi="Cambria Math"/>
              <w:sz w:val="20"/>
            </w:rPr>
            <m:t xml:space="preserve">Percentagem </m:t>
          </m:r>
          <m:d>
            <m:dPr>
              <m:ctrlPr>
                <w:rPr>
                  <w:rFonts w:ascii="Cambria Math" w:hAnsi="Cambria Math"/>
                  <w:sz w:val="20"/>
                </w:rPr>
              </m:ctrlPr>
            </m:dPr>
            <m:e>
              <m:r>
                <m:rPr>
                  <m:sty m:val="p"/>
                </m:rPr>
                <w:rPr>
                  <w:rFonts w:ascii="Cambria Math" w:hAnsi="Cambria Math"/>
                  <w:sz w:val="20"/>
                </w:rPr>
                <m:t>%</m:t>
              </m:r>
            </m:e>
          </m:d>
          <m:r>
            <m:rPr>
              <m:sty m:val="p"/>
            </m:rPr>
            <w:rPr>
              <w:rFonts w:ascii="Cambria Math" w:hAnsi="Cambria Math"/>
              <w:sz w:val="20"/>
            </w:rPr>
            <m:t xml:space="preserve"> em HT =</m:t>
          </m:r>
          <m:f>
            <m:fPr>
              <m:ctrlPr>
                <w:rPr>
                  <w:rFonts w:ascii="Cambria Math" w:hAnsi="Cambria Math"/>
                  <w:sz w:val="20"/>
                </w:rPr>
              </m:ctrlPr>
            </m:fPr>
            <m:num>
              <m:r>
                <m:rPr>
                  <m:sty m:val="p"/>
                </m:rPr>
                <w:rPr>
                  <w:rFonts w:ascii="Cambria Math" w:hAnsi="Cambria Math"/>
                  <w:sz w:val="20"/>
                </w:rPr>
                <m:t>Concentração de HT(</m:t>
              </m:r>
              <m:f>
                <m:fPr>
                  <m:type m:val="lin"/>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mL) na amostra</m:t>
                  </m:r>
                </m:den>
              </m:f>
            </m:num>
            <m:den>
              <m:r>
                <m:rPr>
                  <m:sty m:val="p"/>
                </m:rPr>
                <w:rPr>
                  <w:rFonts w:ascii="Cambria Math" w:hAnsi="Cambria Math"/>
                  <w:sz w:val="20"/>
                </w:rPr>
                <m:t>Concentração de fenóis totais em cada extracto(</m:t>
              </m:r>
              <m:f>
                <m:fPr>
                  <m:type m:val="lin"/>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mL</m:t>
                  </m:r>
                </m:den>
              </m:f>
              <m:r>
                <m:rPr>
                  <m:sty m:val="p"/>
                </m:rPr>
                <w:rPr>
                  <w:rFonts w:ascii="Cambria Math" w:hAnsi="Cambria Math"/>
                  <w:sz w:val="20"/>
                </w:rPr>
                <m:t>)</m:t>
              </m:r>
            </m:den>
          </m:f>
          <m:r>
            <m:rPr>
              <m:sty m:val="p"/>
            </m:rPr>
            <w:rPr>
              <w:rFonts w:ascii="Cambria Math" w:hAnsi="Cambria Math"/>
              <w:sz w:val="20"/>
            </w:rPr>
            <m:t xml:space="preserve"> ×100</m:t>
          </m:r>
        </m:oMath>
      </m:oMathPara>
    </w:p>
    <w:p w:rsidR="004A53B1" w:rsidRDefault="004A53B1" w:rsidP="004A53B1">
      <w:pPr>
        <w:tabs>
          <w:tab w:val="left" w:pos="851"/>
        </w:tabs>
        <w:spacing w:after="0"/>
        <w:jc w:val="both"/>
      </w:pPr>
    </w:p>
    <w:p w:rsidR="004A53B1" w:rsidRPr="00D45839" w:rsidRDefault="004A53B1" w:rsidP="004A53B1">
      <w:pPr>
        <w:ind w:firstLine="567"/>
        <w:jc w:val="both"/>
        <w:rPr>
          <w:sz w:val="28"/>
        </w:rPr>
      </w:pPr>
      <w:r>
        <w:rPr>
          <w:rFonts w:ascii="Times New Roman" w:hAnsi="Times New Roman"/>
          <w:sz w:val="24"/>
          <w:szCs w:val="24"/>
        </w:rPr>
        <w:t>O presente ensaio foi realizado em triplicado, tendo sido o tratamento de dados aplicado a cada réplica dos triplicados realizado em separado, correspondendo os resultados finais apresentados à média das três réplicas.</w:t>
      </w: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tabs>
          <w:tab w:val="left" w:pos="851"/>
        </w:tabs>
        <w:spacing w:after="0"/>
        <w:jc w:val="both"/>
      </w:pPr>
    </w:p>
    <w:p w:rsidR="004A53B1" w:rsidRDefault="004A53B1" w:rsidP="004A53B1">
      <w:pPr>
        <w:pStyle w:val="PargrafodaLista"/>
        <w:numPr>
          <w:ilvl w:val="1"/>
          <w:numId w:val="24"/>
        </w:numPr>
        <w:tabs>
          <w:tab w:val="left" w:pos="567"/>
          <w:tab w:val="left" w:pos="1134"/>
        </w:tabs>
        <w:ind w:left="567" w:firstLine="0"/>
        <w:jc w:val="both"/>
        <w:rPr>
          <w:rFonts w:ascii="Times New Roman" w:hAnsi="Times New Roman"/>
          <w:b/>
          <w:sz w:val="28"/>
        </w:rPr>
      </w:pPr>
      <w:r>
        <w:rPr>
          <w:rFonts w:ascii="Times New Roman" w:hAnsi="Times New Roman"/>
          <w:b/>
          <w:sz w:val="28"/>
        </w:rPr>
        <w:t xml:space="preserve">Determinação da capacidade </w:t>
      </w:r>
      <w:r w:rsidRPr="00290FF2">
        <w:rPr>
          <w:rFonts w:ascii="Times New Roman" w:hAnsi="Times New Roman"/>
          <w:b/>
          <w:sz w:val="28"/>
        </w:rPr>
        <w:t>antioxidante dos extractos de bagaço de azeitona extrac</w:t>
      </w:r>
      <w:r>
        <w:rPr>
          <w:rFonts w:ascii="Times New Roman" w:hAnsi="Times New Roman"/>
          <w:b/>
          <w:sz w:val="28"/>
        </w:rPr>
        <w:t>tado pelos métodos DPPH e Poder Redutor</w:t>
      </w:r>
    </w:p>
    <w:p w:rsidR="004A53B1" w:rsidRDefault="004A53B1" w:rsidP="004A53B1">
      <w:pPr>
        <w:pStyle w:val="PargrafodaLista"/>
        <w:tabs>
          <w:tab w:val="left" w:pos="993"/>
        </w:tabs>
        <w:ind w:left="851"/>
        <w:jc w:val="both"/>
        <w:rPr>
          <w:rFonts w:ascii="Times New Roman" w:hAnsi="Times New Roman"/>
          <w:b/>
          <w:sz w:val="28"/>
        </w:rPr>
      </w:pPr>
    </w:p>
    <w:p w:rsidR="004A53B1" w:rsidRPr="00A23098" w:rsidRDefault="004A53B1" w:rsidP="004A53B1">
      <w:pPr>
        <w:pStyle w:val="PargrafodaLista"/>
        <w:numPr>
          <w:ilvl w:val="2"/>
          <w:numId w:val="24"/>
        </w:numPr>
        <w:tabs>
          <w:tab w:val="left" w:pos="709"/>
          <w:tab w:val="left" w:pos="993"/>
        </w:tabs>
        <w:ind w:hanging="554"/>
        <w:jc w:val="both"/>
        <w:rPr>
          <w:rStyle w:val="apple-style-span"/>
          <w:rFonts w:ascii="Times New Roman" w:hAnsi="Times New Roman"/>
          <w:b/>
          <w:sz w:val="28"/>
        </w:rPr>
      </w:pPr>
      <w:r w:rsidRPr="00A23098">
        <w:rPr>
          <w:rFonts w:ascii="Times New Roman" w:hAnsi="Times New Roman"/>
          <w:b/>
          <w:sz w:val="28"/>
        </w:rPr>
        <w:t xml:space="preserve">Ensaio de neutralização de radicais livres de DPPH </w:t>
      </w:r>
      <w:r w:rsidRPr="00A23098">
        <w:rPr>
          <w:rStyle w:val="apple-style-span"/>
          <w:rFonts w:ascii="Times New Roman" w:hAnsi="Times New Roman"/>
          <w:b/>
          <w:color w:val="000000"/>
          <w:sz w:val="28"/>
        </w:rPr>
        <w:t>(2,2-difenil-1-picrilhidrazilo)</w:t>
      </w:r>
    </w:p>
    <w:p w:rsidR="004A53B1" w:rsidRPr="002461A4" w:rsidRDefault="004A53B1" w:rsidP="004A53B1">
      <w:pPr>
        <w:pStyle w:val="PargrafodaLista"/>
        <w:tabs>
          <w:tab w:val="left" w:pos="993"/>
        </w:tabs>
        <w:spacing w:after="0"/>
        <w:ind w:left="1211"/>
        <w:jc w:val="both"/>
        <w:rPr>
          <w:rFonts w:ascii="Times New Roman" w:hAnsi="Times New Roman"/>
          <w:b/>
          <w:sz w:val="28"/>
        </w:rPr>
      </w:pPr>
    </w:p>
    <w:p w:rsidR="004A53B1" w:rsidRPr="00290FF2" w:rsidRDefault="004A53B1" w:rsidP="004A53B1">
      <w:pPr>
        <w:tabs>
          <w:tab w:val="left" w:pos="851"/>
        </w:tabs>
        <w:jc w:val="both"/>
        <w:rPr>
          <w:rFonts w:ascii="Times New Roman" w:hAnsi="Times New Roman"/>
          <w:sz w:val="24"/>
        </w:rPr>
      </w:pPr>
      <w:r>
        <w:tab/>
      </w:r>
      <w:r w:rsidR="00F05DE6" w:rsidRPr="00F05DE6">
        <w:rPr>
          <w:rFonts w:ascii="Times New Roman" w:hAnsi="Times New Roman"/>
          <w:sz w:val="24"/>
        </w:rPr>
        <w:t>O presente ensaio foi elaborado segundo o método de</w:t>
      </w:r>
      <w:r w:rsidR="00F05DE6">
        <w:rPr>
          <w:rFonts w:ascii="Times New Roman" w:hAnsi="Times New Roman"/>
          <w:sz w:val="24"/>
        </w:rPr>
        <w:t>scrito por</w:t>
      </w:r>
      <w:r w:rsidR="00F05DE6" w:rsidRPr="00F05DE6">
        <w:rPr>
          <w:rFonts w:ascii="Times New Roman" w:hAnsi="Times New Roman"/>
          <w:sz w:val="24"/>
        </w:rPr>
        <w:t xml:space="preserve"> Hatano </w:t>
      </w:r>
      <w:r w:rsidR="00F05DE6" w:rsidRPr="00F05DE6">
        <w:rPr>
          <w:rFonts w:ascii="Times New Roman" w:hAnsi="Times New Roman"/>
          <w:i/>
          <w:sz w:val="24"/>
        </w:rPr>
        <w:t>et al</w:t>
      </w:r>
      <w:r w:rsidR="00F05DE6" w:rsidRPr="00F05DE6">
        <w:rPr>
          <w:rFonts w:ascii="Times New Roman" w:hAnsi="Times New Roman"/>
          <w:sz w:val="24"/>
        </w:rPr>
        <w:t>., 1988.</w:t>
      </w:r>
      <w:r w:rsidR="00F05DE6">
        <w:t xml:space="preserve"> </w:t>
      </w:r>
      <w:r w:rsidRPr="00290FF2">
        <w:rPr>
          <w:rFonts w:ascii="Times New Roman" w:hAnsi="Times New Roman"/>
          <w:sz w:val="24"/>
        </w:rPr>
        <w:t xml:space="preserve">Preparam-se as seguintes concentrações para cada um dos três extractos (EPC, ERC e EB) em água destilada de acordo com o seu conteúdo em fenóis totais: </w:t>
      </w:r>
      <w:r>
        <w:rPr>
          <w:rFonts w:ascii="Times New Roman" w:hAnsi="Times New Roman"/>
          <w:sz w:val="24"/>
        </w:rPr>
        <w:t>0,1;</w:t>
      </w:r>
      <w:r w:rsidRPr="00290FF2">
        <w:rPr>
          <w:rFonts w:ascii="Times New Roman" w:hAnsi="Times New Roman"/>
          <w:sz w:val="24"/>
        </w:rPr>
        <w:t xml:space="preserve"> </w:t>
      </w:r>
      <w:r>
        <w:rPr>
          <w:rFonts w:ascii="Times New Roman" w:hAnsi="Times New Roman"/>
          <w:sz w:val="24"/>
        </w:rPr>
        <w:t>0,</w:t>
      </w:r>
      <w:r w:rsidRPr="00290FF2">
        <w:rPr>
          <w:rFonts w:ascii="Times New Roman" w:hAnsi="Times New Roman"/>
          <w:sz w:val="24"/>
        </w:rPr>
        <w:t>5</w:t>
      </w:r>
      <w:r>
        <w:rPr>
          <w:rFonts w:ascii="Times New Roman" w:hAnsi="Times New Roman"/>
          <w:sz w:val="24"/>
        </w:rPr>
        <w:t>; 1; 2; 3; 4; 5 e 10</w:t>
      </w:r>
      <w:r w:rsidRPr="00290FF2">
        <w:rPr>
          <w:rFonts w:ascii="Times New Roman" w:hAnsi="Times New Roman"/>
          <w:sz w:val="24"/>
        </w:rPr>
        <w:t xml:space="preserve">μg/mL. Misturaram-se 0,3mL de amostra </w:t>
      </w:r>
      <w:r>
        <w:rPr>
          <w:rFonts w:ascii="Times New Roman" w:hAnsi="Times New Roman"/>
          <w:sz w:val="24"/>
        </w:rPr>
        <w:t xml:space="preserve">de extracto </w:t>
      </w:r>
      <w:r w:rsidRPr="00290FF2">
        <w:rPr>
          <w:rFonts w:ascii="Times New Roman" w:hAnsi="Times New Roman"/>
          <w:sz w:val="24"/>
        </w:rPr>
        <w:t>diluída com 2,7mL de solução metanólica de DPPH (6x10</w:t>
      </w:r>
      <w:r w:rsidRPr="00290FF2">
        <w:rPr>
          <w:rFonts w:ascii="Times New Roman" w:hAnsi="Times New Roman"/>
          <w:sz w:val="24"/>
          <w:vertAlign w:val="superscript"/>
        </w:rPr>
        <w:t>-5</w:t>
      </w:r>
      <w:r w:rsidRPr="00290FF2">
        <w:rPr>
          <w:rFonts w:ascii="Times New Roman" w:hAnsi="Times New Roman"/>
          <w:sz w:val="24"/>
        </w:rPr>
        <w:t xml:space="preserve">M), sendo a amostra substituída pela mesma quantidade em água destilada para o controlo. Agitaram-se os tubos de ensaio no vórtex e foram colocados de seguida cerca de 1h no escuro, à temperatura ambiente. Após o tempo de espera leu-se a absorvância de cada amostra a 517nm </w:t>
      </w:r>
      <w:r w:rsidRPr="00290FF2">
        <w:rPr>
          <w:rFonts w:ascii="Times New Roman" w:hAnsi="Times New Roman"/>
          <w:i/>
          <w:sz w:val="24"/>
        </w:rPr>
        <w:t>versus</w:t>
      </w:r>
      <w:r w:rsidRPr="00290FF2">
        <w:rPr>
          <w:rFonts w:ascii="Times New Roman" w:hAnsi="Times New Roman"/>
          <w:sz w:val="24"/>
        </w:rPr>
        <w:t xml:space="preserve"> os brancos constituídos por 0,3mL de água destilada e 2,7mL de metanol (branco do controlo) e, 0,3mL de amostra diluída e 2,7mL de metanol (branco da amostra). Quanto menor a absorvância registada, maior é a capacidade antioxidante da amostra. Por fim calculou-se a percentagem de neutralização de radicais livres DPPH de cada amostra de acordo com a seguinte fórmula:</w:t>
      </w:r>
    </w:p>
    <w:p w:rsidR="004A53B1" w:rsidRPr="001C43E6" w:rsidRDefault="007B02FE" w:rsidP="004A53B1">
      <w:pPr>
        <w:tabs>
          <w:tab w:val="left" w:pos="851"/>
        </w:tabs>
        <w:jc w:val="both"/>
      </w:pPr>
      <w:r>
        <w:rPr>
          <w:noProof/>
          <w:lang w:eastAsia="pt-PT"/>
        </w:rPr>
        <w:pict>
          <v:shape id="_x0000_s1057" type="#_x0000_t202" style="position:absolute;left:0;text-align:left;margin-left:154.2pt;margin-top:17.3pt;width:281.25pt;height:34.5pt;z-index:251697152" filled="f" stroked="f">
            <v:textbox>
              <w:txbxContent>
                <w:p w:rsidR="00B766F9" w:rsidRPr="00812FF4" w:rsidRDefault="00B766F9" w:rsidP="004A53B1">
                  <w:pPr>
                    <w:rPr>
                      <w:rFonts w:ascii="Times New Roman" w:hAnsi="Times New Roman"/>
                    </w:rPr>
                  </w:pPr>
                  <w:r w:rsidRPr="00812FF4">
                    <w:rPr>
                      <w:rFonts w:ascii="Times New Roman" w:hAnsi="Times New Roman"/>
                    </w:rPr>
                    <w:t>Abs</w:t>
                  </w:r>
                  <w:r w:rsidRPr="00812FF4">
                    <w:rPr>
                      <w:rFonts w:ascii="Times New Roman" w:hAnsi="Times New Roman"/>
                      <w:vertAlign w:val="subscript"/>
                    </w:rPr>
                    <w:t>517nm</w:t>
                  </w:r>
                  <w:r w:rsidRPr="00812FF4">
                    <w:rPr>
                      <w:rFonts w:ascii="Times New Roman" w:hAnsi="Times New Roman"/>
                    </w:rPr>
                    <w:t xml:space="preserve"> do Controlo  –  Abs</w:t>
                  </w:r>
                  <w:r w:rsidRPr="00812FF4">
                    <w:rPr>
                      <w:rFonts w:ascii="Times New Roman" w:hAnsi="Times New Roman"/>
                      <w:vertAlign w:val="subscript"/>
                    </w:rPr>
                    <w:t>517nm</w:t>
                  </w:r>
                  <w:r w:rsidRPr="00812FF4">
                    <w:rPr>
                      <w:rFonts w:ascii="Times New Roman" w:hAnsi="Times New Roman"/>
                    </w:rPr>
                    <w:t xml:space="preserve"> da Amostra </w:t>
                  </w:r>
                </w:p>
              </w:txbxContent>
            </v:textbox>
          </v:shape>
        </w:pict>
      </w:r>
      <w:r>
        <w:rPr>
          <w:noProof/>
          <w:lang w:eastAsia="pt-PT"/>
        </w:rPr>
        <w:pict>
          <v:shape id="_x0000_s1055" type="#_x0000_t202" style="position:absolute;left:0;text-align:left;margin-left:-5.55pt;margin-top:21.05pt;width:159.75pt;height:37.5pt;z-index:251695104" filled="f" stroked="f">
            <v:textbox>
              <w:txbxContent>
                <w:p w:rsidR="00B766F9" w:rsidRPr="00812FF4" w:rsidRDefault="00B766F9" w:rsidP="004A53B1">
                  <w:pPr>
                    <w:tabs>
                      <w:tab w:val="left" w:pos="851"/>
                    </w:tabs>
                    <w:jc w:val="center"/>
                    <w:rPr>
                      <w:rFonts w:ascii="Times New Roman" w:hAnsi="Times New Roman"/>
                    </w:rPr>
                  </w:pPr>
                  <w:r w:rsidRPr="00812FF4">
                    <w:rPr>
                      <w:rFonts w:ascii="Times New Roman" w:hAnsi="Times New Roman"/>
                    </w:rPr>
                    <w:t>% Neutralização de radicais livres DPPH</w:t>
                  </w:r>
                </w:p>
                <w:p w:rsidR="00B766F9" w:rsidRPr="00812FF4" w:rsidRDefault="00B766F9" w:rsidP="004A53B1">
                  <w:pPr>
                    <w:jc w:val="center"/>
                    <w:rPr>
                      <w:rFonts w:ascii="Times New Roman" w:hAnsi="Times New Roman"/>
                    </w:rPr>
                  </w:pPr>
                </w:p>
              </w:txbxContent>
            </v:textbox>
          </v:shape>
        </w:pict>
      </w:r>
    </w:p>
    <w:p w:rsidR="004A53B1" w:rsidRPr="001C43E6" w:rsidRDefault="007B02FE" w:rsidP="004A53B1">
      <w:pPr>
        <w:tabs>
          <w:tab w:val="left" w:pos="851"/>
        </w:tabs>
        <w:jc w:val="both"/>
        <w:rPr>
          <w:sz w:val="18"/>
        </w:rPr>
      </w:pPr>
      <w:r w:rsidRPr="007B02FE">
        <w:rPr>
          <w:noProof/>
          <w:lang w:eastAsia="pt-PT"/>
        </w:rPr>
        <w:pict>
          <v:shape id="_x0000_s1060" type="#_x0000_t202" style="position:absolute;left:0;text-align:left;margin-left:365.7pt;margin-top:1.6pt;width:47.25pt;height:32.35pt;z-index:251700224" filled="f" stroked="f">
            <v:textbox style="mso-next-textbox:#_x0000_s1060">
              <w:txbxContent>
                <w:p w:rsidR="00B766F9" w:rsidRPr="00812FF4" w:rsidRDefault="00B766F9" w:rsidP="004A53B1">
                  <w:pPr>
                    <w:rPr>
                      <w:rFonts w:ascii="Times New Roman" w:hAnsi="Times New Roman"/>
                    </w:rPr>
                  </w:pPr>
                  <w:r w:rsidRPr="00812FF4">
                    <w:rPr>
                      <w:rFonts w:ascii="Times New Roman" w:hAnsi="Times New Roman"/>
                    </w:rPr>
                    <w:t>X 100</w:t>
                  </w:r>
                </w:p>
              </w:txbxContent>
            </v:textbox>
          </v:shape>
        </w:pict>
      </w:r>
      <w:r w:rsidRPr="007B02FE">
        <w:rPr>
          <w:noProof/>
          <w:lang w:eastAsia="pt-PT"/>
        </w:rPr>
        <w:pict>
          <v:shape id="_x0000_s1059" type="#_x0000_t202" style="position:absolute;left:0;text-align:left;margin-left:182.7pt;margin-top:12.75pt;width:158.25pt;height:34.5pt;z-index:251699200" filled="f" stroked="f">
            <v:textbox>
              <w:txbxContent>
                <w:p w:rsidR="00B766F9" w:rsidRPr="00812FF4" w:rsidRDefault="00B766F9" w:rsidP="004A53B1">
                  <w:pPr>
                    <w:jc w:val="center"/>
                    <w:rPr>
                      <w:rFonts w:ascii="Times New Roman" w:hAnsi="Times New Roman"/>
                    </w:rPr>
                  </w:pPr>
                  <w:r w:rsidRPr="00812FF4">
                    <w:rPr>
                      <w:rFonts w:ascii="Times New Roman" w:hAnsi="Times New Roman"/>
                    </w:rPr>
                    <w:t>Abs</w:t>
                  </w:r>
                  <w:r w:rsidRPr="00812FF4">
                    <w:rPr>
                      <w:rFonts w:ascii="Times New Roman" w:hAnsi="Times New Roman"/>
                      <w:vertAlign w:val="subscript"/>
                    </w:rPr>
                    <w:t>517nm</w:t>
                  </w:r>
                  <w:r w:rsidRPr="00812FF4">
                    <w:rPr>
                      <w:rFonts w:ascii="Times New Roman" w:hAnsi="Times New Roman"/>
                    </w:rPr>
                    <w:t xml:space="preserve"> do Controlo</w:t>
                  </w:r>
                </w:p>
              </w:txbxContent>
            </v:textbox>
          </v:shape>
        </w:pict>
      </w:r>
      <w:r w:rsidRPr="007B02FE">
        <w:rPr>
          <w:noProof/>
          <w:lang w:eastAsia="pt-PT"/>
        </w:rPr>
        <w:pict>
          <v:shapetype id="_x0000_t32" coordsize="21600,21600" o:spt="32" o:oned="t" path="m,l21600,21600e" filled="f">
            <v:path arrowok="t" fillok="f" o:connecttype="none"/>
            <o:lock v:ext="edit" shapetype="t"/>
          </v:shapetype>
          <v:shape id="_x0000_s1058" type="#_x0000_t32" style="position:absolute;left:0;text-align:left;margin-left:154.2pt;margin-top:12.5pt;width:211.5pt;height:0;z-index:251698176" o:connectortype="straight"/>
        </w:pict>
      </w:r>
      <w:r w:rsidRPr="007B02FE">
        <w:rPr>
          <w:noProof/>
          <w:lang w:eastAsia="pt-PT"/>
        </w:rPr>
        <w:pict>
          <v:shape id="_x0000_s1056" type="#_x0000_t202" style="position:absolute;left:0;text-align:left;margin-left:134.7pt;margin-top:.75pt;width:32.25pt;height:32.35pt;z-index:251696128" filled="f" stroked="f">
            <v:textbox>
              <w:txbxContent>
                <w:p w:rsidR="00B766F9" w:rsidRDefault="00B766F9" w:rsidP="004A53B1">
                  <w:r>
                    <w:t>=</w:t>
                  </w:r>
                </w:p>
              </w:txbxContent>
            </v:textbox>
          </v:shape>
        </w:pict>
      </w:r>
    </w:p>
    <w:p w:rsidR="004A53B1" w:rsidRDefault="004A53B1" w:rsidP="004A53B1">
      <w:pPr>
        <w:tabs>
          <w:tab w:val="left" w:pos="851"/>
        </w:tabs>
        <w:jc w:val="both"/>
      </w:pPr>
    </w:p>
    <w:p w:rsidR="004A53B1" w:rsidRDefault="004A53B1" w:rsidP="004A53B1">
      <w:pPr>
        <w:tabs>
          <w:tab w:val="left" w:pos="851"/>
        </w:tabs>
        <w:spacing w:after="0"/>
        <w:jc w:val="both"/>
      </w:pPr>
    </w:p>
    <w:p w:rsidR="004A53B1" w:rsidRPr="00D45839" w:rsidRDefault="004A53B1" w:rsidP="004A53B1">
      <w:pPr>
        <w:ind w:firstLine="284"/>
        <w:jc w:val="both"/>
        <w:rPr>
          <w:sz w:val="28"/>
        </w:rPr>
      </w:pPr>
      <w:r>
        <w:tab/>
      </w:r>
      <w:r w:rsidRPr="00290FF2">
        <w:rPr>
          <w:rFonts w:ascii="Times New Roman" w:hAnsi="Times New Roman"/>
          <w:sz w:val="24"/>
        </w:rPr>
        <w:t xml:space="preserve">Obtidas as percentagens de neutralização das concentrações testadas para cada um dos extractos, através do </w:t>
      </w:r>
      <w:r w:rsidRPr="0056617B">
        <w:rPr>
          <w:rFonts w:ascii="Times New Roman" w:hAnsi="Times New Roman"/>
          <w:i/>
          <w:sz w:val="24"/>
        </w:rPr>
        <w:t>software</w:t>
      </w:r>
      <w:r w:rsidRPr="00290FF2">
        <w:rPr>
          <w:rFonts w:ascii="Times New Roman" w:hAnsi="Times New Roman"/>
          <w:sz w:val="24"/>
        </w:rPr>
        <w:t xml:space="preserve"> </w:t>
      </w:r>
      <w:r w:rsidRPr="00290FF2">
        <w:rPr>
          <w:rFonts w:ascii="Times New Roman" w:hAnsi="Times New Roman"/>
          <w:i/>
          <w:sz w:val="24"/>
        </w:rPr>
        <w:t xml:space="preserve">Sigma Plot 11.0 </w:t>
      </w:r>
      <w:r w:rsidRPr="00290FF2">
        <w:rPr>
          <w:rFonts w:ascii="Times New Roman" w:hAnsi="Times New Roman"/>
          <w:sz w:val="24"/>
        </w:rPr>
        <w:t>calculou-se o IC</w:t>
      </w:r>
      <w:r w:rsidRPr="00290FF2">
        <w:rPr>
          <w:rFonts w:ascii="Times New Roman" w:hAnsi="Times New Roman"/>
          <w:sz w:val="24"/>
          <w:vertAlign w:val="subscript"/>
        </w:rPr>
        <w:t>50</w:t>
      </w:r>
      <w:r>
        <w:rPr>
          <w:rFonts w:ascii="Times New Roman" w:hAnsi="Times New Roman"/>
          <w:sz w:val="24"/>
        </w:rPr>
        <w:t>(µg/mL)</w:t>
      </w:r>
      <w:r w:rsidRPr="00290FF2">
        <w:rPr>
          <w:rFonts w:ascii="Times New Roman" w:hAnsi="Times New Roman"/>
          <w:sz w:val="24"/>
          <w:vertAlign w:val="subscript"/>
        </w:rPr>
        <w:t xml:space="preserve"> </w:t>
      </w:r>
      <w:r w:rsidRPr="00290FF2">
        <w:rPr>
          <w:rFonts w:ascii="Times New Roman" w:hAnsi="Times New Roman"/>
          <w:sz w:val="24"/>
        </w:rPr>
        <w:t xml:space="preserve"> de cada um dos extractos, definido como a concentração de amostra necessária para a inibição da concentração inicial de radicais livres DPPH em 50%, sendo calculado através do gráfico da percentagem de neutralização em função do logaritmo da concentração</w:t>
      </w:r>
      <w:r>
        <w:rPr>
          <w:rFonts w:ascii="Times New Roman" w:hAnsi="Times New Roman"/>
          <w:sz w:val="24"/>
        </w:rPr>
        <w:t xml:space="preserve"> de extracto</w:t>
      </w:r>
      <w:r w:rsidRPr="00290FF2">
        <w:rPr>
          <w:rFonts w:ascii="Times New Roman" w:hAnsi="Times New Roman"/>
          <w:sz w:val="24"/>
        </w:rPr>
        <w:t>.</w:t>
      </w:r>
      <w:r w:rsidRPr="00290FF2">
        <w:rPr>
          <w:rFonts w:ascii="Times New Roman" w:hAnsi="Times New Roman"/>
          <w:color w:val="FF0000"/>
          <w:sz w:val="24"/>
        </w:rPr>
        <w:t xml:space="preserve"> </w:t>
      </w:r>
      <w:r w:rsidRPr="00290FF2">
        <w:rPr>
          <w:rFonts w:ascii="Times New Roman" w:hAnsi="Times New Roman"/>
          <w:sz w:val="24"/>
        </w:rPr>
        <w:t>Um baixo valor de IC</w:t>
      </w:r>
      <w:r w:rsidRPr="00290FF2">
        <w:rPr>
          <w:rFonts w:ascii="Times New Roman" w:hAnsi="Times New Roman"/>
          <w:sz w:val="24"/>
          <w:vertAlign w:val="subscript"/>
        </w:rPr>
        <w:t xml:space="preserve">50 </w:t>
      </w:r>
      <w:r w:rsidRPr="00290FF2">
        <w:rPr>
          <w:rFonts w:ascii="Times New Roman" w:hAnsi="Times New Roman"/>
          <w:sz w:val="24"/>
        </w:rPr>
        <w:t xml:space="preserve">corresponde a uma elevada actividade antioxidante. No presente ensaio o composto fenólico Hidroxitirosol, predominante na azeitona e conhecido pela sua forte capacidade antioxidante, é utilizado como padrão de referência para as amostras de cada extracto, bem como outros dois padrões de referência o α-tocoferol, um antioxidante natural, e o hidroxianisolo butilado (BHA), um conhecido antioxidante sintético. </w:t>
      </w:r>
      <w:r>
        <w:rPr>
          <w:rFonts w:ascii="Times New Roman" w:hAnsi="Times New Roman"/>
          <w:sz w:val="24"/>
          <w:szCs w:val="24"/>
        </w:rPr>
        <w:t xml:space="preserve">O presente ensaio foi realizado em triplicado, </w:t>
      </w:r>
      <w:r>
        <w:rPr>
          <w:rFonts w:ascii="Times New Roman" w:hAnsi="Times New Roman"/>
          <w:sz w:val="24"/>
          <w:szCs w:val="24"/>
        </w:rPr>
        <w:lastRenderedPageBreak/>
        <w:t>tendo sido o tratamento de dados aplicado a cada réplica dos triplicados realizado em separado, correspondendo os resultados finais apresentados à média das três réplicas.</w:t>
      </w:r>
    </w:p>
    <w:p w:rsidR="004A53B1" w:rsidRDefault="004A53B1" w:rsidP="004A53B1">
      <w:pPr>
        <w:ind w:firstLine="284"/>
        <w:jc w:val="both"/>
      </w:pPr>
    </w:p>
    <w:p w:rsidR="004A53B1" w:rsidRPr="00BC053C" w:rsidRDefault="004A53B1" w:rsidP="00F05DE6">
      <w:pPr>
        <w:jc w:val="both"/>
      </w:pPr>
    </w:p>
    <w:p w:rsidR="004A53B1" w:rsidRPr="00A23098" w:rsidRDefault="004A53B1" w:rsidP="004A53B1">
      <w:pPr>
        <w:pStyle w:val="PargrafodaLista"/>
        <w:numPr>
          <w:ilvl w:val="2"/>
          <w:numId w:val="24"/>
        </w:numPr>
        <w:tabs>
          <w:tab w:val="left" w:pos="993"/>
        </w:tabs>
        <w:jc w:val="both"/>
        <w:rPr>
          <w:rFonts w:ascii="Times New Roman" w:hAnsi="Times New Roman"/>
          <w:b/>
          <w:sz w:val="28"/>
        </w:rPr>
      </w:pPr>
      <w:r w:rsidRPr="00A23098">
        <w:rPr>
          <w:rFonts w:ascii="Times New Roman" w:hAnsi="Times New Roman"/>
          <w:b/>
          <w:sz w:val="28"/>
        </w:rPr>
        <w:t>Ensaio do Poder Redutor</w:t>
      </w:r>
    </w:p>
    <w:p w:rsidR="004A53B1" w:rsidRDefault="004A53B1" w:rsidP="004A53B1">
      <w:pPr>
        <w:pStyle w:val="PargrafodaLista"/>
        <w:tabs>
          <w:tab w:val="left" w:pos="851"/>
        </w:tabs>
        <w:jc w:val="center"/>
        <w:rPr>
          <w:b/>
        </w:rPr>
      </w:pPr>
    </w:p>
    <w:p w:rsidR="004A53B1" w:rsidRPr="00D45839" w:rsidRDefault="00F05DE6" w:rsidP="004A53B1">
      <w:pPr>
        <w:ind w:firstLine="708"/>
        <w:jc w:val="both"/>
        <w:rPr>
          <w:sz w:val="28"/>
        </w:rPr>
      </w:pPr>
      <w:r w:rsidRPr="00F05DE6">
        <w:rPr>
          <w:rFonts w:ascii="Times New Roman" w:hAnsi="Times New Roman"/>
          <w:sz w:val="24"/>
        </w:rPr>
        <w:t>O presente ensaio foi elaborado segundo o método de</w:t>
      </w:r>
      <w:r>
        <w:rPr>
          <w:rFonts w:ascii="Times New Roman" w:hAnsi="Times New Roman"/>
          <w:sz w:val="24"/>
        </w:rPr>
        <w:t>scrito por</w:t>
      </w:r>
      <w:r w:rsidRPr="00F05DE6">
        <w:rPr>
          <w:rFonts w:ascii="Times New Roman" w:hAnsi="Times New Roman"/>
          <w:sz w:val="24"/>
        </w:rPr>
        <w:t xml:space="preserve"> </w:t>
      </w:r>
      <w:r>
        <w:rPr>
          <w:rFonts w:ascii="Times New Roman" w:hAnsi="Times New Roman"/>
          <w:sz w:val="24"/>
        </w:rPr>
        <w:t xml:space="preserve">Oyaizu </w:t>
      </w:r>
      <w:r w:rsidRPr="00F05DE6">
        <w:rPr>
          <w:rFonts w:ascii="Times New Roman" w:hAnsi="Times New Roman"/>
          <w:i/>
          <w:sz w:val="24"/>
        </w:rPr>
        <w:t>et al</w:t>
      </w:r>
      <w:r w:rsidRPr="00F05DE6">
        <w:rPr>
          <w:rFonts w:ascii="Times New Roman" w:hAnsi="Times New Roman"/>
          <w:sz w:val="24"/>
        </w:rPr>
        <w:t>., 198</w:t>
      </w:r>
      <w:r>
        <w:rPr>
          <w:rFonts w:ascii="Times New Roman" w:hAnsi="Times New Roman"/>
          <w:sz w:val="24"/>
        </w:rPr>
        <w:t>6</w:t>
      </w:r>
      <w:r w:rsidRPr="00F05DE6">
        <w:rPr>
          <w:rFonts w:ascii="Times New Roman" w:hAnsi="Times New Roman"/>
          <w:sz w:val="24"/>
        </w:rPr>
        <w:t>.</w:t>
      </w:r>
      <w:r>
        <w:t xml:space="preserve"> </w:t>
      </w:r>
      <w:r w:rsidR="004A53B1" w:rsidRPr="00290FF2">
        <w:rPr>
          <w:rFonts w:ascii="Times New Roman" w:hAnsi="Times New Roman"/>
          <w:sz w:val="24"/>
        </w:rPr>
        <w:t xml:space="preserve">Preparam-se as seguintes concentrações para cada um dos três extractos (EPC, ERC e EB) em água destilada de acordo com o seu conteúdo em fenóis totais: </w:t>
      </w:r>
      <w:r w:rsidR="004A53B1">
        <w:rPr>
          <w:rFonts w:ascii="Times New Roman" w:hAnsi="Times New Roman"/>
          <w:sz w:val="24"/>
        </w:rPr>
        <w:t>0,1;</w:t>
      </w:r>
      <w:r w:rsidR="004A53B1" w:rsidRPr="00290FF2">
        <w:rPr>
          <w:rFonts w:ascii="Times New Roman" w:hAnsi="Times New Roman"/>
          <w:sz w:val="24"/>
        </w:rPr>
        <w:t xml:space="preserve"> </w:t>
      </w:r>
      <w:r w:rsidR="004A53B1">
        <w:rPr>
          <w:rFonts w:ascii="Times New Roman" w:hAnsi="Times New Roman"/>
          <w:sz w:val="24"/>
        </w:rPr>
        <w:t>0,</w:t>
      </w:r>
      <w:r w:rsidR="004A53B1" w:rsidRPr="00290FF2">
        <w:rPr>
          <w:rFonts w:ascii="Times New Roman" w:hAnsi="Times New Roman"/>
          <w:sz w:val="24"/>
        </w:rPr>
        <w:t>5</w:t>
      </w:r>
      <w:r w:rsidR="004A53B1">
        <w:rPr>
          <w:rFonts w:ascii="Times New Roman" w:hAnsi="Times New Roman"/>
          <w:sz w:val="24"/>
        </w:rPr>
        <w:t>; 1; 2; 5 e 10</w:t>
      </w:r>
      <w:r w:rsidR="004A53B1" w:rsidRPr="00290FF2">
        <w:rPr>
          <w:rFonts w:ascii="Times New Roman" w:hAnsi="Times New Roman"/>
          <w:sz w:val="24"/>
        </w:rPr>
        <w:t>μg/mL.</w:t>
      </w:r>
      <w:r w:rsidR="004A53B1">
        <w:rPr>
          <w:rFonts w:ascii="Times New Roman" w:hAnsi="Times New Roman"/>
          <w:sz w:val="24"/>
        </w:rPr>
        <w:t xml:space="preserve"> </w:t>
      </w:r>
      <w:r w:rsidR="004A53B1" w:rsidRPr="00290FF2">
        <w:rPr>
          <w:rFonts w:ascii="Times New Roman" w:hAnsi="Times New Roman"/>
          <w:sz w:val="24"/>
        </w:rPr>
        <w:t xml:space="preserve">Misturou-se 2,0mL de amostra com 2,0mL de solução-tampão fosfatos 200mM (pH=6,6) e 2,0mL de ferrocianeto de potássio (III) 1% (m/v), e agitou-se no vórtex. A mistura foi incubada a 50ºC durante 20min. Após a incubação, adicionou-se 2,0mL de ácido tricloroacético 10% (m/v) e a mistura foi centrifugada a 1000rpm durante 10min. A camada superior (4,0mL) foi misturada com 4,0mL de água destilada e 0,8mL de solução de cloreto de ferro (III) 0,1%(m/v), agitou-se no  vórtex. </w:t>
      </w:r>
      <w:r w:rsidR="004A53B1">
        <w:rPr>
          <w:rFonts w:ascii="Times New Roman" w:hAnsi="Times New Roman"/>
          <w:sz w:val="24"/>
        </w:rPr>
        <w:t>Leu-se</w:t>
      </w:r>
      <w:r w:rsidR="004A53B1" w:rsidRPr="00290FF2">
        <w:rPr>
          <w:rFonts w:ascii="Times New Roman" w:hAnsi="Times New Roman"/>
          <w:sz w:val="24"/>
        </w:rPr>
        <w:t xml:space="preserve"> a absorvância</w:t>
      </w:r>
      <w:r w:rsidR="004A53B1">
        <w:rPr>
          <w:rFonts w:ascii="Times New Roman" w:hAnsi="Times New Roman"/>
          <w:sz w:val="24"/>
        </w:rPr>
        <w:t xml:space="preserve"> das amostras</w:t>
      </w:r>
      <w:r w:rsidR="004A53B1" w:rsidRPr="00290FF2">
        <w:rPr>
          <w:rFonts w:ascii="Times New Roman" w:hAnsi="Times New Roman"/>
          <w:sz w:val="24"/>
        </w:rPr>
        <w:t xml:space="preserve"> a 700nm </w:t>
      </w:r>
      <w:r w:rsidR="004A53B1" w:rsidRPr="00290FF2">
        <w:rPr>
          <w:rFonts w:ascii="Times New Roman" w:hAnsi="Times New Roman"/>
          <w:i/>
          <w:sz w:val="24"/>
        </w:rPr>
        <w:t>versus</w:t>
      </w:r>
      <w:r w:rsidR="004A53B1" w:rsidRPr="00290FF2">
        <w:rPr>
          <w:rFonts w:ascii="Times New Roman" w:hAnsi="Times New Roman"/>
          <w:sz w:val="24"/>
        </w:rPr>
        <w:t xml:space="preserve"> o branco, onde a amostra foi substituída pela mesma quantidade de água destilada. Quanto maior a absorvância registada, maior é o poder redutor da amostra. A concentração de extracto correspondente a 0,500 de absorvância (EC</w:t>
      </w:r>
      <w:r w:rsidR="004A53B1" w:rsidRPr="00290FF2">
        <w:rPr>
          <w:rFonts w:ascii="Times New Roman" w:hAnsi="Times New Roman"/>
          <w:sz w:val="24"/>
          <w:vertAlign w:val="subscript"/>
        </w:rPr>
        <w:t>50</w:t>
      </w:r>
      <w:r w:rsidR="004A53B1" w:rsidRPr="00290FF2">
        <w:rPr>
          <w:rFonts w:ascii="Times New Roman" w:hAnsi="Times New Roman"/>
          <w:sz w:val="24"/>
        </w:rPr>
        <w:t>) foi calculada a partir da equação do gráfico da absorvância a 700nm em função da concentração do extracto. O hidroxitirosol, o α-tocoferol e o hidroxianisolo butilado (BHA) foram utilizados como compostos de referência para o ensaio.</w:t>
      </w:r>
      <w:r w:rsidR="004A53B1">
        <w:rPr>
          <w:rFonts w:ascii="Times New Roman" w:hAnsi="Times New Roman"/>
          <w:sz w:val="24"/>
        </w:rPr>
        <w:t xml:space="preserve"> </w:t>
      </w:r>
      <w:r w:rsidR="004A53B1">
        <w:rPr>
          <w:rFonts w:ascii="Times New Roman" w:hAnsi="Times New Roman"/>
          <w:sz w:val="24"/>
          <w:szCs w:val="24"/>
        </w:rPr>
        <w:t>O presente ensaio foi realizado em triplicado, tendo sido o tratamento de dados aplicado a cada réplica dos triplicados realizado em separado, correspondendo os resultados finais apresentados à média das três réplicas.</w:t>
      </w:r>
    </w:p>
    <w:p w:rsidR="004A53B1" w:rsidRDefault="004A53B1" w:rsidP="004A53B1">
      <w:pPr>
        <w:ind w:firstLine="284"/>
        <w:jc w:val="both"/>
      </w:pPr>
    </w:p>
    <w:p w:rsidR="004A53B1" w:rsidRDefault="004A53B1" w:rsidP="004A53B1">
      <w:pPr>
        <w:pStyle w:val="PargrafodaLista"/>
        <w:numPr>
          <w:ilvl w:val="1"/>
          <w:numId w:val="24"/>
        </w:numPr>
        <w:tabs>
          <w:tab w:val="left" w:pos="993"/>
        </w:tabs>
        <w:ind w:left="426" w:firstLine="0"/>
        <w:jc w:val="both"/>
        <w:rPr>
          <w:rFonts w:ascii="Times New Roman" w:hAnsi="Times New Roman"/>
          <w:b/>
          <w:sz w:val="28"/>
        </w:rPr>
      </w:pPr>
      <w:r w:rsidRPr="00A22B3E">
        <w:rPr>
          <w:rFonts w:ascii="Times New Roman" w:hAnsi="Times New Roman"/>
          <w:b/>
          <w:sz w:val="28"/>
        </w:rPr>
        <w:t>Estudo da capacidade antiproliferativa dos extractos de bagaço de azeitona extractado em células humanas de cancro da mama fenótipo triplo negativo: linha celular MDA-MB-231</w:t>
      </w:r>
      <w:r>
        <w:rPr>
          <w:rFonts w:ascii="Times New Roman" w:hAnsi="Times New Roman"/>
          <w:b/>
          <w:sz w:val="28"/>
        </w:rPr>
        <w:t>, pelo método de MTT</w:t>
      </w:r>
    </w:p>
    <w:p w:rsidR="004A53B1" w:rsidRDefault="004A53B1" w:rsidP="004A53B1">
      <w:pPr>
        <w:tabs>
          <w:tab w:val="left" w:pos="851"/>
        </w:tabs>
        <w:jc w:val="both"/>
      </w:pPr>
    </w:p>
    <w:p w:rsidR="004A53B1" w:rsidRPr="008E479D" w:rsidRDefault="004A53B1" w:rsidP="004A53B1">
      <w:pPr>
        <w:jc w:val="both"/>
        <w:rPr>
          <w:rFonts w:ascii="Times New Roman" w:hAnsi="Times New Roman"/>
          <w:i/>
          <w:sz w:val="24"/>
          <w:szCs w:val="24"/>
        </w:rPr>
      </w:pPr>
      <w:r>
        <w:rPr>
          <w:sz w:val="23"/>
          <w:szCs w:val="23"/>
        </w:rPr>
        <w:tab/>
      </w:r>
      <w:r w:rsidRPr="00290FF2">
        <w:rPr>
          <w:rFonts w:ascii="Times New Roman" w:hAnsi="Times New Roman"/>
          <w:sz w:val="24"/>
          <w:szCs w:val="24"/>
        </w:rPr>
        <w:t>Células MDA-MB-231 foram plaqueadas em placas de 96 poços, numa concentração de 2x10</w:t>
      </w:r>
      <w:r w:rsidRPr="00290FF2">
        <w:rPr>
          <w:rFonts w:ascii="Times New Roman" w:hAnsi="Times New Roman"/>
          <w:sz w:val="24"/>
          <w:szCs w:val="24"/>
          <w:vertAlign w:val="superscript"/>
        </w:rPr>
        <w:t>5</w:t>
      </w:r>
      <w:r w:rsidRPr="00290FF2">
        <w:rPr>
          <w:rFonts w:ascii="Times New Roman" w:hAnsi="Times New Roman"/>
          <w:sz w:val="24"/>
          <w:szCs w:val="24"/>
        </w:rPr>
        <w:t xml:space="preserve"> células/mL. Após 24h, o meio de cultura foi removido, e foi adicionado novo meio de cultura já suplementado com concentrações crescentes dos três extractos em estudo à monocamada de células. Às células controlo adicionou-se novo meio de cultura, e às células utilizadas como branco foi-lhes adicionado volume igual ao máximo de extracto adicionado. Após as 48h de incubação com os extractos, determinou-se a viabilidade celular pelo ensaio de </w:t>
      </w:r>
      <w:r w:rsidRPr="00290FF2">
        <w:rPr>
          <w:rFonts w:ascii="Times New Roman" w:hAnsi="Times New Roman"/>
          <w:i/>
          <w:sz w:val="24"/>
          <w:szCs w:val="24"/>
        </w:rPr>
        <w:t>3-(4, 5-dimethylthiazolyl-2)-2, 5-diphenyltetrazolium bromide</w:t>
      </w:r>
      <w:r>
        <w:rPr>
          <w:rFonts w:ascii="Times New Roman" w:hAnsi="Times New Roman"/>
          <w:sz w:val="24"/>
          <w:szCs w:val="24"/>
        </w:rPr>
        <w:t xml:space="preserve"> (</w:t>
      </w:r>
      <w:r w:rsidRPr="00290FF2">
        <w:rPr>
          <w:rFonts w:ascii="Times New Roman" w:hAnsi="Times New Roman"/>
          <w:sz w:val="24"/>
          <w:szCs w:val="24"/>
        </w:rPr>
        <w:t>MTT</w:t>
      </w:r>
      <w:r>
        <w:rPr>
          <w:rFonts w:ascii="Times New Roman" w:hAnsi="Times New Roman"/>
          <w:sz w:val="24"/>
          <w:szCs w:val="24"/>
        </w:rPr>
        <w:t>).</w:t>
      </w:r>
      <w:r w:rsidRPr="00290FF2">
        <w:rPr>
          <w:rFonts w:ascii="Times New Roman" w:hAnsi="Times New Roman"/>
          <w:sz w:val="24"/>
          <w:szCs w:val="24"/>
        </w:rPr>
        <w:t xml:space="preserve"> </w:t>
      </w:r>
      <w:r w:rsidRPr="006713C4">
        <w:rPr>
          <w:rFonts w:ascii="Times New Roman" w:hAnsi="Times New Roman"/>
          <w:sz w:val="24"/>
          <w:szCs w:val="24"/>
        </w:rPr>
        <w:t xml:space="preserve">A redução do MTT é um método colorimétrico </w:t>
      </w:r>
      <w:r w:rsidRPr="006713C4">
        <w:rPr>
          <w:rFonts w:ascii="Times New Roman" w:hAnsi="Times New Roman"/>
          <w:sz w:val="24"/>
          <w:szCs w:val="24"/>
        </w:rPr>
        <w:lastRenderedPageBreak/>
        <w:t xml:space="preserve">rápido, frequentemente usado para medir </w:t>
      </w:r>
      <w:r>
        <w:rPr>
          <w:rFonts w:ascii="Times New Roman" w:hAnsi="Times New Roman"/>
          <w:sz w:val="24"/>
          <w:szCs w:val="24"/>
        </w:rPr>
        <w:t xml:space="preserve">a </w:t>
      </w:r>
      <w:r w:rsidRPr="006713C4">
        <w:rPr>
          <w:rFonts w:ascii="Times New Roman" w:hAnsi="Times New Roman"/>
          <w:sz w:val="24"/>
          <w:szCs w:val="24"/>
        </w:rPr>
        <w:t xml:space="preserve">proliferação celular e citotoxicidade (Mosman, 1983). </w:t>
      </w:r>
    </w:p>
    <w:p w:rsidR="004A53B1" w:rsidRPr="00290FF2" w:rsidRDefault="004A53B1" w:rsidP="004A53B1">
      <w:pPr>
        <w:jc w:val="both"/>
        <w:rPr>
          <w:rFonts w:ascii="Times New Roman" w:hAnsi="Times New Roman"/>
          <w:sz w:val="24"/>
          <w:szCs w:val="24"/>
        </w:rPr>
      </w:pPr>
      <w:r>
        <w:rPr>
          <w:rFonts w:ascii="Times New Roman" w:hAnsi="Times New Roman"/>
          <w:sz w:val="24"/>
          <w:szCs w:val="24"/>
        </w:rPr>
        <w:tab/>
        <w:t>Para a realização do ensaio de MTT a</w:t>
      </w:r>
      <w:r w:rsidRPr="00290FF2">
        <w:rPr>
          <w:rFonts w:ascii="Times New Roman" w:hAnsi="Times New Roman"/>
          <w:sz w:val="24"/>
          <w:szCs w:val="24"/>
        </w:rPr>
        <w:t>dicionou-se 3h antes da hora a que foi adicionado o extracto</w:t>
      </w:r>
      <w:r>
        <w:rPr>
          <w:rFonts w:ascii="Times New Roman" w:hAnsi="Times New Roman"/>
          <w:sz w:val="24"/>
          <w:szCs w:val="24"/>
        </w:rPr>
        <w:t>,</w:t>
      </w:r>
      <w:r w:rsidRPr="00290FF2">
        <w:rPr>
          <w:rFonts w:ascii="Times New Roman" w:hAnsi="Times New Roman"/>
          <w:sz w:val="24"/>
          <w:szCs w:val="24"/>
        </w:rPr>
        <w:t xml:space="preserve"> 20μL em cada poço</w:t>
      </w:r>
      <w:r>
        <w:rPr>
          <w:rFonts w:ascii="Times New Roman" w:hAnsi="Times New Roman"/>
          <w:sz w:val="24"/>
          <w:szCs w:val="24"/>
        </w:rPr>
        <w:t xml:space="preserve"> </w:t>
      </w:r>
      <w:r w:rsidRPr="00290FF2">
        <w:rPr>
          <w:rFonts w:ascii="Times New Roman" w:hAnsi="Times New Roman"/>
          <w:sz w:val="24"/>
          <w:szCs w:val="24"/>
        </w:rPr>
        <w:t>da solução de MTT (2,5mg/mL) diluída em PBS 1x (</w:t>
      </w:r>
      <w:r w:rsidRPr="00290FF2">
        <w:rPr>
          <w:rFonts w:ascii="Times New Roman" w:hAnsi="Times New Roman"/>
          <w:i/>
          <w:iCs/>
          <w:sz w:val="24"/>
          <w:szCs w:val="24"/>
        </w:rPr>
        <w:t>phosphate buffer saline</w:t>
      </w:r>
      <w:r w:rsidRPr="00290FF2">
        <w:rPr>
          <w:rFonts w:ascii="Times New Roman" w:hAnsi="Times New Roman"/>
          <w:sz w:val="24"/>
          <w:szCs w:val="24"/>
        </w:rPr>
        <w:t>), excepto nas células utilizadas como branco, e incubou-se por 3h na incubadora humidificada embrulhando a placa com papel de alumínio, sob uma atmosfera de 5%</w:t>
      </w:r>
      <w:r>
        <w:rPr>
          <w:rFonts w:ascii="Times New Roman" w:hAnsi="Times New Roman"/>
          <w:sz w:val="24"/>
          <w:szCs w:val="24"/>
        </w:rPr>
        <w:t xml:space="preserve"> </w:t>
      </w:r>
      <w:r w:rsidRPr="00290FF2">
        <w:rPr>
          <w:rFonts w:ascii="Times New Roman" w:hAnsi="Times New Roman"/>
          <w:sz w:val="24"/>
          <w:szCs w:val="24"/>
        </w:rPr>
        <w:t>CO</w:t>
      </w:r>
      <w:r w:rsidRPr="00603ADA">
        <w:rPr>
          <w:rFonts w:ascii="Times New Roman" w:hAnsi="Times New Roman"/>
          <w:sz w:val="24"/>
          <w:szCs w:val="24"/>
          <w:vertAlign w:val="subscript"/>
        </w:rPr>
        <w:t>2</w:t>
      </w:r>
      <w:r>
        <w:rPr>
          <w:rFonts w:ascii="Times New Roman" w:hAnsi="Times New Roman"/>
          <w:sz w:val="24"/>
          <w:szCs w:val="24"/>
        </w:rPr>
        <w:t xml:space="preserve"> a</w:t>
      </w:r>
      <w:r w:rsidRPr="00290FF2">
        <w:rPr>
          <w:rFonts w:ascii="Times New Roman" w:hAnsi="Times New Roman"/>
          <w:sz w:val="24"/>
          <w:szCs w:val="24"/>
        </w:rPr>
        <w:t xml:space="preserve"> 37ºC. Após as 3h de incubação aspirou-se o conteúdo de cada poço e adicionou-se 100μL de uma solução de 50% dimetilsulfóxido (DMSO) + 50% Etanol para dissolução dos cristais roxos de MTT, e homogeneizou-se bem cada poço. De seguida realizou-se a leitura no espectrofotómetro UV-Vis a 570nm, com diluição das amostras em água destilada (100:400). Quanto menor a viabilidade celular menos intensa é a cor da solução após a adição da solução de DMSO/Etanol para dissolver os cristais roxos de MTT</w:t>
      </w:r>
      <w:r>
        <w:rPr>
          <w:rFonts w:ascii="Times New Roman" w:hAnsi="Times New Roman"/>
          <w:sz w:val="24"/>
          <w:szCs w:val="24"/>
        </w:rPr>
        <w:t xml:space="preserve"> (Lima, 2006)</w:t>
      </w:r>
      <w:r w:rsidRPr="00290FF2">
        <w:rPr>
          <w:rFonts w:ascii="Times New Roman" w:hAnsi="Times New Roman"/>
          <w:sz w:val="24"/>
          <w:szCs w:val="24"/>
        </w:rPr>
        <w:t xml:space="preserve">. Os resultados da viabilidade celular são expressos em percentagem </w:t>
      </w:r>
      <w:r w:rsidRPr="004E3F14">
        <w:rPr>
          <w:rFonts w:ascii="Times New Roman" w:hAnsi="Times New Roman"/>
          <w:sz w:val="24"/>
          <w:szCs w:val="24"/>
        </w:rPr>
        <w:t>relativamente à absorvência de</w:t>
      </w:r>
      <w:r>
        <w:rPr>
          <w:rFonts w:ascii="Times New Roman" w:hAnsi="Times New Roman"/>
          <w:sz w:val="24"/>
          <w:szCs w:val="24"/>
        </w:rPr>
        <w:t xml:space="preserve">terminada nas células controlo, </w:t>
      </w:r>
      <w:r w:rsidRPr="00290FF2">
        <w:rPr>
          <w:rFonts w:ascii="Times New Roman" w:hAnsi="Times New Roman"/>
          <w:sz w:val="24"/>
          <w:szCs w:val="24"/>
        </w:rPr>
        <w:t xml:space="preserve">através da seguinte expressão: </w:t>
      </w:r>
    </w:p>
    <w:p w:rsidR="004A53B1" w:rsidRPr="00290FF2" w:rsidRDefault="004A53B1" w:rsidP="004A53B1">
      <w:pPr>
        <w:spacing w:after="0"/>
        <w:jc w:val="both"/>
        <w:rPr>
          <w:rFonts w:ascii="Times New Roman" w:hAnsi="Times New Roman"/>
        </w:rPr>
      </w:pPr>
    </w:p>
    <w:p w:rsidR="004A53B1" w:rsidRPr="00812FF4" w:rsidRDefault="004A53B1" w:rsidP="004A53B1">
      <w:pPr>
        <w:jc w:val="both"/>
        <w:rPr>
          <w:rFonts w:ascii="Times New Roman" w:hAnsi="Times New Roman"/>
        </w:rPr>
      </w:pPr>
      <m:oMathPara>
        <m:oMath>
          <m:r>
            <m:rPr>
              <m:sty m:val="p"/>
            </m:rPr>
            <w:rPr>
              <w:rFonts w:ascii="Cambria Math" w:hAnsi="Times New Roman"/>
            </w:rPr>
            <m:t xml:space="preserve">% </m:t>
          </m:r>
          <m:r>
            <m:rPr>
              <m:sty m:val="p"/>
            </m:rPr>
            <w:rPr>
              <w:rFonts w:ascii="Cambria Math" w:hAnsi="Cambria Math"/>
            </w:rPr>
            <m:t>Viabilidade</m:t>
          </m:r>
          <m:r>
            <m:rPr>
              <m:sty m:val="p"/>
            </m:rPr>
            <w:rPr>
              <w:rFonts w:ascii="Cambria Math" w:hAnsi="Times New Roman"/>
            </w:rPr>
            <m:t xml:space="preserve"> </m:t>
          </m:r>
          <m:r>
            <m:rPr>
              <m:sty m:val="p"/>
            </m:rPr>
            <w:rPr>
              <w:rFonts w:ascii="Cambria Math" w:hAnsi="Cambria Math"/>
            </w:rPr>
            <m:t>celular</m:t>
          </m:r>
          <m:r>
            <m:rPr>
              <m:sty m:val="p"/>
            </m:rPr>
            <w:rPr>
              <w:rFonts w:ascii="Cambria Math" w:hAnsi="Times New Roman"/>
            </w:rPr>
            <m:t xml:space="preserve">= </m:t>
          </m:r>
          <m:f>
            <m:fPr>
              <m:ctrlPr>
                <w:rPr>
                  <w:rFonts w:ascii="Cambria Math" w:hAnsi="Times New Roman"/>
                </w:rPr>
              </m:ctrlPr>
            </m:fPr>
            <m:num>
              <m:r>
                <m:rPr>
                  <m:sty m:val="p"/>
                </m:rPr>
                <w:rPr>
                  <w:rFonts w:ascii="Cambria Math" w:hAnsi="Cambria Math"/>
                </w:rPr>
                <m:t>Abs</m:t>
              </m:r>
              <m:r>
                <m:rPr>
                  <m:sty m:val="p"/>
                </m:rPr>
                <w:rPr>
                  <w:rFonts w:ascii="Cambria Math" w:hAnsi="Times New Roman"/>
                </w:rPr>
                <m:t xml:space="preserve"> 570</m:t>
              </m:r>
              <m:r>
                <m:rPr>
                  <m:sty m:val="p"/>
                </m:rPr>
                <w:rPr>
                  <w:rFonts w:ascii="Cambria Math" w:hAnsi="Cambria Math"/>
                </w:rPr>
                <m:t>nm</m:t>
              </m:r>
              <m:r>
                <m:rPr>
                  <m:sty m:val="p"/>
                </m:rPr>
                <w:rPr>
                  <w:rFonts w:ascii="Cambria Math" w:hAnsi="Times New Roman"/>
                </w:rPr>
                <m:t xml:space="preserve"> </m:t>
              </m:r>
              <m:r>
                <m:rPr>
                  <m:sty m:val="p"/>
                </m:rPr>
                <w:rPr>
                  <w:rFonts w:ascii="Cambria Math" w:hAnsi="Cambria Math"/>
                </w:rPr>
                <m:t>das</m:t>
              </m:r>
              <m:r>
                <m:rPr>
                  <m:sty m:val="p"/>
                </m:rPr>
                <w:rPr>
                  <w:rFonts w:ascii="Cambria Math" w:hAnsi="Times New Roman"/>
                </w:rPr>
                <m:t xml:space="preserve"> </m:t>
              </m:r>
              <m:r>
                <m:rPr>
                  <m:sty m:val="p"/>
                </m:rPr>
                <w:rPr>
                  <w:rFonts w:ascii="Cambria Math" w:hAnsi="Cambria Math"/>
                </w:rPr>
                <m:t>células</m:t>
              </m:r>
              <m:r>
                <m:rPr>
                  <m:sty m:val="p"/>
                </m:rPr>
                <w:rPr>
                  <w:rFonts w:ascii="Cambria Math" w:hAnsi="Times New Roman"/>
                </w:rPr>
                <m:t xml:space="preserve"> </m:t>
              </m:r>
              <m:r>
                <m:rPr>
                  <m:sty m:val="p"/>
                </m:rPr>
                <w:rPr>
                  <w:rFonts w:ascii="Cambria Math" w:hAnsi="Cambria Math"/>
                </w:rPr>
                <m:t>tratadas</m:t>
              </m:r>
              <m:r>
                <m:rPr>
                  <m:sty m:val="p"/>
                </m:rPr>
                <w:rPr>
                  <w:rFonts w:ascii="Cambria Math" w:hAnsi="Times New Roman"/>
                </w:rPr>
                <m:t xml:space="preserve"> </m:t>
              </m:r>
              <m:r>
                <m:rPr>
                  <m:sty m:val="p"/>
                </m:rPr>
                <w:rPr>
                  <w:rFonts w:ascii="Cambria Math" w:hAnsi="Cambria Math"/>
                </w:rPr>
                <m:t>com</m:t>
              </m:r>
              <m:r>
                <m:rPr>
                  <m:sty m:val="p"/>
                </m:rPr>
                <w:rPr>
                  <w:rFonts w:ascii="Cambria Math" w:hAnsi="Times New Roman"/>
                </w:rPr>
                <m:t xml:space="preserve"> </m:t>
              </m:r>
              <m:r>
                <m:rPr>
                  <m:sty m:val="p"/>
                </m:rPr>
                <w:rPr>
                  <w:rFonts w:ascii="Cambria Math" w:hAnsi="Cambria Math"/>
                </w:rPr>
                <m:t>extracto</m:t>
              </m:r>
            </m:num>
            <m:den>
              <m:r>
                <m:rPr>
                  <m:sty m:val="p"/>
                </m:rPr>
                <w:rPr>
                  <w:rFonts w:ascii="Cambria Math" w:hAnsi="Cambria Math"/>
                </w:rPr>
                <m:t>Abs</m:t>
              </m:r>
              <m:r>
                <m:rPr>
                  <m:sty m:val="p"/>
                </m:rPr>
                <w:rPr>
                  <w:rFonts w:ascii="Cambria Math" w:hAnsi="Times New Roman"/>
                </w:rPr>
                <m:t xml:space="preserve"> 570</m:t>
              </m:r>
              <m:r>
                <m:rPr>
                  <m:sty m:val="p"/>
                </m:rPr>
                <w:rPr>
                  <w:rFonts w:ascii="Cambria Math" w:hAnsi="Cambria Math"/>
                </w:rPr>
                <m:t>nm</m:t>
              </m:r>
              <m:r>
                <m:rPr>
                  <m:sty m:val="p"/>
                </m:rPr>
                <w:rPr>
                  <w:rFonts w:ascii="Cambria Math" w:hAnsi="Times New Roman"/>
                </w:rPr>
                <m:t xml:space="preserve"> </m:t>
              </m:r>
              <m:r>
                <m:rPr>
                  <m:sty m:val="p"/>
                </m:rPr>
                <w:rPr>
                  <w:rFonts w:ascii="Cambria Math" w:hAnsi="Cambria Math"/>
                </w:rPr>
                <m:t>das</m:t>
              </m:r>
              <m:r>
                <m:rPr>
                  <m:sty m:val="p"/>
                </m:rPr>
                <w:rPr>
                  <w:rFonts w:ascii="Cambria Math" w:hAnsi="Times New Roman"/>
                </w:rPr>
                <m:t xml:space="preserve"> </m:t>
              </m:r>
              <m:r>
                <m:rPr>
                  <m:sty m:val="p"/>
                </m:rPr>
                <w:rPr>
                  <w:rFonts w:ascii="Cambria Math" w:hAnsi="Cambria Math"/>
                </w:rPr>
                <m:t>células</m:t>
              </m:r>
              <m:r>
                <m:rPr>
                  <m:sty m:val="p"/>
                </m:rPr>
                <w:rPr>
                  <w:rFonts w:ascii="Cambria Math" w:hAnsi="Times New Roman"/>
                </w:rPr>
                <m:t xml:space="preserve"> </m:t>
              </m:r>
              <m:r>
                <m:rPr>
                  <m:sty m:val="p"/>
                </m:rPr>
                <w:rPr>
                  <w:rFonts w:ascii="Cambria Math" w:hAnsi="Cambria Math"/>
                </w:rPr>
                <m:t>controlo</m:t>
              </m:r>
            </m:den>
          </m:f>
          <m:r>
            <m:rPr>
              <m:sty m:val="p"/>
            </m:rPr>
            <w:rPr>
              <w:rFonts w:ascii="Cambria Math" w:hAnsi="Cambria Math"/>
            </w:rPr>
            <m:t>×</m:t>
          </m:r>
          <m:r>
            <m:rPr>
              <m:sty m:val="p"/>
            </m:rPr>
            <w:rPr>
              <w:rFonts w:ascii="Cambria Math" w:hAnsi="Times New Roman"/>
            </w:rPr>
            <m:t>100</m:t>
          </m:r>
        </m:oMath>
      </m:oMathPara>
    </w:p>
    <w:p w:rsidR="004A53B1" w:rsidRDefault="004A53B1" w:rsidP="004A53B1">
      <w:pPr>
        <w:jc w:val="both"/>
      </w:pPr>
    </w:p>
    <w:p w:rsidR="004A53B1" w:rsidRPr="00D45839" w:rsidRDefault="004A53B1" w:rsidP="004A53B1">
      <w:pPr>
        <w:ind w:firstLine="284"/>
        <w:jc w:val="both"/>
        <w:rPr>
          <w:sz w:val="28"/>
        </w:rPr>
      </w:pPr>
      <w:r>
        <w:rPr>
          <w:rFonts w:ascii="Times New Roman" w:hAnsi="Times New Roman"/>
          <w:sz w:val="24"/>
          <w:szCs w:val="24"/>
        </w:rPr>
        <w:tab/>
      </w:r>
      <w:r w:rsidRPr="00290FF2">
        <w:rPr>
          <w:rFonts w:ascii="Times New Roman" w:hAnsi="Times New Roman"/>
          <w:sz w:val="24"/>
          <w:szCs w:val="24"/>
        </w:rPr>
        <w:t xml:space="preserve">A partir deste cálculo, foi possível obter a representação gráfica da percentagem de viabilidade celular em função da concentração de extracto inibidor. Determinaram-se as curvas de dose resposta para os extractos testados e os </w:t>
      </w:r>
      <w:r>
        <w:rPr>
          <w:rFonts w:ascii="Times New Roman" w:hAnsi="Times New Roman"/>
          <w:sz w:val="24"/>
          <w:szCs w:val="24"/>
        </w:rPr>
        <w:t xml:space="preserve">respectivos </w:t>
      </w:r>
      <w:r w:rsidRPr="00290FF2">
        <w:rPr>
          <w:rFonts w:ascii="Times New Roman" w:hAnsi="Times New Roman"/>
          <w:sz w:val="24"/>
          <w:szCs w:val="24"/>
        </w:rPr>
        <w:t>valores de IC</w:t>
      </w:r>
      <w:r w:rsidRPr="00290FF2">
        <w:rPr>
          <w:rFonts w:ascii="Times New Roman" w:hAnsi="Times New Roman"/>
          <w:sz w:val="24"/>
          <w:szCs w:val="24"/>
          <w:vertAlign w:val="subscript"/>
        </w:rPr>
        <w:t>50</w:t>
      </w:r>
      <w:r>
        <w:rPr>
          <w:rFonts w:ascii="Times New Roman" w:hAnsi="Times New Roman"/>
          <w:sz w:val="24"/>
          <w:szCs w:val="24"/>
          <w:vertAlign w:val="subscript"/>
        </w:rPr>
        <w:t xml:space="preserve"> </w:t>
      </w:r>
      <w:r w:rsidRPr="00290FF2">
        <w:rPr>
          <w:rFonts w:ascii="Times New Roman" w:hAnsi="Times New Roman"/>
          <w:sz w:val="24"/>
          <w:szCs w:val="24"/>
        </w:rPr>
        <w:t>(concentração necessária de extracto que reduz a viabilidade celular em 50%)</w:t>
      </w:r>
      <w:r w:rsidRPr="00D4770C">
        <w:rPr>
          <w:rFonts w:ascii="Times New Roman" w:hAnsi="Times New Roman"/>
          <w:sz w:val="24"/>
          <w:szCs w:val="24"/>
        </w:rPr>
        <w:t>,</w:t>
      </w:r>
      <w:r w:rsidRPr="00D4770C">
        <w:rPr>
          <w:rFonts w:ascii="Times New Roman" w:hAnsi="Times New Roman"/>
          <w:sz w:val="24"/>
        </w:rPr>
        <w:t xml:space="preserve"> </w:t>
      </w:r>
      <w:r w:rsidRPr="00290FF2">
        <w:rPr>
          <w:rFonts w:ascii="Times New Roman" w:hAnsi="Times New Roman"/>
          <w:sz w:val="24"/>
        </w:rPr>
        <w:t>sendo calculado</w:t>
      </w:r>
      <w:r>
        <w:rPr>
          <w:rFonts w:ascii="Times New Roman" w:hAnsi="Times New Roman"/>
          <w:sz w:val="24"/>
        </w:rPr>
        <w:t>s</w:t>
      </w:r>
      <w:r w:rsidRPr="00290FF2">
        <w:rPr>
          <w:rFonts w:ascii="Times New Roman" w:hAnsi="Times New Roman"/>
          <w:sz w:val="24"/>
        </w:rPr>
        <w:t xml:space="preserve"> através do gráfico da percentagem de </w:t>
      </w:r>
      <w:r>
        <w:rPr>
          <w:rFonts w:ascii="Times New Roman" w:hAnsi="Times New Roman"/>
          <w:sz w:val="24"/>
        </w:rPr>
        <w:t>viabilidade celular</w:t>
      </w:r>
      <w:r w:rsidRPr="00290FF2">
        <w:rPr>
          <w:rFonts w:ascii="Times New Roman" w:hAnsi="Times New Roman"/>
          <w:sz w:val="24"/>
        </w:rPr>
        <w:t xml:space="preserve"> em função do logaritmo da concentração</w:t>
      </w:r>
      <w:r>
        <w:rPr>
          <w:rFonts w:ascii="Times New Roman" w:hAnsi="Times New Roman"/>
          <w:sz w:val="24"/>
        </w:rPr>
        <w:t xml:space="preserve"> de extracto, </w:t>
      </w:r>
      <w:r w:rsidRPr="00290FF2">
        <w:rPr>
          <w:rFonts w:ascii="Times New Roman" w:hAnsi="Times New Roman"/>
          <w:sz w:val="24"/>
          <w:szCs w:val="24"/>
        </w:rPr>
        <w:t xml:space="preserve">através do </w:t>
      </w:r>
      <w:r w:rsidRPr="0056617B">
        <w:rPr>
          <w:rFonts w:ascii="Times New Roman" w:hAnsi="Times New Roman"/>
          <w:i/>
          <w:sz w:val="24"/>
          <w:szCs w:val="24"/>
        </w:rPr>
        <w:t>software</w:t>
      </w:r>
      <w:r w:rsidRPr="00290FF2">
        <w:rPr>
          <w:rFonts w:ascii="Times New Roman" w:hAnsi="Times New Roman"/>
          <w:sz w:val="24"/>
          <w:szCs w:val="24"/>
        </w:rPr>
        <w:t xml:space="preserve"> </w:t>
      </w:r>
      <w:r w:rsidRPr="00290FF2">
        <w:rPr>
          <w:rFonts w:ascii="Times New Roman" w:hAnsi="Times New Roman"/>
          <w:i/>
          <w:sz w:val="24"/>
          <w:szCs w:val="24"/>
        </w:rPr>
        <w:t>Sigma Plot 11.0</w:t>
      </w:r>
      <w:r w:rsidRPr="00A22B3E">
        <w:rPr>
          <w:rFonts w:ascii="Times New Roman" w:hAnsi="Times New Roman"/>
          <w:i/>
          <w:sz w:val="24"/>
          <w:szCs w:val="24"/>
        </w:rPr>
        <w:t>.</w:t>
      </w:r>
      <w:r w:rsidRPr="00290FF2">
        <w:rPr>
          <w:rFonts w:ascii="Times New Roman" w:hAnsi="Times New Roman"/>
          <w:i/>
          <w:color w:val="FF0000"/>
          <w:sz w:val="24"/>
          <w:szCs w:val="24"/>
        </w:rPr>
        <w:t xml:space="preserve"> </w:t>
      </w:r>
      <w:r w:rsidRPr="00290FF2">
        <w:rPr>
          <w:rFonts w:ascii="Times New Roman" w:hAnsi="Times New Roman"/>
          <w:sz w:val="24"/>
          <w:szCs w:val="24"/>
        </w:rPr>
        <w:t>Quanto menor for o IC</w:t>
      </w:r>
      <w:r w:rsidRPr="00290FF2">
        <w:rPr>
          <w:rFonts w:ascii="Times New Roman" w:hAnsi="Times New Roman"/>
          <w:sz w:val="24"/>
          <w:szCs w:val="24"/>
          <w:vertAlign w:val="subscript"/>
        </w:rPr>
        <w:t>50</w:t>
      </w:r>
      <w:r w:rsidRPr="00290FF2">
        <w:rPr>
          <w:rFonts w:ascii="Times New Roman" w:hAnsi="Times New Roman"/>
          <w:sz w:val="24"/>
          <w:szCs w:val="24"/>
        </w:rPr>
        <w:t xml:space="preserve"> maior é a capacidade antiproliferativa do extracto. O composto hidroxitirosol foi também testado nas células MDA-MB-231 sob o mesmo procedimento utilizado para os três extractos em estudo, para comparação dos seus IC</w:t>
      </w:r>
      <w:r w:rsidRPr="00290FF2">
        <w:rPr>
          <w:rFonts w:ascii="Times New Roman" w:hAnsi="Times New Roman"/>
          <w:sz w:val="24"/>
          <w:szCs w:val="24"/>
          <w:vertAlign w:val="subscript"/>
        </w:rPr>
        <w:t xml:space="preserve">50 </w:t>
      </w:r>
      <w:r w:rsidRPr="00290FF2">
        <w:rPr>
          <w:rFonts w:ascii="Times New Roman" w:hAnsi="Times New Roman"/>
          <w:sz w:val="24"/>
          <w:szCs w:val="24"/>
        </w:rPr>
        <w:t>e potencial antiproliferativo</w:t>
      </w:r>
      <w:r>
        <w:rPr>
          <w:rFonts w:ascii="Times New Roman" w:hAnsi="Times New Roman"/>
          <w:sz w:val="24"/>
          <w:szCs w:val="24"/>
        </w:rPr>
        <w:t>. O presente ensaio foi realizado em triplicado, tendo sido o tratamento de dados aplicado a cada réplica dos triplicados realizado em separado, correspondendo os resultados finais apresentados à média das três réplicas.</w:t>
      </w:r>
    </w:p>
    <w:p w:rsidR="004A53B1" w:rsidRDefault="004A53B1" w:rsidP="004A53B1">
      <w:pPr>
        <w:ind w:firstLine="284"/>
        <w:jc w:val="both"/>
        <w:rPr>
          <w:sz w:val="23"/>
          <w:szCs w:val="23"/>
        </w:rPr>
      </w:pPr>
    </w:p>
    <w:p w:rsidR="004A53B1" w:rsidRPr="00F05DE6" w:rsidRDefault="004A53B1" w:rsidP="004A53B1">
      <w:pPr>
        <w:pStyle w:val="PargrafodaLista"/>
        <w:numPr>
          <w:ilvl w:val="1"/>
          <w:numId w:val="24"/>
        </w:numPr>
        <w:tabs>
          <w:tab w:val="left" w:pos="993"/>
        </w:tabs>
        <w:ind w:left="284" w:firstLine="0"/>
        <w:jc w:val="both"/>
        <w:rPr>
          <w:rFonts w:ascii="Times New Roman" w:hAnsi="Times New Roman"/>
          <w:b/>
          <w:sz w:val="28"/>
        </w:rPr>
      </w:pPr>
      <w:r w:rsidRPr="00F05DE6">
        <w:rPr>
          <w:rFonts w:ascii="Times New Roman" w:hAnsi="Times New Roman"/>
          <w:b/>
          <w:sz w:val="28"/>
          <w:szCs w:val="24"/>
        </w:rPr>
        <w:t>Ensaio preliminar de actividade antioxidante in vivo: Avaliação do efeito de protecção dos extractos de BAE contra radicais de H</w:t>
      </w:r>
      <w:r w:rsidRPr="00F05DE6">
        <w:rPr>
          <w:rFonts w:ascii="Times New Roman" w:hAnsi="Times New Roman"/>
          <w:b/>
          <w:sz w:val="28"/>
          <w:szCs w:val="24"/>
          <w:vertAlign w:val="subscript"/>
        </w:rPr>
        <w:t>2</w:t>
      </w:r>
      <w:r w:rsidRPr="00F05DE6">
        <w:rPr>
          <w:rFonts w:ascii="Times New Roman" w:hAnsi="Times New Roman"/>
          <w:b/>
          <w:sz w:val="28"/>
          <w:szCs w:val="24"/>
        </w:rPr>
        <w:t>O</w:t>
      </w:r>
      <w:r w:rsidRPr="00F05DE6">
        <w:rPr>
          <w:rFonts w:ascii="Times New Roman" w:hAnsi="Times New Roman"/>
          <w:b/>
          <w:sz w:val="28"/>
          <w:szCs w:val="24"/>
          <w:vertAlign w:val="subscript"/>
        </w:rPr>
        <w:t>2</w:t>
      </w:r>
      <w:r w:rsidRPr="00F05DE6">
        <w:rPr>
          <w:rFonts w:ascii="Times New Roman" w:hAnsi="Times New Roman"/>
          <w:b/>
          <w:sz w:val="28"/>
          <w:szCs w:val="24"/>
        </w:rPr>
        <w:t xml:space="preserve"> em </w:t>
      </w:r>
      <w:r w:rsidRPr="00F05DE6">
        <w:rPr>
          <w:rFonts w:ascii="Times New Roman" w:hAnsi="Times New Roman"/>
          <w:b/>
          <w:i/>
          <w:sz w:val="28"/>
          <w:szCs w:val="24"/>
        </w:rPr>
        <w:t>Saccharomyces cerevisiae</w:t>
      </w:r>
      <w:r w:rsidR="0003564A" w:rsidRPr="00F05DE6">
        <w:rPr>
          <w:rFonts w:ascii="Times New Roman" w:hAnsi="Times New Roman"/>
          <w:b/>
          <w:sz w:val="28"/>
          <w:szCs w:val="24"/>
        </w:rPr>
        <w:t xml:space="preserve"> </w:t>
      </w:r>
    </w:p>
    <w:p w:rsidR="00F05DE6" w:rsidRDefault="0003564A" w:rsidP="004A53B1">
      <w:pPr>
        <w:tabs>
          <w:tab w:val="left" w:pos="851"/>
        </w:tabs>
        <w:jc w:val="both"/>
        <w:rPr>
          <w:rFonts w:ascii="Times New Roman" w:hAnsi="Times New Roman"/>
          <w:sz w:val="24"/>
          <w:szCs w:val="24"/>
        </w:rPr>
      </w:pPr>
      <w:r>
        <w:rPr>
          <w:rFonts w:ascii="Times New Roman" w:hAnsi="Times New Roman"/>
          <w:sz w:val="24"/>
          <w:szCs w:val="24"/>
        </w:rPr>
        <w:tab/>
      </w:r>
    </w:p>
    <w:p w:rsidR="004A53B1" w:rsidRPr="0003564A" w:rsidRDefault="00F05DE6" w:rsidP="004A53B1">
      <w:pPr>
        <w:tabs>
          <w:tab w:val="left" w:pos="851"/>
        </w:tabs>
        <w:jc w:val="both"/>
        <w:rPr>
          <w:rFonts w:ascii="Times New Roman" w:hAnsi="Times New Roman"/>
          <w:i/>
          <w:sz w:val="24"/>
          <w:szCs w:val="24"/>
        </w:rPr>
      </w:pPr>
      <w:r>
        <w:rPr>
          <w:rFonts w:ascii="Times New Roman" w:hAnsi="Times New Roman"/>
          <w:sz w:val="24"/>
          <w:szCs w:val="24"/>
        </w:rPr>
        <w:tab/>
        <w:t xml:space="preserve">O protocolo do presente ensaio preliminar foi executado segundo o método descrito por Velez e tal., artigo submetido a </w:t>
      </w:r>
      <w:r w:rsidRPr="00F05DE6">
        <w:rPr>
          <w:rFonts w:ascii="Times New Roman" w:hAnsi="Times New Roman"/>
          <w:i/>
          <w:sz w:val="24"/>
          <w:szCs w:val="24"/>
        </w:rPr>
        <w:t>Food Chemistry</w:t>
      </w:r>
      <w:r>
        <w:rPr>
          <w:rFonts w:ascii="Times New Roman" w:hAnsi="Times New Roman"/>
          <w:sz w:val="24"/>
          <w:szCs w:val="24"/>
        </w:rPr>
        <w:t xml:space="preserve">. </w:t>
      </w:r>
      <w:r w:rsidR="004A53B1" w:rsidRPr="006713C4">
        <w:rPr>
          <w:rFonts w:ascii="Times New Roman" w:hAnsi="Times New Roman"/>
          <w:sz w:val="24"/>
          <w:szCs w:val="24"/>
        </w:rPr>
        <w:t xml:space="preserve">Preparou-se meio YPD </w:t>
      </w:r>
      <w:r w:rsidR="004A53B1">
        <w:rPr>
          <w:rFonts w:ascii="Times New Roman" w:hAnsi="Times New Roman"/>
          <w:sz w:val="24"/>
          <w:szCs w:val="24"/>
        </w:rPr>
        <w:lastRenderedPageBreak/>
        <w:t>(</w:t>
      </w:r>
      <w:r w:rsidR="004A53B1" w:rsidRPr="00816D6B">
        <w:rPr>
          <w:rFonts w:ascii="Times New Roman" w:hAnsi="Times New Roman"/>
          <w:i/>
          <w:sz w:val="24"/>
          <w:szCs w:val="24"/>
        </w:rPr>
        <w:t>yeast peptone dextrose</w:t>
      </w:r>
      <w:r w:rsidR="004A53B1">
        <w:rPr>
          <w:rFonts w:ascii="Times New Roman" w:hAnsi="Times New Roman"/>
          <w:sz w:val="24"/>
          <w:szCs w:val="24"/>
        </w:rPr>
        <w:t xml:space="preserve">) </w:t>
      </w:r>
      <w:r w:rsidR="004A53B1" w:rsidRPr="006713C4">
        <w:rPr>
          <w:rFonts w:ascii="Times New Roman" w:hAnsi="Times New Roman"/>
          <w:sz w:val="24"/>
          <w:szCs w:val="24"/>
        </w:rPr>
        <w:t>líquido</w:t>
      </w:r>
      <w:r w:rsidR="004A53B1">
        <w:rPr>
          <w:rFonts w:ascii="Times New Roman" w:hAnsi="Times New Roman"/>
          <w:sz w:val="24"/>
          <w:szCs w:val="24"/>
        </w:rPr>
        <w:t xml:space="preserve"> (0,5% de extracto de levedura, 1% peptona e 2,5% de glucose) e autoclavou-se a 120ºC por 40min. Para a obtenção do inoculo a usar no crescimento das leveduras, inocularam-se 2 unidades formadoras de colónias (UFC) das leveduras </w:t>
      </w:r>
      <w:r w:rsidR="004A53B1" w:rsidRPr="003F357D">
        <w:rPr>
          <w:rFonts w:ascii="Times New Roman" w:hAnsi="Times New Roman"/>
          <w:i/>
          <w:sz w:val="24"/>
          <w:szCs w:val="24"/>
        </w:rPr>
        <w:t>Saccharomyces cerevisiae</w:t>
      </w:r>
      <w:r w:rsidR="004A53B1">
        <w:rPr>
          <w:rFonts w:ascii="Times New Roman" w:hAnsi="Times New Roman"/>
          <w:sz w:val="24"/>
          <w:szCs w:val="24"/>
        </w:rPr>
        <w:t xml:space="preserve">, previamente crescidas em meio sólido, em ambiente estéril num enlenmeyer de 250mL estéril contendo 100mL do meio YPD estéril, e colocou-se a cultura a crescer no incubador orbital </w:t>
      </w:r>
      <w:r w:rsidR="004A53B1" w:rsidRPr="006F6F6A">
        <w:rPr>
          <w:rFonts w:ascii="Times New Roman" w:hAnsi="Times New Roman"/>
          <w:i/>
          <w:sz w:val="24"/>
          <w:szCs w:val="24"/>
        </w:rPr>
        <w:t>overnight</w:t>
      </w:r>
      <w:r w:rsidR="004A53B1">
        <w:rPr>
          <w:rFonts w:ascii="Times New Roman" w:hAnsi="Times New Roman"/>
          <w:sz w:val="24"/>
          <w:szCs w:val="24"/>
        </w:rPr>
        <w:t xml:space="preserve"> em agitação constante a 35ºC, a 130rpm. No dia seguinte retirou-se uma amostra de 1mL do pré-inoculo e leu-se no espectrofotómetro UV-vis a densidade óptica (</w:t>
      </w:r>
      <w:r w:rsidR="004A53B1" w:rsidRPr="007A4B4C">
        <w:rPr>
          <w:rFonts w:ascii="Times New Roman" w:hAnsi="Times New Roman"/>
          <w:sz w:val="24"/>
          <w:szCs w:val="24"/>
        </w:rPr>
        <w:t>DO</w:t>
      </w:r>
      <w:r w:rsidR="004A53B1">
        <w:rPr>
          <w:rFonts w:ascii="Times New Roman" w:hAnsi="Times New Roman"/>
          <w:sz w:val="24"/>
          <w:szCs w:val="24"/>
        </w:rPr>
        <w:t>) da amostra a 640nm. O volume de inoculo a usar foi calculado de modo a que a DO</w:t>
      </w:r>
      <w:r w:rsidR="004A53B1" w:rsidRPr="00955460">
        <w:rPr>
          <w:rFonts w:ascii="Times New Roman" w:hAnsi="Times New Roman"/>
          <w:sz w:val="24"/>
          <w:szCs w:val="24"/>
          <w:vertAlign w:val="subscript"/>
        </w:rPr>
        <w:t>640nm</w:t>
      </w:r>
      <w:r w:rsidR="004A53B1">
        <w:rPr>
          <w:rFonts w:ascii="Times New Roman" w:hAnsi="Times New Roman"/>
          <w:sz w:val="24"/>
          <w:szCs w:val="24"/>
        </w:rPr>
        <w:t xml:space="preserve"> da suspensão celular no início do crescimento fosse aproximadamente igual a 0,3. De seguida aplica-se o cálculo do volume de inoculo necessário para inocular as diferentes situações a testar, tendo em atenção o factor de diluição aplicado através da seguinte</w:t>
      </w:r>
      <w:r w:rsidR="004A53B1" w:rsidRPr="007A4B4C">
        <w:rPr>
          <w:rFonts w:ascii="Times New Roman" w:hAnsi="Times New Roman"/>
          <w:sz w:val="24"/>
          <w:szCs w:val="24"/>
        </w:rPr>
        <w:t xml:space="preserve"> </w:t>
      </w:r>
      <w:r w:rsidR="004A53B1">
        <w:rPr>
          <w:rFonts w:ascii="Times New Roman" w:hAnsi="Times New Roman"/>
          <w:sz w:val="24"/>
          <w:szCs w:val="24"/>
        </w:rPr>
        <w:t>fórmula:</w:t>
      </w:r>
    </w:p>
    <w:p w:rsidR="004A53B1" w:rsidRPr="00D05057" w:rsidRDefault="007B02FE" w:rsidP="004A53B1">
      <w:pPr>
        <w:tabs>
          <w:tab w:val="left" w:pos="851"/>
        </w:tabs>
        <w:jc w:val="center"/>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DO</m:t>
              </m:r>
            </m:e>
            <m:sub>
              <m:r>
                <m:rPr>
                  <m:sty m:val="p"/>
                </m:rPr>
                <w:rPr>
                  <w:rFonts w:ascii="Cambria Math" w:hAnsi="Cambria Math"/>
                  <w:sz w:val="24"/>
                  <w:szCs w:val="24"/>
                </w:rPr>
                <m:t xml:space="preserve">inoculo  </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inoculo</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DO</m:t>
              </m:r>
            </m:e>
            <m:sub>
              <m:r>
                <m:rPr>
                  <m:sty m:val="p"/>
                </m:rPr>
                <w:rPr>
                  <w:rFonts w:ascii="Cambria Math" w:hAnsi="Cambria Math"/>
                  <w:sz w:val="24"/>
                  <w:szCs w:val="24"/>
                </w:rPr>
                <m:t xml:space="preserve">pretendida </m:t>
              </m:r>
            </m:sub>
          </m:sSub>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meio</m:t>
                  </m:r>
                </m:sub>
              </m:sSub>
              <m:r>
                <m:rPr>
                  <m:sty m:val="p"/>
                </m:rPr>
                <w:rPr>
                  <w:rFonts w:ascii="Cambria Math" w:hAnsi="Cambria Math"/>
                  <w:sz w:val="24"/>
                  <w:szCs w:val="24"/>
                </w:rPr>
                <m:t xml:space="preserve"> + </m:t>
              </m:r>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inoculo</m:t>
                  </m:r>
                </m:sub>
              </m:sSub>
            </m:e>
          </m:d>
        </m:oMath>
      </m:oMathPara>
    </w:p>
    <w:p w:rsidR="004A53B1" w:rsidRPr="000408B3" w:rsidRDefault="004A53B1" w:rsidP="004A53B1">
      <w:pPr>
        <w:tabs>
          <w:tab w:val="left" w:pos="851"/>
        </w:tabs>
        <w:jc w:val="both"/>
        <w:rPr>
          <w:rFonts w:ascii="Times New Roman" w:hAnsi="Times New Roman"/>
          <w:sz w:val="24"/>
          <w:szCs w:val="24"/>
        </w:rPr>
      </w:pPr>
      <w:r w:rsidRPr="000408B3">
        <w:rPr>
          <w:rFonts w:ascii="Times New Roman" w:hAnsi="Times New Roman"/>
          <w:sz w:val="24"/>
          <w:szCs w:val="24"/>
        </w:rPr>
        <w:t>Onde:</w:t>
      </w:r>
      <w:r>
        <w:rPr>
          <w:rFonts w:ascii="Times New Roman" w:hAnsi="Times New Roman"/>
          <w:sz w:val="24"/>
          <w:szCs w:val="24"/>
        </w:rPr>
        <w:t xml:space="preserve"> </w:t>
      </w:r>
    </w:p>
    <w:p w:rsidR="004A53B1" w:rsidRDefault="004A53B1" w:rsidP="004A53B1">
      <w:pPr>
        <w:tabs>
          <w:tab w:val="left" w:pos="851"/>
        </w:tabs>
        <w:spacing w:after="0" w:line="240" w:lineRule="auto"/>
        <w:jc w:val="center"/>
        <w:rPr>
          <w:rFonts w:ascii="Times New Roman" w:hAnsi="Times New Roman"/>
          <w:sz w:val="28"/>
          <w:szCs w:val="24"/>
        </w:rPr>
      </w:pPr>
      <w:r w:rsidRPr="000408B3">
        <w:rPr>
          <w:rFonts w:ascii="Times New Roman" w:hAnsi="Times New Roman"/>
          <w:sz w:val="24"/>
          <w:szCs w:val="24"/>
        </w:rPr>
        <w:t xml:space="preserve">  </w:t>
      </w:r>
      <w:r>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inoculo</m:t>
            </m:r>
          </m:sub>
        </m:sSub>
        <m:r>
          <m:rPr>
            <m:sty m:val="p"/>
          </m:rPr>
          <w:rPr>
            <w:rFonts w:ascii="Cambria Math" w:hAnsi="Cambria Math"/>
            <w:sz w:val="24"/>
            <w:szCs w:val="24"/>
          </w:rPr>
          <m:t>=</m:t>
        </m:r>
        <m:f>
          <m:fPr>
            <m:ctrlPr>
              <w:rPr>
                <w:rFonts w:ascii="Cambria Math" w:hAnsi="Cambria Math"/>
                <w:sz w:val="28"/>
                <w:szCs w:val="24"/>
              </w:rPr>
            </m:ctrlPr>
          </m:fPr>
          <m:num>
            <m:r>
              <m:rPr>
                <m:sty m:val="p"/>
              </m:rPr>
              <w:rPr>
                <w:rFonts w:ascii="Cambria Math" w:hAnsi="Cambria Math"/>
                <w:sz w:val="28"/>
                <w:szCs w:val="24"/>
              </w:rPr>
              <m:t>0,3 ×</m:t>
            </m:r>
            <m:sSub>
              <m:sSubPr>
                <m:ctrlPr>
                  <w:rPr>
                    <w:rFonts w:ascii="Cambria Math" w:hAnsi="Cambria Math"/>
                    <w:sz w:val="28"/>
                    <w:szCs w:val="24"/>
                    <w:vertAlign w:val="subscript"/>
                  </w:rPr>
                </m:ctrlPr>
              </m:sSubPr>
              <m:e>
                <m:r>
                  <m:rPr>
                    <m:sty m:val="p"/>
                  </m:rPr>
                  <w:rPr>
                    <w:rFonts w:ascii="Cambria Math" w:hAnsi="Cambria Math"/>
                    <w:sz w:val="28"/>
                    <w:szCs w:val="24"/>
                    <w:vertAlign w:val="subscript"/>
                  </w:rPr>
                  <m:t xml:space="preserve"> V</m:t>
                </m:r>
              </m:e>
              <m:sub>
                <m:r>
                  <m:rPr>
                    <m:sty m:val="p"/>
                  </m:rPr>
                  <w:rPr>
                    <w:rFonts w:ascii="Cambria Math" w:hAnsi="Cambria Math"/>
                    <w:sz w:val="28"/>
                    <w:szCs w:val="24"/>
                    <w:vertAlign w:val="subscript"/>
                  </w:rPr>
                  <m:t>meio</m:t>
                </m:r>
              </m:sub>
            </m:sSub>
          </m:num>
          <m:den>
            <m:sSub>
              <m:sSubPr>
                <m:ctrlPr>
                  <w:rPr>
                    <w:rFonts w:ascii="Cambria Math" w:hAnsi="Cambria Math"/>
                    <w:sz w:val="28"/>
                    <w:szCs w:val="24"/>
                  </w:rPr>
                </m:ctrlPr>
              </m:sSubPr>
              <m:e>
                <m:r>
                  <m:rPr>
                    <m:sty m:val="p"/>
                  </m:rPr>
                  <w:rPr>
                    <w:rFonts w:ascii="Cambria Math" w:hAnsi="Cambria Math"/>
                    <w:sz w:val="28"/>
                    <w:szCs w:val="24"/>
                  </w:rPr>
                  <m:t>DO</m:t>
                </m:r>
              </m:e>
              <m:sub>
                <m:r>
                  <m:rPr>
                    <m:sty m:val="p"/>
                  </m:rPr>
                  <w:rPr>
                    <w:rFonts w:ascii="Cambria Math" w:hAnsi="Cambria Math"/>
                    <w:sz w:val="28"/>
                    <w:szCs w:val="24"/>
                  </w:rPr>
                  <m:t>inoculo</m:t>
                </m:r>
              </m:sub>
            </m:sSub>
            <m:r>
              <m:rPr>
                <m:sty m:val="p"/>
              </m:rPr>
              <w:rPr>
                <w:rFonts w:ascii="Cambria Math" w:hAnsi="Cambria Math"/>
                <w:sz w:val="28"/>
                <w:szCs w:val="24"/>
              </w:rPr>
              <m:t>- 0,3</m:t>
            </m:r>
          </m:den>
        </m:f>
      </m:oMath>
    </w:p>
    <w:p w:rsidR="004A53B1" w:rsidRPr="00016B11" w:rsidRDefault="004A53B1" w:rsidP="004A53B1">
      <w:pPr>
        <w:tabs>
          <w:tab w:val="left" w:pos="851"/>
        </w:tabs>
        <w:spacing w:after="0"/>
        <w:jc w:val="center"/>
        <w:rPr>
          <w:rFonts w:ascii="Bell MT" w:hAnsi="Bell MT"/>
          <w:sz w:val="32"/>
          <w:szCs w:val="24"/>
        </w:rPr>
      </w:pPr>
    </w:p>
    <w:p w:rsidR="004A53B1" w:rsidRDefault="004A53B1" w:rsidP="004A53B1">
      <w:pPr>
        <w:tabs>
          <w:tab w:val="left" w:pos="851"/>
        </w:tabs>
        <w:spacing w:after="0"/>
        <w:jc w:val="center"/>
        <w:rPr>
          <w:rFonts w:ascii="Bell MT" w:hAnsi="Bell MT"/>
          <w:sz w:val="28"/>
          <w:szCs w:val="24"/>
        </w:rPr>
      </w:pPr>
    </w:p>
    <w:p w:rsidR="004A53B1" w:rsidRDefault="004A53B1" w:rsidP="004A53B1">
      <w:pPr>
        <w:tabs>
          <w:tab w:val="left" w:pos="851"/>
        </w:tabs>
        <w:jc w:val="both"/>
        <w:rPr>
          <w:rFonts w:ascii="Times New Roman" w:hAnsi="Times New Roman"/>
          <w:sz w:val="24"/>
          <w:szCs w:val="24"/>
        </w:rPr>
      </w:pPr>
      <w:r w:rsidRPr="00A7383C">
        <w:rPr>
          <w:rFonts w:ascii="Times New Roman" w:hAnsi="Times New Roman"/>
          <w:sz w:val="24"/>
          <w:szCs w:val="24"/>
        </w:rPr>
        <w:t>Onde</w:t>
      </w:r>
      <w:r>
        <w:rPr>
          <w:rFonts w:ascii="Times New Roman" w:hAnsi="Times New Roman"/>
          <w:sz w:val="24"/>
          <w:szCs w:val="24"/>
        </w:rPr>
        <w:t xml:space="preserve"> V</w:t>
      </w:r>
      <w:r w:rsidRPr="00A7383C">
        <w:rPr>
          <w:rFonts w:ascii="Times New Roman" w:hAnsi="Times New Roman"/>
          <w:sz w:val="24"/>
          <w:szCs w:val="24"/>
          <w:vertAlign w:val="subscript"/>
        </w:rPr>
        <w:t>meio</w:t>
      </w:r>
      <w:r>
        <w:rPr>
          <w:rFonts w:ascii="Times New Roman" w:hAnsi="Times New Roman"/>
          <w:sz w:val="24"/>
          <w:szCs w:val="24"/>
        </w:rPr>
        <w:t xml:space="preserve"> correspondeu ao volume final de cada amostragem, cerca de 30mL. </w:t>
      </w:r>
      <w:r w:rsidRPr="00D05057">
        <w:rPr>
          <w:rFonts w:ascii="Times New Roman" w:hAnsi="Times New Roman"/>
          <w:sz w:val="24"/>
          <w:szCs w:val="24"/>
        </w:rPr>
        <w:t>Se</w:t>
      </w:r>
      <w:r>
        <w:rPr>
          <w:rFonts w:ascii="Times New Roman" w:hAnsi="Times New Roman"/>
          <w:sz w:val="24"/>
          <w:szCs w:val="24"/>
        </w:rPr>
        <w:t>guidamente prepararam-se as diferentes condições com a concentração de 100µg/mL para cada um dos três extractos de BAE a testar e para o padrão Hidroxitirosol, em erlenmeyers autoclavados com 30mL de meio YPD líquido previamente preparados:</w:t>
      </w:r>
    </w:p>
    <w:p w:rsidR="00BF33C4" w:rsidRPr="00D45839" w:rsidRDefault="00BF33C4" w:rsidP="00BF33C4">
      <w:pPr>
        <w:pStyle w:val="PargrafodaLista"/>
        <w:numPr>
          <w:ilvl w:val="0"/>
          <w:numId w:val="28"/>
        </w:numPr>
        <w:tabs>
          <w:tab w:val="left" w:pos="851"/>
        </w:tabs>
        <w:jc w:val="both"/>
        <w:rPr>
          <w:rFonts w:ascii="Times New Roman" w:hAnsi="Times New Roman"/>
          <w:sz w:val="24"/>
          <w:szCs w:val="24"/>
        </w:rPr>
      </w:pPr>
      <w:r w:rsidRPr="00AC64C7">
        <w:rPr>
          <w:rFonts w:ascii="Times New Roman" w:hAnsi="Times New Roman"/>
          <w:sz w:val="24"/>
          <w:szCs w:val="24"/>
          <w:u w:val="single"/>
        </w:rPr>
        <w:t>Branco</w:t>
      </w:r>
      <w:r w:rsidRPr="00D45839">
        <w:rPr>
          <w:rFonts w:ascii="Times New Roman" w:hAnsi="Times New Roman"/>
          <w:sz w:val="24"/>
          <w:szCs w:val="24"/>
        </w:rPr>
        <w:t xml:space="preserve">: meio YPD </w:t>
      </w:r>
    </w:p>
    <w:p w:rsidR="00BF33C4" w:rsidRDefault="00BF33C4" w:rsidP="00BF33C4">
      <w:pPr>
        <w:pStyle w:val="PargrafodaLista"/>
        <w:numPr>
          <w:ilvl w:val="0"/>
          <w:numId w:val="28"/>
        </w:numPr>
        <w:tabs>
          <w:tab w:val="left" w:pos="851"/>
        </w:tabs>
        <w:spacing w:after="0"/>
        <w:jc w:val="both"/>
        <w:rPr>
          <w:rFonts w:ascii="Times New Roman" w:hAnsi="Times New Roman"/>
          <w:sz w:val="24"/>
          <w:szCs w:val="24"/>
        </w:rPr>
      </w:pPr>
      <w:r w:rsidRPr="00AC64C7">
        <w:rPr>
          <w:rFonts w:ascii="Times New Roman" w:hAnsi="Times New Roman"/>
          <w:sz w:val="24"/>
          <w:szCs w:val="24"/>
          <w:u w:val="single"/>
        </w:rPr>
        <w:t>Controlo Positivo</w:t>
      </w:r>
      <w:r w:rsidRPr="00D45839">
        <w:rPr>
          <w:rFonts w:ascii="Times New Roman" w:hAnsi="Times New Roman"/>
          <w:sz w:val="24"/>
          <w:szCs w:val="24"/>
        </w:rPr>
        <w:t>: meio YPD + Volume de inoculo</w:t>
      </w:r>
    </w:p>
    <w:p w:rsidR="00BF33C4" w:rsidRPr="0084304F" w:rsidRDefault="00BF33C4" w:rsidP="00BF33C4">
      <w:pPr>
        <w:pStyle w:val="PargrafodaLista"/>
        <w:numPr>
          <w:ilvl w:val="0"/>
          <w:numId w:val="28"/>
        </w:numPr>
        <w:tabs>
          <w:tab w:val="left" w:pos="851"/>
        </w:tabs>
        <w:spacing w:after="0"/>
        <w:jc w:val="both"/>
        <w:rPr>
          <w:rFonts w:ascii="Times New Roman" w:hAnsi="Times New Roman"/>
          <w:sz w:val="24"/>
          <w:szCs w:val="24"/>
        </w:rPr>
      </w:pPr>
      <w:r w:rsidRPr="00AC64C7">
        <w:rPr>
          <w:rFonts w:ascii="Times New Roman" w:hAnsi="Times New Roman"/>
          <w:sz w:val="24"/>
          <w:szCs w:val="24"/>
          <w:u w:val="single"/>
        </w:rPr>
        <w:t>Controlo Negativo</w:t>
      </w:r>
      <w:r w:rsidRPr="00D45839">
        <w:rPr>
          <w:rFonts w:ascii="Times New Roman" w:hAnsi="Times New Roman"/>
          <w:sz w:val="24"/>
          <w:szCs w:val="24"/>
        </w:rPr>
        <w:t>: meio YPD + Volume de inoculo + H</w:t>
      </w:r>
      <w:r w:rsidRPr="00D45839">
        <w:rPr>
          <w:rFonts w:ascii="Times New Roman" w:hAnsi="Times New Roman"/>
          <w:sz w:val="24"/>
          <w:szCs w:val="24"/>
          <w:vertAlign w:val="subscript"/>
        </w:rPr>
        <w:t>2</w:t>
      </w:r>
      <w:r w:rsidRPr="00D45839">
        <w:rPr>
          <w:rFonts w:ascii="Times New Roman" w:hAnsi="Times New Roman"/>
          <w:sz w:val="24"/>
          <w:szCs w:val="24"/>
        </w:rPr>
        <w:t>O</w:t>
      </w:r>
      <w:r w:rsidRPr="00D45839">
        <w:rPr>
          <w:rFonts w:ascii="Times New Roman" w:hAnsi="Times New Roman"/>
          <w:sz w:val="24"/>
          <w:szCs w:val="24"/>
          <w:vertAlign w:val="subscript"/>
        </w:rPr>
        <w:t>2</w:t>
      </w:r>
    </w:p>
    <w:p w:rsidR="00BF33C4" w:rsidRDefault="00BF33C4" w:rsidP="00BF33C4">
      <w:pPr>
        <w:pStyle w:val="PargrafodaLista"/>
        <w:numPr>
          <w:ilvl w:val="0"/>
          <w:numId w:val="28"/>
        </w:numPr>
        <w:tabs>
          <w:tab w:val="left" w:pos="851"/>
        </w:tabs>
        <w:spacing w:after="0"/>
        <w:jc w:val="both"/>
        <w:rPr>
          <w:rFonts w:ascii="Times New Roman" w:hAnsi="Times New Roman"/>
          <w:sz w:val="24"/>
          <w:szCs w:val="24"/>
        </w:rPr>
      </w:pPr>
      <w:r>
        <w:rPr>
          <w:rFonts w:ascii="Times New Roman" w:hAnsi="Times New Roman"/>
          <w:sz w:val="24"/>
          <w:szCs w:val="24"/>
          <w:u w:val="single"/>
        </w:rPr>
        <w:t>Controlo EB</w:t>
      </w:r>
      <w:r w:rsidRPr="00E471ED">
        <w:rPr>
          <w:rFonts w:ascii="Times New Roman" w:hAnsi="Times New Roman"/>
          <w:sz w:val="24"/>
          <w:szCs w:val="24"/>
        </w:rPr>
        <w:t>:</w:t>
      </w:r>
      <w:r>
        <w:rPr>
          <w:rFonts w:ascii="Times New Roman" w:hAnsi="Times New Roman"/>
          <w:sz w:val="24"/>
          <w:szCs w:val="24"/>
        </w:rPr>
        <w:t xml:space="preserve"> </w:t>
      </w:r>
      <w:r w:rsidRPr="00D45839">
        <w:rPr>
          <w:rFonts w:ascii="Times New Roman" w:hAnsi="Times New Roman"/>
          <w:sz w:val="24"/>
          <w:szCs w:val="24"/>
        </w:rPr>
        <w:t>meio YPD + Volume de inoculo + EB</w:t>
      </w:r>
    </w:p>
    <w:p w:rsidR="00BF33C4" w:rsidRDefault="00BF33C4" w:rsidP="00BF33C4">
      <w:pPr>
        <w:pStyle w:val="PargrafodaLista"/>
        <w:numPr>
          <w:ilvl w:val="0"/>
          <w:numId w:val="28"/>
        </w:numPr>
        <w:tabs>
          <w:tab w:val="left" w:pos="851"/>
        </w:tabs>
        <w:spacing w:after="0"/>
        <w:jc w:val="both"/>
        <w:rPr>
          <w:rFonts w:ascii="Times New Roman" w:hAnsi="Times New Roman"/>
          <w:sz w:val="24"/>
          <w:szCs w:val="24"/>
        </w:rPr>
      </w:pPr>
      <w:r>
        <w:rPr>
          <w:rFonts w:ascii="Times New Roman" w:hAnsi="Times New Roman"/>
          <w:sz w:val="24"/>
          <w:szCs w:val="24"/>
          <w:u w:val="single"/>
        </w:rPr>
        <w:t>Controlo EPC</w:t>
      </w:r>
      <w:r w:rsidRPr="00E471ED">
        <w:rPr>
          <w:rFonts w:ascii="Times New Roman" w:hAnsi="Times New Roman"/>
          <w:sz w:val="24"/>
          <w:szCs w:val="24"/>
        </w:rPr>
        <w:t>:</w:t>
      </w:r>
      <w:r>
        <w:rPr>
          <w:rFonts w:ascii="Times New Roman" w:hAnsi="Times New Roman"/>
          <w:sz w:val="24"/>
          <w:szCs w:val="24"/>
        </w:rPr>
        <w:t xml:space="preserve"> </w:t>
      </w:r>
      <w:r w:rsidRPr="00D45839">
        <w:rPr>
          <w:rFonts w:ascii="Times New Roman" w:hAnsi="Times New Roman"/>
          <w:sz w:val="24"/>
          <w:szCs w:val="24"/>
        </w:rPr>
        <w:t>m</w:t>
      </w:r>
      <w:r>
        <w:rPr>
          <w:rFonts w:ascii="Times New Roman" w:hAnsi="Times New Roman"/>
          <w:sz w:val="24"/>
          <w:szCs w:val="24"/>
        </w:rPr>
        <w:t>eio YPD + Volume de inoculo + EPC</w:t>
      </w:r>
    </w:p>
    <w:p w:rsidR="00BF33C4" w:rsidRDefault="00BF33C4" w:rsidP="00BF33C4">
      <w:pPr>
        <w:pStyle w:val="PargrafodaLista"/>
        <w:numPr>
          <w:ilvl w:val="0"/>
          <w:numId w:val="28"/>
        </w:numPr>
        <w:tabs>
          <w:tab w:val="left" w:pos="851"/>
        </w:tabs>
        <w:spacing w:after="0"/>
        <w:jc w:val="both"/>
        <w:rPr>
          <w:rFonts w:ascii="Times New Roman" w:hAnsi="Times New Roman"/>
          <w:sz w:val="24"/>
          <w:szCs w:val="24"/>
        </w:rPr>
      </w:pPr>
      <w:r>
        <w:rPr>
          <w:rFonts w:ascii="Times New Roman" w:hAnsi="Times New Roman"/>
          <w:sz w:val="24"/>
          <w:szCs w:val="24"/>
          <w:u w:val="single"/>
        </w:rPr>
        <w:t>Controlo ERC</w:t>
      </w:r>
      <w:r w:rsidRPr="00E471ED">
        <w:rPr>
          <w:rFonts w:ascii="Times New Roman" w:hAnsi="Times New Roman"/>
          <w:sz w:val="24"/>
          <w:szCs w:val="24"/>
        </w:rPr>
        <w:t>:</w:t>
      </w:r>
      <w:r>
        <w:rPr>
          <w:rFonts w:ascii="Times New Roman" w:hAnsi="Times New Roman"/>
          <w:sz w:val="24"/>
          <w:szCs w:val="24"/>
        </w:rPr>
        <w:t xml:space="preserve"> </w:t>
      </w:r>
      <w:r w:rsidRPr="00D45839">
        <w:rPr>
          <w:rFonts w:ascii="Times New Roman" w:hAnsi="Times New Roman"/>
          <w:sz w:val="24"/>
          <w:szCs w:val="24"/>
        </w:rPr>
        <w:t>m</w:t>
      </w:r>
      <w:r>
        <w:rPr>
          <w:rFonts w:ascii="Times New Roman" w:hAnsi="Times New Roman"/>
          <w:sz w:val="24"/>
          <w:szCs w:val="24"/>
        </w:rPr>
        <w:t>eio YPD + Volume de inoculo + ERC</w:t>
      </w:r>
    </w:p>
    <w:p w:rsidR="00BF33C4" w:rsidRPr="00E471ED" w:rsidRDefault="00BF33C4" w:rsidP="00BF33C4">
      <w:pPr>
        <w:pStyle w:val="PargrafodaLista"/>
        <w:numPr>
          <w:ilvl w:val="0"/>
          <w:numId w:val="28"/>
        </w:numPr>
        <w:tabs>
          <w:tab w:val="left" w:pos="851"/>
        </w:tabs>
        <w:spacing w:after="0"/>
        <w:jc w:val="both"/>
        <w:rPr>
          <w:rFonts w:ascii="Times New Roman" w:hAnsi="Times New Roman"/>
          <w:sz w:val="24"/>
          <w:szCs w:val="24"/>
        </w:rPr>
      </w:pPr>
      <w:r>
        <w:rPr>
          <w:rFonts w:ascii="Times New Roman" w:hAnsi="Times New Roman"/>
          <w:sz w:val="24"/>
          <w:szCs w:val="24"/>
          <w:u w:val="single"/>
        </w:rPr>
        <w:t>Controlo HT</w:t>
      </w:r>
      <w:r w:rsidRPr="00E471ED">
        <w:rPr>
          <w:rFonts w:ascii="Times New Roman" w:hAnsi="Times New Roman"/>
          <w:sz w:val="24"/>
          <w:szCs w:val="24"/>
        </w:rPr>
        <w:t>:</w:t>
      </w:r>
      <w:r>
        <w:rPr>
          <w:rFonts w:ascii="Times New Roman" w:hAnsi="Times New Roman"/>
          <w:sz w:val="24"/>
          <w:szCs w:val="24"/>
        </w:rPr>
        <w:t xml:space="preserve"> </w:t>
      </w:r>
      <w:r w:rsidRPr="00D45839">
        <w:rPr>
          <w:rFonts w:ascii="Times New Roman" w:hAnsi="Times New Roman"/>
          <w:sz w:val="24"/>
          <w:szCs w:val="24"/>
        </w:rPr>
        <w:t>m</w:t>
      </w:r>
      <w:r>
        <w:rPr>
          <w:rFonts w:ascii="Times New Roman" w:hAnsi="Times New Roman"/>
          <w:sz w:val="24"/>
          <w:szCs w:val="24"/>
        </w:rPr>
        <w:t>eio YPD + Volume de inoculo + HT</w:t>
      </w:r>
    </w:p>
    <w:p w:rsidR="00BF33C4" w:rsidRPr="00D45839" w:rsidRDefault="00BF33C4" w:rsidP="00BF33C4">
      <w:pPr>
        <w:pStyle w:val="PargrafodaLista"/>
        <w:numPr>
          <w:ilvl w:val="0"/>
          <w:numId w:val="28"/>
        </w:numPr>
        <w:tabs>
          <w:tab w:val="left" w:pos="851"/>
        </w:tabs>
        <w:spacing w:after="0"/>
        <w:jc w:val="both"/>
        <w:rPr>
          <w:rFonts w:ascii="Times New Roman" w:hAnsi="Times New Roman"/>
          <w:sz w:val="24"/>
          <w:szCs w:val="24"/>
        </w:rPr>
      </w:pPr>
      <w:r w:rsidRPr="00AC64C7">
        <w:rPr>
          <w:rFonts w:ascii="Times New Roman" w:hAnsi="Times New Roman"/>
          <w:sz w:val="24"/>
          <w:szCs w:val="24"/>
          <w:u w:val="single"/>
        </w:rPr>
        <w:t>Amostragem de EB</w:t>
      </w:r>
      <w:r w:rsidRPr="00D45839">
        <w:rPr>
          <w:rFonts w:ascii="Times New Roman" w:hAnsi="Times New Roman"/>
          <w:sz w:val="24"/>
          <w:szCs w:val="24"/>
        </w:rPr>
        <w:t>: meio YPD + Volume de inoculo + EB + H</w:t>
      </w:r>
      <w:r w:rsidRPr="00D45839">
        <w:rPr>
          <w:rFonts w:ascii="Times New Roman" w:hAnsi="Times New Roman"/>
          <w:sz w:val="24"/>
          <w:szCs w:val="24"/>
          <w:vertAlign w:val="subscript"/>
        </w:rPr>
        <w:t>2</w:t>
      </w:r>
      <w:r w:rsidRPr="00D45839">
        <w:rPr>
          <w:rFonts w:ascii="Times New Roman" w:hAnsi="Times New Roman"/>
          <w:sz w:val="24"/>
          <w:szCs w:val="24"/>
        </w:rPr>
        <w:t>O</w:t>
      </w:r>
      <w:r w:rsidRPr="00D45839">
        <w:rPr>
          <w:rFonts w:ascii="Times New Roman" w:hAnsi="Times New Roman"/>
          <w:sz w:val="24"/>
          <w:szCs w:val="24"/>
          <w:vertAlign w:val="subscript"/>
        </w:rPr>
        <w:t>2</w:t>
      </w:r>
    </w:p>
    <w:p w:rsidR="00BF33C4" w:rsidRPr="00D45839" w:rsidRDefault="00BF33C4" w:rsidP="00BF33C4">
      <w:pPr>
        <w:pStyle w:val="PargrafodaLista"/>
        <w:numPr>
          <w:ilvl w:val="0"/>
          <w:numId w:val="28"/>
        </w:numPr>
        <w:tabs>
          <w:tab w:val="left" w:pos="851"/>
        </w:tabs>
        <w:spacing w:after="0"/>
        <w:jc w:val="both"/>
        <w:rPr>
          <w:rFonts w:ascii="Times New Roman" w:hAnsi="Times New Roman"/>
          <w:sz w:val="24"/>
          <w:szCs w:val="24"/>
        </w:rPr>
      </w:pPr>
      <w:r w:rsidRPr="00AC64C7">
        <w:rPr>
          <w:rFonts w:ascii="Times New Roman" w:hAnsi="Times New Roman"/>
          <w:sz w:val="24"/>
          <w:szCs w:val="24"/>
          <w:u w:val="single"/>
        </w:rPr>
        <w:t>Amostragem de EPC</w:t>
      </w:r>
      <w:r w:rsidRPr="00D45839">
        <w:rPr>
          <w:rFonts w:ascii="Times New Roman" w:hAnsi="Times New Roman"/>
          <w:sz w:val="24"/>
          <w:szCs w:val="24"/>
        </w:rPr>
        <w:t>: meio YPD + Volume de inoculo + EPC + H</w:t>
      </w:r>
      <w:r w:rsidRPr="00D45839">
        <w:rPr>
          <w:rFonts w:ascii="Times New Roman" w:hAnsi="Times New Roman"/>
          <w:sz w:val="24"/>
          <w:szCs w:val="24"/>
          <w:vertAlign w:val="subscript"/>
        </w:rPr>
        <w:t>2</w:t>
      </w:r>
      <w:r w:rsidRPr="00D45839">
        <w:rPr>
          <w:rFonts w:ascii="Times New Roman" w:hAnsi="Times New Roman"/>
          <w:sz w:val="24"/>
          <w:szCs w:val="24"/>
        </w:rPr>
        <w:t>O</w:t>
      </w:r>
      <w:r w:rsidRPr="00D45839">
        <w:rPr>
          <w:rFonts w:ascii="Times New Roman" w:hAnsi="Times New Roman"/>
          <w:sz w:val="24"/>
          <w:szCs w:val="24"/>
          <w:vertAlign w:val="subscript"/>
        </w:rPr>
        <w:t>2</w:t>
      </w:r>
    </w:p>
    <w:p w:rsidR="00BF33C4" w:rsidRDefault="00BF33C4" w:rsidP="00BF33C4">
      <w:pPr>
        <w:pStyle w:val="PargrafodaLista"/>
        <w:numPr>
          <w:ilvl w:val="0"/>
          <w:numId w:val="28"/>
        </w:numPr>
        <w:tabs>
          <w:tab w:val="left" w:pos="851"/>
        </w:tabs>
        <w:spacing w:after="0"/>
        <w:jc w:val="both"/>
        <w:rPr>
          <w:rFonts w:ascii="Times New Roman" w:hAnsi="Times New Roman"/>
          <w:sz w:val="24"/>
          <w:szCs w:val="24"/>
        </w:rPr>
      </w:pPr>
      <w:r w:rsidRPr="00AC64C7">
        <w:rPr>
          <w:rFonts w:ascii="Times New Roman" w:hAnsi="Times New Roman"/>
          <w:sz w:val="24"/>
          <w:szCs w:val="24"/>
          <w:u w:val="single"/>
        </w:rPr>
        <w:t>Amostragem de ERC</w:t>
      </w:r>
      <w:r w:rsidRPr="00D45839">
        <w:rPr>
          <w:rFonts w:ascii="Times New Roman" w:hAnsi="Times New Roman"/>
          <w:sz w:val="24"/>
          <w:szCs w:val="24"/>
        </w:rPr>
        <w:t>: meio YPD + Volume de inoculo + ERC + H</w:t>
      </w:r>
      <w:r w:rsidRPr="00D45839">
        <w:rPr>
          <w:rFonts w:ascii="Times New Roman" w:hAnsi="Times New Roman"/>
          <w:sz w:val="24"/>
          <w:szCs w:val="24"/>
          <w:vertAlign w:val="subscript"/>
        </w:rPr>
        <w:t>2</w:t>
      </w:r>
      <w:r w:rsidRPr="00D45839">
        <w:rPr>
          <w:rFonts w:ascii="Times New Roman" w:hAnsi="Times New Roman"/>
          <w:sz w:val="24"/>
          <w:szCs w:val="24"/>
        </w:rPr>
        <w:t>O</w:t>
      </w:r>
      <w:r w:rsidRPr="00D45839">
        <w:rPr>
          <w:rFonts w:ascii="Times New Roman" w:hAnsi="Times New Roman"/>
          <w:sz w:val="24"/>
          <w:szCs w:val="24"/>
          <w:vertAlign w:val="subscript"/>
        </w:rPr>
        <w:t>2</w:t>
      </w:r>
    </w:p>
    <w:p w:rsidR="004A53B1" w:rsidRPr="00BF33C4" w:rsidRDefault="00BF33C4" w:rsidP="00BF33C4">
      <w:pPr>
        <w:pStyle w:val="PargrafodaLista"/>
        <w:numPr>
          <w:ilvl w:val="0"/>
          <w:numId w:val="28"/>
        </w:numPr>
        <w:tabs>
          <w:tab w:val="left" w:pos="851"/>
        </w:tabs>
        <w:spacing w:after="0"/>
        <w:jc w:val="both"/>
        <w:rPr>
          <w:rFonts w:ascii="Times New Roman" w:hAnsi="Times New Roman"/>
          <w:sz w:val="24"/>
          <w:szCs w:val="24"/>
        </w:rPr>
      </w:pPr>
      <w:r w:rsidRPr="00BF33C4">
        <w:rPr>
          <w:rFonts w:ascii="Times New Roman" w:hAnsi="Times New Roman"/>
          <w:sz w:val="24"/>
          <w:szCs w:val="24"/>
          <w:u w:val="single"/>
        </w:rPr>
        <w:t>Amostragem de HT</w:t>
      </w:r>
      <w:r w:rsidRPr="00BF33C4">
        <w:rPr>
          <w:rFonts w:ascii="Times New Roman" w:hAnsi="Times New Roman"/>
          <w:sz w:val="24"/>
          <w:szCs w:val="24"/>
        </w:rPr>
        <w:t>: meio YPD + Volume de inoculo + HT+ H</w:t>
      </w:r>
      <w:r w:rsidRPr="00BF33C4">
        <w:rPr>
          <w:rFonts w:ascii="Times New Roman" w:hAnsi="Times New Roman"/>
          <w:sz w:val="24"/>
          <w:szCs w:val="24"/>
          <w:vertAlign w:val="subscript"/>
        </w:rPr>
        <w:t>2</w:t>
      </w:r>
      <w:r w:rsidRPr="00BF33C4">
        <w:rPr>
          <w:rFonts w:ascii="Times New Roman" w:hAnsi="Times New Roman"/>
          <w:sz w:val="24"/>
          <w:szCs w:val="24"/>
        </w:rPr>
        <w:t>O</w:t>
      </w:r>
      <w:r w:rsidRPr="00BF33C4">
        <w:rPr>
          <w:rFonts w:ascii="Times New Roman" w:hAnsi="Times New Roman"/>
          <w:sz w:val="24"/>
          <w:szCs w:val="24"/>
          <w:vertAlign w:val="subscript"/>
        </w:rPr>
        <w:t>2</w:t>
      </w:r>
    </w:p>
    <w:p w:rsidR="00BF33C4" w:rsidRDefault="00BF33C4" w:rsidP="00CD0784">
      <w:pPr>
        <w:ind w:firstLine="708"/>
        <w:jc w:val="both"/>
        <w:rPr>
          <w:rFonts w:ascii="Times New Roman" w:hAnsi="Times New Roman"/>
          <w:sz w:val="24"/>
          <w:szCs w:val="24"/>
        </w:rPr>
      </w:pPr>
    </w:p>
    <w:p w:rsidR="00CD0784" w:rsidRDefault="004A53B1" w:rsidP="002F7A8F">
      <w:pPr>
        <w:ind w:firstLine="708"/>
        <w:jc w:val="both"/>
        <w:rPr>
          <w:rFonts w:ascii="Times New Roman" w:hAnsi="Times New Roman"/>
          <w:sz w:val="24"/>
          <w:szCs w:val="24"/>
        </w:rPr>
      </w:pPr>
      <w:r w:rsidRPr="00AC64C7">
        <w:rPr>
          <w:rFonts w:ascii="Times New Roman" w:hAnsi="Times New Roman"/>
          <w:sz w:val="24"/>
          <w:szCs w:val="24"/>
        </w:rPr>
        <w:t>Após preparadas as diferentes condições</w:t>
      </w:r>
      <w:r>
        <w:rPr>
          <w:rFonts w:ascii="Times New Roman" w:hAnsi="Times New Roman"/>
          <w:sz w:val="24"/>
          <w:szCs w:val="24"/>
        </w:rPr>
        <w:t xml:space="preserve"> sem a adição de peróxido de hidrogénio, colocou-se uma hora a incubar em agitação constante a 35ºC a 130rpm. Após os 60min de crescimento adicionou-se o volume de H</w:t>
      </w:r>
      <w:r w:rsidRPr="00FD210E">
        <w:rPr>
          <w:rFonts w:ascii="Times New Roman" w:hAnsi="Times New Roman"/>
          <w:sz w:val="24"/>
          <w:szCs w:val="24"/>
          <w:vertAlign w:val="subscript"/>
        </w:rPr>
        <w:t>2</w:t>
      </w:r>
      <w:r>
        <w:rPr>
          <w:rFonts w:ascii="Times New Roman" w:hAnsi="Times New Roman"/>
          <w:sz w:val="24"/>
          <w:szCs w:val="24"/>
        </w:rPr>
        <w:t>O</w:t>
      </w:r>
      <w:r w:rsidRPr="00FD210E">
        <w:rPr>
          <w:rFonts w:ascii="Times New Roman" w:hAnsi="Times New Roman"/>
          <w:sz w:val="24"/>
          <w:szCs w:val="24"/>
          <w:vertAlign w:val="subscript"/>
        </w:rPr>
        <w:t>2</w:t>
      </w:r>
      <w:r>
        <w:rPr>
          <w:rFonts w:ascii="Times New Roman" w:hAnsi="Times New Roman"/>
          <w:sz w:val="24"/>
          <w:szCs w:val="24"/>
        </w:rPr>
        <w:t xml:space="preserve"> (10µL) às condições de amostragem que o requeriam, e leu-se de imediato a DO</w:t>
      </w:r>
      <w:r w:rsidRPr="00955460">
        <w:rPr>
          <w:rFonts w:ascii="Times New Roman" w:hAnsi="Times New Roman"/>
          <w:sz w:val="24"/>
          <w:szCs w:val="24"/>
          <w:vertAlign w:val="subscript"/>
        </w:rPr>
        <w:t>640nm</w:t>
      </w:r>
      <w:r>
        <w:rPr>
          <w:rFonts w:ascii="Times New Roman" w:hAnsi="Times New Roman"/>
          <w:sz w:val="24"/>
          <w:szCs w:val="24"/>
        </w:rPr>
        <w:t xml:space="preserve"> de todas as amostragens, correspondendo esta primeira leitura ao início do crescimento (T0), fixando o valor do </w:t>
      </w:r>
      <w:r>
        <w:rPr>
          <w:rFonts w:ascii="Times New Roman" w:hAnsi="Times New Roman"/>
          <w:sz w:val="24"/>
          <w:szCs w:val="24"/>
        </w:rPr>
        <w:lastRenderedPageBreak/>
        <w:t xml:space="preserve">branco. De seguida incubou-se de novo as amostragens com as suspensões celulares no incubador orbital, repetindo as leituras de DO a cada hora, por um período de 9h, de forma a acompanhar a curva de crescimento da população de levedura </w:t>
      </w:r>
      <w:r w:rsidRPr="003F357D">
        <w:rPr>
          <w:rFonts w:ascii="Times New Roman" w:hAnsi="Times New Roman"/>
          <w:i/>
          <w:sz w:val="24"/>
          <w:szCs w:val="24"/>
        </w:rPr>
        <w:t>Saccharomyces cerevisiae</w:t>
      </w:r>
      <w:r>
        <w:rPr>
          <w:rFonts w:ascii="Times New Roman" w:hAnsi="Times New Roman"/>
          <w:i/>
          <w:sz w:val="24"/>
          <w:szCs w:val="24"/>
        </w:rPr>
        <w:t xml:space="preserve">. </w:t>
      </w:r>
      <w:r>
        <w:rPr>
          <w:rFonts w:ascii="Times New Roman" w:hAnsi="Times New Roman"/>
          <w:sz w:val="24"/>
          <w:szCs w:val="24"/>
        </w:rPr>
        <w:t>As curvas de crescimento foram obtidas pela DO</w:t>
      </w:r>
      <w:r w:rsidRPr="00955460">
        <w:rPr>
          <w:rFonts w:ascii="Times New Roman" w:hAnsi="Times New Roman"/>
          <w:sz w:val="24"/>
          <w:szCs w:val="24"/>
          <w:vertAlign w:val="subscript"/>
        </w:rPr>
        <w:t>640</w:t>
      </w:r>
      <w:r>
        <w:rPr>
          <w:rFonts w:ascii="Times New Roman" w:hAnsi="Times New Roman"/>
          <w:sz w:val="24"/>
          <w:szCs w:val="24"/>
          <w:vertAlign w:val="subscript"/>
        </w:rPr>
        <w:t>nm</w:t>
      </w:r>
      <w:r>
        <w:rPr>
          <w:rFonts w:ascii="Times New Roman" w:hAnsi="Times New Roman"/>
          <w:sz w:val="24"/>
          <w:szCs w:val="24"/>
        </w:rPr>
        <w:t xml:space="preserve"> em função do tempo de incubação, e os valores de EC</w:t>
      </w:r>
      <w:r w:rsidRPr="00955460">
        <w:rPr>
          <w:rFonts w:ascii="Times New Roman" w:hAnsi="Times New Roman"/>
          <w:sz w:val="24"/>
          <w:szCs w:val="24"/>
          <w:vertAlign w:val="subscript"/>
        </w:rPr>
        <w:t>50</w:t>
      </w:r>
      <w:r>
        <w:rPr>
          <w:rFonts w:ascii="Times New Roman" w:hAnsi="Times New Roman"/>
          <w:sz w:val="24"/>
          <w:szCs w:val="24"/>
        </w:rPr>
        <w:t xml:space="preserve"> </w:t>
      </w:r>
      <w:r w:rsidR="00505D72">
        <w:rPr>
          <w:rFonts w:ascii="Times New Roman" w:hAnsi="Times New Roman"/>
          <w:sz w:val="24"/>
          <w:szCs w:val="24"/>
        </w:rPr>
        <w:t>de cada extracto serão</w:t>
      </w:r>
      <w:r>
        <w:rPr>
          <w:rFonts w:ascii="Times New Roman" w:hAnsi="Times New Roman"/>
          <w:sz w:val="24"/>
          <w:szCs w:val="24"/>
        </w:rPr>
        <w:t xml:space="preserve"> calculados </w:t>
      </w:r>
      <w:r w:rsidRPr="00290FF2">
        <w:rPr>
          <w:rFonts w:ascii="Times New Roman" w:hAnsi="Times New Roman"/>
          <w:sz w:val="24"/>
          <w:szCs w:val="24"/>
        </w:rPr>
        <w:t xml:space="preserve">através do </w:t>
      </w:r>
      <w:r w:rsidRPr="00E1733C">
        <w:rPr>
          <w:rFonts w:ascii="Times New Roman" w:hAnsi="Times New Roman"/>
          <w:i/>
          <w:sz w:val="24"/>
          <w:szCs w:val="24"/>
        </w:rPr>
        <w:t>software</w:t>
      </w:r>
      <w:r w:rsidRPr="00290FF2">
        <w:rPr>
          <w:rFonts w:ascii="Times New Roman" w:hAnsi="Times New Roman"/>
          <w:sz w:val="24"/>
          <w:szCs w:val="24"/>
        </w:rPr>
        <w:t xml:space="preserve"> </w:t>
      </w:r>
      <w:r w:rsidRPr="00290FF2">
        <w:rPr>
          <w:rFonts w:ascii="Times New Roman" w:hAnsi="Times New Roman"/>
          <w:i/>
          <w:sz w:val="24"/>
          <w:szCs w:val="24"/>
        </w:rPr>
        <w:t>Sigma Plot 11.0</w:t>
      </w:r>
      <w:r>
        <w:rPr>
          <w:rFonts w:ascii="Times New Roman" w:hAnsi="Times New Roman"/>
          <w:i/>
          <w:sz w:val="24"/>
          <w:szCs w:val="24"/>
        </w:rPr>
        <w:t>.</w:t>
      </w:r>
      <w:r>
        <w:rPr>
          <w:rFonts w:ascii="Times New Roman" w:hAnsi="Times New Roman"/>
          <w:sz w:val="24"/>
          <w:szCs w:val="24"/>
        </w:rPr>
        <w:t xml:space="preserve">  </w:t>
      </w:r>
    </w:p>
    <w:p w:rsidR="006334D4" w:rsidRPr="00CD0784" w:rsidRDefault="006334D4" w:rsidP="00CD0784">
      <w:pPr>
        <w:ind w:firstLine="708"/>
        <w:jc w:val="both"/>
        <w:rPr>
          <w:rFonts w:ascii="Times New Roman" w:hAnsi="Times New Roman"/>
          <w:sz w:val="24"/>
          <w:szCs w:val="24"/>
        </w:rPr>
      </w:pPr>
    </w:p>
    <w:p w:rsidR="004A53B1" w:rsidRPr="004E4A79" w:rsidRDefault="004A53B1" w:rsidP="004A53B1">
      <w:pPr>
        <w:pStyle w:val="PargrafodaLista"/>
        <w:numPr>
          <w:ilvl w:val="1"/>
          <w:numId w:val="24"/>
        </w:numPr>
        <w:tabs>
          <w:tab w:val="left" w:pos="993"/>
        </w:tabs>
        <w:ind w:left="284" w:firstLine="0"/>
        <w:jc w:val="both"/>
        <w:rPr>
          <w:rFonts w:ascii="Times New Roman" w:hAnsi="Times New Roman"/>
          <w:b/>
          <w:sz w:val="28"/>
        </w:rPr>
      </w:pPr>
      <w:r>
        <w:rPr>
          <w:rFonts w:ascii="Times New Roman" w:hAnsi="Times New Roman"/>
          <w:b/>
          <w:sz w:val="28"/>
        </w:rPr>
        <w:t xml:space="preserve">Análise estatística </w:t>
      </w:r>
    </w:p>
    <w:p w:rsidR="004A53B1" w:rsidRPr="003F357D" w:rsidRDefault="004A53B1" w:rsidP="00CD0784">
      <w:pPr>
        <w:jc w:val="both"/>
        <w:rPr>
          <w:rFonts w:ascii="Times New Roman" w:hAnsi="Times New Roman"/>
          <w:sz w:val="24"/>
          <w:szCs w:val="24"/>
        </w:rPr>
      </w:pPr>
    </w:p>
    <w:p w:rsidR="004A53B1" w:rsidRPr="002013B5" w:rsidRDefault="004A53B1" w:rsidP="0069401E">
      <w:pPr>
        <w:pStyle w:val="Default"/>
        <w:spacing w:after="240" w:line="276" w:lineRule="auto"/>
        <w:ind w:firstLine="708"/>
        <w:jc w:val="both"/>
        <w:rPr>
          <w:color w:val="auto"/>
          <w:lang w:val="en-US" w:eastAsia="en-US"/>
        </w:rPr>
      </w:pPr>
      <w:r w:rsidRPr="001A1C30">
        <w:rPr>
          <w:color w:val="auto"/>
          <w:lang w:eastAsia="en-US"/>
        </w:rPr>
        <w:t xml:space="preserve">Para o tratamento dos dados </w:t>
      </w:r>
      <w:r>
        <w:rPr>
          <w:color w:val="auto"/>
          <w:lang w:eastAsia="en-US"/>
        </w:rPr>
        <w:t xml:space="preserve">de todas as experiências levadas a cabo neste trabalho, </w:t>
      </w:r>
      <w:r w:rsidRPr="001A1C30">
        <w:rPr>
          <w:color w:val="auto"/>
          <w:lang w:eastAsia="en-US"/>
        </w:rPr>
        <w:t xml:space="preserve">aplicou-se uma análise de variância para um factor (ANOVA </w:t>
      </w:r>
      <w:r w:rsidRPr="004824E3">
        <w:rPr>
          <w:i/>
          <w:color w:val="auto"/>
          <w:lang w:eastAsia="en-US"/>
        </w:rPr>
        <w:t>one-way</w:t>
      </w:r>
      <w:r w:rsidRPr="001A1C30">
        <w:rPr>
          <w:color w:val="auto"/>
          <w:lang w:eastAsia="en-US"/>
        </w:rPr>
        <w:t xml:space="preserve">). </w:t>
      </w:r>
      <w:r w:rsidRPr="0069401E">
        <w:rPr>
          <w:color w:val="auto"/>
          <w:lang w:eastAsia="en-US"/>
        </w:rPr>
        <w:t xml:space="preserve">A ANOVA </w:t>
      </w:r>
      <w:r w:rsidR="003363ED" w:rsidRPr="00E71F6E">
        <w:rPr>
          <w:i/>
          <w:color w:val="auto"/>
          <w:lang w:eastAsia="en-US"/>
        </w:rPr>
        <w:t>one-way</w:t>
      </w:r>
      <w:r w:rsidR="003363ED" w:rsidRPr="0069401E">
        <w:rPr>
          <w:color w:val="auto"/>
          <w:lang w:eastAsia="en-US"/>
        </w:rPr>
        <w:t xml:space="preserve"> consiste</w:t>
      </w:r>
      <w:r w:rsidRPr="0069401E">
        <w:rPr>
          <w:color w:val="auto"/>
          <w:lang w:eastAsia="en-US"/>
        </w:rPr>
        <w:t xml:space="preserve"> </w:t>
      </w:r>
      <w:r w:rsidR="003363ED" w:rsidRPr="0069401E">
        <w:rPr>
          <w:color w:val="auto"/>
          <w:lang w:eastAsia="en-US"/>
        </w:rPr>
        <w:t>n</w:t>
      </w:r>
      <w:r w:rsidRPr="0069401E">
        <w:rPr>
          <w:color w:val="auto"/>
          <w:lang w:eastAsia="en-US"/>
        </w:rPr>
        <w:t xml:space="preserve">um teste paramétrico </w:t>
      </w:r>
      <w:r w:rsidR="003363ED" w:rsidRPr="0069401E">
        <w:rPr>
          <w:color w:val="auto"/>
          <w:lang w:eastAsia="en-US"/>
        </w:rPr>
        <w:t>em que o</w:t>
      </w:r>
      <w:r w:rsidR="0069401E">
        <w:rPr>
          <w:color w:val="auto"/>
          <w:lang w:eastAsia="en-US"/>
        </w:rPr>
        <w:t xml:space="preserve"> propósito da sua aplicação é descobrir se os dados de vários grupos possuem uma média em comum, ou seja, para determinar se os grupos são realmente diferentes na característica medida.</w:t>
      </w:r>
      <w:r w:rsidR="0069401E">
        <w:rPr>
          <w:rStyle w:val="hps"/>
          <w:color w:val="auto"/>
          <w:lang w:eastAsia="en-US"/>
        </w:rPr>
        <w:t xml:space="preserve"> </w:t>
      </w:r>
      <w:r w:rsidRPr="001A1C30">
        <w:rPr>
          <w:color w:val="auto"/>
          <w:lang w:eastAsia="en-US"/>
        </w:rPr>
        <w:t>O nível de confiança utilizado pa</w:t>
      </w:r>
      <w:r w:rsidR="001C7FB6">
        <w:rPr>
          <w:color w:val="auto"/>
          <w:lang w:eastAsia="en-US"/>
        </w:rPr>
        <w:t>ra o teste ANOVA, com um factor</w:t>
      </w:r>
      <w:r w:rsidRPr="001A1C30">
        <w:rPr>
          <w:color w:val="auto"/>
          <w:lang w:eastAsia="en-US"/>
        </w:rPr>
        <w:t>, foi de 95%. Os valores cuja probabilidade de ocorrência foi superior a 95% (p&lt;0,05) foram considerado</w:t>
      </w:r>
      <w:r w:rsidR="001C7FB6">
        <w:rPr>
          <w:color w:val="auto"/>
          <w:lang w:eastAsia="en-US"/>
        </w:rPr>
        <w:t>s significativamente diferentes. Considerou-se que não existiam</w:t>
      </w:r>
      <w:r w:rsidRPr="001A1C30">
        <w:rPr>
          <w:color w:val="auto"/>
          <w:lang w:eastAsia="en-US"/>
        </w:rPr>
        <w:t xml:space="preserve"> diferenças significativas </w:t>
      </w:r>
      <w:r w:rsidR="001C7FB6">
        <w:rPr>
          <w:color w:val="auto"/>
          <w:lang w:eastAsia="en-US"/>
        </w:rPr>
        <w:t>nos valores</w:t>
      </w:r>
      <w:r w:rsidRPr="001A1C30">
        <w:rPr>
          <w:color w:val="auto"/>
          <w:lang w:eastAsia="en-US"/>
        </w:rPr>
        <w:t xml:space="preserve"> em que a probabilidade de ocorrência foi inferior a 95% (p&gt;0,05). O teste de comparação múltipla de médias utilizado foi o teste de </w:t>
      </w:r>
      <w:r w:rsidRPr="004824E3">
        <w:rPr>
          <w:i/>
          <w:color w:val="auto"/>
          <w:lang w:eastAsia="en-US"/>
        </w:rPr>
        <w:t>Tukey</w:t>
      </w:r>
      <w:r w:rsidRPr="001A1C30">
        <w:rPr>
          <w:color w:val="auto"/>
          <w:lang w:eastAsia="en-US"/>
        </w:rPr>
        <w:t xml:space="preserve">. </w:t>
      </w:r>
      <w:r w:rsidRPr="001A1C30">
        <w:t xml:space="preserve">A análise dos dados foi realizada utilizando o programa </w:t>
      </w:r>
      <w:r w:rsidRPr="004824E3">
        <w:rPr>
          <w:i/>
        </w:rPr>
        <w:t>Sigma Plot</w:t>
      </w:r>
      <w:r w:rsidRPr="001A1C30">
        <w:t xml:space="preserve"> (versão 1</w:t>
      </w:r>
      <w:r>
        <w:t>1</w:t>
      </w:r>
      <w:r w:rsidRPr="001A1C30">
        <w:t xml:space="preserve">.0), </w:t>
      </w:r>
      <w:r w:rsidRPr="004824E3">
        <w:rPr>
          <w:i/>
        </w:rPr>
        <w:t xml:space="preserve">Systat Software, Inc. </w:t>
      </w:r>
      <w:r w:rsidRPr="00A87E66">
        <w:rPr>
          <w:i/>
          <w:lang w:val="en-US"/>
        </w:rPr>
        <w:t>SigmaPlot for Windows</w:t>
      </w:r>
      <w:r w:rsidRPr="00A87E66">
        <w:rPr>
          <w:lang w:val="en-US"/>
        </w:rPr>
        <w:t xml:space="preserve">, © 2011 </w:t>
      </w:r>
      <w:r w:rsidRPr="00A87E66">
        <w:rPr>
          <w:i/>
          <w:lang w:val="en-US"/>
        </w:rPr>
        <w:t xml:space="preserve">Systat Software Inc. – All rights reserved.  </w:t>
      </w:r>
    </w:p>
    <w:p w:rsidR="004A53B1" w:rsidRPr="00A87E66" w:rsidRDefault="004A53B1" w:rsidP="004A53B1">
      <w:pPr>
        <w:pStyle w:val="Default"/>
        <w:spacing w:after="240" w:line="276" w:lineRule="auto"/>
        <w:ind w:firstLine="708"/>
        <w:jc w:val="both"/>
        <w:rPr>
          <w:color w:val="auto"/>
          <w:lang w:val="en-US" w:eastAsia="en-US"/>
        </w:rPr>
      </w:pPr>
    </w:p>
    <w:p w:rsidR="004A53B1" w:rsidRPr="00A87E66" w:rsidRDefault="004A53B1" w:rsidP="004A53B1">
      <w:pPr>
        <w:pStyle w:val="Default"/>
        <w:spacing w:after="240" w:line="276" w:lineRule="auto"/>
        <w:ind w:firstLine="708"/>
        <w:jc w:val="both"/>
        <w:rPr>
          <w:color w:val="auto"/>
          <w:lang w:val="en-US" w:eastAsia="en-US"/>
        </w:rPr>
      </w:pPr>
    </w:p>
    <w:p w:rsidR="004A53B1" w:rsidRPr="0056563F" w:rsidRDefault="004A53B1" w:rsidP="004A53B1">
      <w:pPr>
        <w:tabs>
          <w:tab w:val="left" w:pos="851"/>
        </w:tabs>
        <w:jc w:val="both"/>
        <w:rPr>
          <w:rFonts w:ascii="Times New Roman" w:hAnsi="Times New Roman"/>
          <w:sz w:val="24"/>
          <w:szCs w:val="24"/>
          <w:lang w:val="en-US"/>
        </w:rPr>
      </w:pPr>
    </w:p>
    <w:p w:rsidR="004A53B1" w:rsidRPr="0056563F" w:rsidRDefault="004A53B1" w:rsidP="004A53B1">
      <w:pPr>
        <w:tabs>
          <w:tab w:val="left" w:pos="851"/>
        </w:tabs>
        <w:jc w:val="both"/>
        <w:rPr>
          <w:rFonts w:ascii="Times New Roman" w:hAnsi="Times New Roman"/>
          <w:sz w:val="24"/>
          <w:szCs w:val="24"/>
          <w:lang w:val="en-US"/>
        </w:rPr>
      </w:pPr>
    </w:p>
    <w:p w:rsidR="0077507E" w:rsidRPr="007443DE" w:rsidRDefault="0077507E" w:rsidP="00E60045">
      <w:pPr>
        <w:jc w:val="right"/>
        <w:rPr>
          <w:b/>
          <w:sz w:val="24"/>
          <w:szCs w:val="24"/>
          <w:lang w:val="en-US"/>
        </w:rPr>
      </w:pPr>
    </w:p>
    <w:p w:rsidR="0077507E" w:rsidRPr="007443DE" w:rsidRDefault="0077507E" w:rsidP="00E60045">
      <w:pPr>
        <w:jc w:val="right"/>
        <w:rPr>
          <w:b/>
          <w:sz w:val="24"/>
          <w:szCs w:val="24"/>
          <w:lang w:val="en-US"/>
        </w:rPr>
      </w:pPr>
    </w:p>
    <w:p w:rsidR="0077507E" w:rsidRPr="007443DE" w:rsidRDefault="0077507E" w:rsidP="00E60045">
      <w:pPr>
        <w:jc w:val="right"/>
        <w:rPr>
          <w:b/>
          <w:sz w:val="24"/>
          <w:szCs w:val="24"/>
          <w:lang w:val="en-US"/>
        </w:rPr>
      </w:pPr>
    </w:p>
    <w:p w:rsidR="0077507E" w:rsidRPr="007443DE" w:rsidRDefault="0077507E" w:rsidP="00E60045">
      <w:pPr>
        <w:jc w:val="right"/>
        <w:rPr>
          <w:b/>
          <w:sz w:val="24"/>
          <w:szCs w:val="24"/>
          <w:lang w:val="en-US"/>
        </w:rPr>
      </w:pPr>
    </w:p>
    <w:p w:rsidR="0077507E" w:rsidRPr="007443DE" w:rsidRDefault="0077507E" w:rsidP="00E60045">
      <w:pPr>
        <w:jc w:val="right"/>
        <w:rPr>
          <w:b/>
          <w:sz w:val="24"/>
          <w:szCs w:val="24"/>
          <w:lang w:val="en-US"/>
        </w:rPr>
      </w:pPr>
    </w:p>
    <w:p w:rsidR="0077507E" w:rsidRPr="007443DE" w:rsidRDefault="0077507E" w:rsidP="00E60045">
      <w:pPr>
        <w:jc w:val="right"/>
        <w:rPr>
          <w:b/>
          <w:sz w:val="24"/>
          <w:szCs w:val="24"/>
          <w:lang w:val="en-US"/>
        </w:rPr>
      </w:pPr>
    </w:p>
    <w:p w:rsidR="0077507E" w:rsidRPr="007443DE" w:rsidRDefault="0077507E" w:rsidP="00E60045">
      <w:pPr>
        <w:jc w:val="right"/>
        <w:rPr>
          <w:b/>
          <w:sz w:val="24"/>
          <w:szCs w:val="24"/>
          <w:lang w:val="en-US"/>
        </w:rPr>
      </w:pPr>
    </w:p>
    <w:p w:rsidR="0077507E" w:rsidRPr="007443DE" w:rsidRDefault="0077507E" w:rsidP="00E60045">
      <w:pPr>
        <w:jc w:val="right"/>
        <w:rPr>
          <w:b/>
          <w:sz w:val="24"/>
          <w:szCs w:val="24"/>
          <w:lang w:val="en-US"/>
        </w:rPr>
      </w:pPr>
    </w:p>
    <w:p w:rsidR="0077507E" w:rsidRPr="007443DE" w:rsidRDefault="0077507E" w:rsidP="00E60045">
      <w:pPr>
        <w:jc w:val="right"/>
        <w:rPr>
          <w:rFonts w:ascii="Times New Roman" w:hAnsi="Times New Roman"/>
          <w:b/>
          <w:sz w:val="24"/>
          <w:szCs w:val="24"/>
          <w:lang w:val="en-US"/>
        </w:rPr>
      </w:pPr>
    </w:p>
    <w:p w:rsidR="0077507E" w:rsidRPr="007443DE" w:rsidRDefault="0077507E" w:rsidP="00E60045">
      <w:pPr>
        <w:jc w:val="right"/>
        <w:rPr>
          <w:rFonts w:ascii="Times New Roman" w:hAnsi="Times New Roman"/>
          <w:b/>
          <w:sz w:val="24"/>
          <w:szCs w:val="24"/>
          <w:lang w:val="en-US"/>
        </w:rPr>
      </w:pPr>
    </w:p>
    <w:p w:rsidR="0077507E" w:rsidRPr="007443DE" w:rsidRDefault="0077507E" w:rsidP="00E60045">
      <w:pPr>
        <w:jc w:val="right"/>
        <w:rPr>
          <w:rFonts w:ascii="Times New Roman" w:hAnsi="Times New Roman"/>
          <w:b/>
          <w:sz w:val="24"/>
          <w:szCs w:val="24"/>
          <w:lang w:val="en-US"/>
        </w:rPr>
      </w:pPr>
    </w:p>
    <w:p w:rsidR="00175642" w:rsidRPr="007443DE" w:rsidRDefault="00175642" w:rsidP="00322A7E">
      <w:pPr>
        <w:spacing w:after="0"/>
        <w:rPr>
          <w:rFonts w:ascii="Times New Roman" w:hAnsi="Times New Roman"/>
          <w:b/>
          <w:sz w:val="24"/>
          <w:szCs w:val="24"/>
          <w:lang w:val="en-US"/>
        </w:rPr>
      </w:pPr>
    </w:p>
    <w:p w:rsidR="00322A7E" w:rsidRPr="007443DE" w:rsidRDefault="00322A7E" w:rsidP="00322A7E">
      <w:pPr>
        <w:spacing w:after="0"/>
        <w:rPr>
          <w:rFonts w:ascii="Times New Roman" w:hAnsi="Times New Roman"/>
          <w:b/>
          <w:sz w:val="24"/>
          <w:szCs w:val="24"/>
          <w:lang w:val="en-US"/>
        </w:rPr>
      </w:pPr>
    </w:p>
    <w:p w:rsidR="006737F5" w:rsidRPr="007443DE" w:rsidRDefault="006737F5" w:rsidP="006737F5">
      <w:pPr>
        <w:rPr>
          <w:rFonts w:ascii="Times New Roman" w:hAnsi="Times New Roman"/>
          <w:b/>
          <w:sz w:val="24"/>
          <w:szCs w:val="24"/>
          <w:lang w:val="en-US"/>
        </w:rPr>
      </w:pPr>
    </w:p>
    <w:p w:rsidR="006737F5" w:rsidRPr="007443DE" w:rsidRDefault="006737F5" w:rsidP="006737F5">
      <w:pPr>
        <w:rPr>
          <w:rFonts w:ascii="Times New Roman" w:hAnsi="Times New Roman"/>
          <w:b/>
          <w:sz w:val="24"/>
          <w:szCs w:val="24"/>
          <w:lang w:val="en-US"/>
        </w:rPr>
      </w:pPr>
    </w:p>
    <w:p w:rsidR="006737F5" w:rsidRPr="007443DE" w:rsidRDefault="006737F5" w:rsidP="006737F5">
      <w:pPr>
        <w:rPr>
          <w:rFonts w:ascii="Times New Roman" w:hAnsi="Times New Roman"/>
          <w:b/>
          <w:sz w:val="24"/>
          <w:szCs w:val="24"/>
          <w:lang w:val="en-US"/>
        </w:rPr>
      </w:pPr>
    </w:p>
    <w:p w:rsidR="006737F5" w:rsidRPr="007443DE" w:rsidRDefault="006737F5" w:rsidP="006737F5">
      <w:pPr>
        <w:rPr>
          <w:rFonts w:ascii="Times New Roman" w:hAnsi="Times New Roman"/>
          <w:b/>
          <w:sz w:val="24"/>
          <w:szCs w:val="24"/>
          <w:lang w:val="en-US"/>
        </w:rPr>
      </w:pPr>
    </w:p>
    <w:p w:rsidR="006737F5" w:rsidRPr="007443DE" w:rsidRDefault="006737F5" w:rsidP="006737F5">
      <w:pPr>
        <w:rPr>
          <w:rFonts w:ascii="Times New Roman" w:hAnsi="Times New Roman"/>
          <w:b/>
          <w:sz w:val="24"/>
          <w:szCs w:val="24"/>
          <w:lang w:val="en-US"/>
        </w:rPr>
      </w:pPr>
    </w:p>
    <w:p w:rsidR="006737F5" w:rsidRPr="007443DE" w:rsidRDefault="006737F5" w:rsidP="006737F5">
      <w:pPr>
        <w:rPr>
          <w:rFonts w:ascii="Times New Roman" w:hAnsi="Times New Roman"/>
          <w:b/>
          <w:sz w:val="24"/>
          <w:szCs w:val="24"/>
          <w:lang w:val="en-US"/>
        </w:rPr>
      </w:pPr>
    </w:p>
    <w:p w:rsidR="006737F5" w:rsidRPr="007443DE" w:rsidRDefault="006737F5" w:rsidP="006737F5">
      <w:pPr>
        <w:rPr>
          <w:rFonts w:ascii="Times New Roman" w:hAnsi="Times New Roman"/>
          <w:b/>
          <w:sz w:val="24"/>
          <w:szCs w:val="24"/>
          <w:lang w:val="en-US"/>
        </w:rPr>
      </w:pPr>
    </w:p>
    <w:p w:rsidR="006737F5" w:rsidRPr="00B766F9" w:rsidRDefault="006737F5" w:rsidP="006737F5">
      <w:pPr>
        <w:jc w:val="right"/>
        <w:rPr>
          <w:rFonts w:ascii="Times New Roman" w:hAnsi="Times New Roman"/>
          <w:b/>
          <w:sz w:val="32"/>
          <w:szCs w:val="28"/>
          <w:lang w:val="en-US"/>
        </w:rPr>
      </w:pPr>
      <w:r w:rsidRPr="00B766F9">
        <w:rPr>
          <w:rFonts w:ascii="Times New Roman" w:hAnsi="Times New Roman"/>
          <w:b/>
          <w:sz w:val="32"/>
          <w:szCs w:val="28"/>
          <w:lang w:val="en-US"/>
        </w:rPr>
        <w:t>IV. Resultados e Discussão</w:t>
      </w:r>
    </w:p>
    <w:p w:rsidR="006737F5" w:rsidRPr="00B766F9" w:rsidRDefault="006737F5" w:rsidP="006737F5">
      <w:pPr>
        <w:jc w:val="right"/>
        <w:rPr>
          <w:rFonts w:ascii="Times New Roman" w:hAnsi="Times New Roman"/>
          <w:b/>
          <w:sz w:val="32"/>
          <w:szCs w:val="28"/>
          <w:lang w:val="en-US"/>
        </w:rPr>
      </w:pPr>
    </w:p>
    <w:p w:rsidR="006737F5" w:rsidRPr="00B766F9" w:rsidRDefault="006737F5" w:rsidP="006737F5">
      <w:pPr>
        <w:jc w:val="right"/>
        <w:rPr>
          <w:rFonts w:ascii="Times New Roman" w:hAnsi="Times New Roman"/>
          <w:b/>
          <w:sz w:val="32"/>
          <w:szCs w:val="28"/>
          <w:lang w:val="en-US"/>
        </w:rPr>
      </w:pPr>
    </w:p>
    <w:p w:rsidR="006737F5" w:rsidRPr="00B766F9" w:rsidRDefault="006737F5" w:rsidP="006737F5">
      <w:pPr>
        <w:jc w:val="right"/>
        <w:rPr>
          <w:rFonts w:ascii="Times New Roman" w:hAnsi="Times New Roman"/>
          <w:b/>
          <w:sz w:val="32"/>
          <w:szCs w:val="28"/>
          <w:lang w:val="en-US"/>
        </w:rPr>
      </w:pPr>
    </w:p>
    <w:p w:rsidR="006737F5" w:rsidRPr="00B766F9" w:rsidRDefault="006737F5" w:rsidP="006737F5">
      <w:pPr>
        <w:jc w:val="right"/>
        <w:rPr>
          <w:rFonts w:ascii="Times New Roman" w:hAnsi="Times New Roman"/>
          <w:b/>
          <w:sz w:val="32"/>
          <w:szCs w:val="28"/>
          <w:lang w:val="en-US"/>
        </w:rPr>
      </w:pPr>
    </w:p>
    <w:p w:rsidR="006737F5" w:rsidRPr="00B766F9" w:rsidRDefault="006737F5" w:rsidP="006737F5">
      <w:pPr>
        <w:jc w:val="right"/>
        <w:rPr>
          <w:rFonts w:ascii="Times New Roman" w:hAnsi="Times New Roman"/>
          <w:b/>
          <w:sz w:val="32"/>
          <w:szCs w:val="28"/>
          <w:lang w:val="en-US"/>
        </w:rPr>
      </w:pPr>
    </w:p>
    <w:p w:rsidR="006737F5" w:rsidRPr="00B766F9" w:rsidRDefault="006737F5" w:rsidP="006737F5">
      <w:pPr>
        <w:jc w:val="right"/>
        <w:rPr>
          <w:rFonts w:ascii="Times New Roman" w:hAnsi="Times New Roman"/>
          <w:b/>
          <w:sz w:val="32"/>
          <w:szCs w:val="28"/>
          <w:lang w:val="en-US"/>
        </w:rPr>
      </w:pPr>
    </w:p>
    <w:p w:rsidR="006737F5" w:rsidRPr="00B766F9" w:rsidRDefault="006737F5" w:rsidP="006737F5">
      <w:pPr>
        <w:jc w:val="right"/>
        <w:rPr>
          <w:rFonts w:ascii="Times New Roman" w:hAnsi="Times New Roman"/>
          <w:b/>
          <w:sz w:val="32"/>
          <w:szCs w:val="28"/>
          <w:lang w:val="en-US"/>
        </w:rPr>
      </w:pPr>
    </w:p>
    <w:p w:rsidR="006737F5" w:rsidRPr="00B766F9" w:rsidRDefault="006737F5" w:rsidP="006737F5">
      <w:pPr>
        <w:jc w:val="right"/>
        <w:rPr>
          <w:rFonts w:ascii="Times New Roman" w:hAnsi="Times New Roman"/>
          <w:b/>
          <w:sz w:val="32"/>
          <w:szCs w:val="28"/>
          <w:lang w:val="en-US"/>
        </w:rPr>
      </w:pPr>
    </w:p>
    <w:p w:rsidR="006737F5" w:rsidRPr="00B766F9" w:rsidRDefault="006737F5" w:rsidP="006737F5">
      <w:pPr>
        <w:jc w:val="right"/>
        <w:rPr>
          <w:rFonts w:ascii="Times New Roman" w:hAnsi="Times New Roman"/>
          <w:b/>
          <w:sz w:val="32"/>
          <w:szCs w:val="28"/>
          <w:lang w:val="en-US"/>
        </w:rPr>
      </w:pPr>
    </w:p>
    <w:p w:rsidR="006737F5" w:rsidRPr="00B766F9" w:rsidRDefault="006737F5" w:rsidP="006334D4">
      <w:pPr>
        <w:rPr>
          <w:rFonts w:ascii="Times New Roman" w:hAnsi="Times New Roman"/>
          <w:b/>
          <w:sz w:val="32"/>
          <w:szCs w:val="28"/>
          <w:lang w:val="en-US"/>
        </w:rPr>
      </w:pPr>
    </w:p>
    <w:p w:rsidR="006737F5" w:rsidRPr="00B766F9" w:rsidRDefault="006737F5" w:rsidP="006737F5">
      <w:pPr>
        <w:jc w:val="both"/>
        <w:rPr>
          <w:rFonts w:ascii="Times New Roman" w:hAnsi="Times New Roman"/>
          <w:sz w:val="24"/>
          <w:szCs w:val="24"/>
          <w:lang w:val="en-US"/>
        </w:rPr>
      </w:pPr>
    </w:p>
    <w:p w:rsidR="006737F5" w:rsidRDefault="006737F5" w:rsidP="006737F5">
      <w:pPr>
        <w:ind w:firstLine="360"/>
        <w:jc w:val="both"/>
        <w:rPr>
          <w:rFonts w:ascii="Times New Roman" w:hAnsi="Times New Roman"/>
          <w:sz w:val="24"/>
          <w:szCs w:val="24"/>
        </w:rPr>
      </w:pPr>
      <w:r w:rsidRPr="00742E88">
        <w:rPr>
          <w:rFonts w:ascii="Times New Roman" w:hAnsi="Times New Roman"/>
          <w:sz w:val="24"/>
          <w:szCs w:val="24"/>
        </w:rPr>
        <w:lastRenderedPageBreak/>
        <w:t xml:space="preserve">A </w:t>
      </w:r>
      <w:r>
        <w:rPr>
          <w:rFonts w:ascii="Times New Roman" w:hAnsi="Times New Roman"/>
          <w:sz w:val="24"/>
          <w:szCs w:val="24"/>
        </w:rPr>
        <w:t>obten</w:t>
      </w:r>
      <w:r w:rsidRPr="00742E88">
        <w:rPr>
          <w:rFonts w:ascii="Times New Roman" w:hAnsi="Times New Roman"/>
          <w:sz w:val="24"/>
          <w:szCs w:val="24"/>
        </w:rPr>
        <w:t xml:space="preserve">ção de um extracto aquoso </w:t>
      </w:r>
      <w:r>
        <w:rPr>
          <w:rFonts w:ascii="Times New Roman" w:hAnsi="Times New Roman"/>
          <w:sz w:val="24"/>
          <w:szCs w:val="24"/>
        </w:rPr>
        <w:t xml:space="preserve">concentrado </w:t>
      </w:r>
      <w:r w:rsidRPr="00742E88">
        <w:rPr>
          <w:rFonts w:ascii="Times New Roman" w:hAnsi="Times New Roman"/>
          <w:sz w:val="24"/>
          <w:szCs w:val="24"/>
        </w:rPr>
        <w:t xml:space="preserve">de bagaço de azeitona extractado </w:t>
      </w:r>
      <w:r>
        <w:rPr>
          <w:rFonts w:ascii="Times New Roman" w:hAnsi="Times New Roman"/>
          <w:sz w:val="24"/>
          <w:szCs w:val="24"/>
        </w:rPr>
        <w:t xml:space="preserve">com recurso a </w:t>
      </w:r>
      <w:r w:rsidRPr="00742E88">
        <w:rPr>
          <w:rFonts w:ascii="Times New Roman" w:hAnsi="Times New Roman"/>
          <w:sz w:val="24"/>
          <w:szCs w:val="24"/>
        </w:rPr>
        <w:t xml:space="preserve">tecnologias </w:t>
      </w:r>
      <w:r>
        <w:rPr>
          <w:rFonts w:ascii="Times New Roman" w:hAnsi="Times New Roman"/>
          <w:sz w:val="24"/>
          <w:szCs w:val="24"/>
        </w:rPr>
        <w:t>limpas, como seja o caso do processo</w:t>
      </w:r>
      <w:r w:rsidRPr="00742E88">
        <w:rPr>
          <w:rFonts w:ascii="Times New Roman" w:hAnsi="Times New Roman"/>
          <w:sz w:val="24"/>
          <w:szCs w:val="24"/>
        </w:rPr>
        <w:t xml:space="preserve"> de </w:t>
      </w:r>
      <w:r w:rsidR="002F7A8F">
        <w:rPr>
          <w:rFonts w:ascii="Times New Roman" w:hAnsi="Times New Roman"/>
          <w:sz w:val="24"/>
          <w:szCs w:val="24"/>
        </w:rPr>
        <w:t xml:space="preserve">separação por </w:t>
      </w:r>
      <w:r w:rsidRPr="00742E88">
        <w:rPr>
          <w:rFonts w:ascii="Times New Roman" w:hAnsi="Times New Roman"/>
          <w:sz w:val="24"/>
          <w:szCs w:val="24"/>
        </w:rPr>
        <w:t>membranas</w:t>
      </w:r>
      <w:r>
        <w:rPr>
          <w:rFonts w:ascii="Times New Roman" w:hAnsi="Times New Roman"/>
          <w:sz w:val="24"/>
          <w:szCs w:val="24"/>
        </w:rPr>
        <w:t xml:space="preserve">, sem recurso </w:t>
      </w:r>
      <w:r w:rsidRPr="00742E88">
        <w:rPr>
          <w:rFonts w:ascii="Times New Roman" w:hAnsi="Times New Roman"/>
          <w:sz w:val="24"/>
          <w:szCs w:val="24"/>
        </w:rPr>
        <w:t xml:space="preserve">a solventes orgânicos, e cujo potencial biológico é superior ao extracto de origem, constituiu o objectivo principal deste trabalho. No ramo da valorização de um dos subprodutos da indústria do azeite, o BAE, com a produção de extractos de origem não estritamente vegetal, não se conhece um estudo em que estes tenham sido purificados pelas técnicas de nanofiltração e osmose inversa, com consequência num aumento das suas propriedades antioxidante e antiploliferativa em modelos </w:t>
      </w:r>
      <w:r w:rsidRPr="00742E88">
        <w:rPr>
          <w:rFonts w:ascii="Times New Roman" w:hAnsi="Times New Roman"/>
          <w:i/>
          <w:sz w:val="24"/>
          <w:szCs w:val="24"/>
        </w:rPr>
        <w:t>in vitro</w:t>
      </w:r>
      <w:r w:rsidRPr="00742E88">
        <w:rPr>
          <w:rFonts w:ascii="Times New Roman" w:hAnsi="Times New Roman"/>
          <w:sz w:val="24"/>
          <w:szCs w:val="24"/>
        </w:rPr>
        <w:t xml:space="preserve"> e </w:t>
      </w:r>
      <w:r w:rsidRPr="00742E88">
        <w:rPr>
          <w:rFonts w:ascii="Times New Roman" w:hAnsi="Times New Roman"/>
          <w:i/>
          <w:sz w:val="24"/>
          <w:szCs w:val="24"/>
        </w:rPr>
        <w:t>in vivo</w:t>
      </w:r>
      <w:r w:rsidRPr="00742E88">
        <w:rPr>
          <w:rFonts w:ascii="Times New Roman" w:hAnsi="Times New Roman"/>
          <w:sz w:val="24"/>
          <w:szCs w:val="24"/>
        </w:rPr>
        <w:t xml:space="preserve">. </w:t>
      </w:r>
    </w:p>
    <w:p w:rsidR="006737F5" w:rsidRDefault="006737F5" w:rsidP="006737F5">
      <w:pPr>
        <w:ind w:firstLine="360"/>
        <w:jc w:val="both"/>
        <w:rPr>
          <w:rFonts w:ascii="Times New Roman" w:hAnsi="Times New Roman"/>
          <w:sz w:val="24"/>
          <w:szCs w:val="24"/>
        </w:rPr>
      </w:pPr>
      <w:r>
        <w:rPr>
          <w:rFonts w:ascii="Times New Roman" w:hAnsi="Times New Roman"/>
          <w:sz w:val="24"/>
          <w:szCs w:val="24"/>
        </w:rPr>
        <w:t xml:space="preserve">A abordagem seguida por outros autores tem-se mostrado menos abrangente, do que o processo realizado no âmbito do presente trabalho. </w:t>
      </w:r>
      <w:r w:rsidRPr="00742E88">
        <w:rPr>
          <w:rFonts w:ascii="Times New Roman" w:hAnsi="Times New Roman"/>
          <w:sz w:val="24"/>
          <w:szCs w:val="24"/>
        </w:rPr>
        <w:t xml:space="preserve">Estudos </w:t>
      </w:r>
      <w:r>
        <w:rPr>
          <w:rFonts w:ascii="Times New Roman" w:hAnsi="Times New Roman"/>
          <w:sz w:val="24"/>
          <w:szCs w:val="24"/>
        </w:rPr>
        <w:t xml:space="preserve">com objectivos </w:t>
      </w:r>
      <w:r w:rsidRPr="00742E88">
        <w:rPr>
          <w:rFonts w:ascii="Times New Roman" w:hAnsi="Times New Roman"/>
          <w:sz w:val="24"/>
          <w:szCs w:val="24"/>
        </w:rPr>
        <w:t xml:space="preserve">semelhantes, </w:t>
      </w:r>
      <w:r w:rsidR="00933DA8">
        <w:rPr>
          <w:rFonts w:ascii="Times New Roman" w:hAnsi="Times New Roman"/>
          <w:sz w:val="24"/>
          <w:szCs w:val="24"/>
        </w:rPr>
        <w:t>obtêm</w:t>
      </w:r>
      <w:r w:rsidRPr="00742E88">
        <w:rPr>
          <w:rFonts w:ascii="Times New Roman" w:hAnsi="Times New Roman"/>
          <w:sz w:val="24"/>
          <w:szCs w:val="24"/>
        </w:rPr>
        <w:t xml:space="preserve"> </w:t>
      </w:r>
      <w:r>
        <w:rPr>
          <w:rFonts w:ascii="Times New Roman" w:hAnsi="Times New Roman"/>
          <w:sz w:val="24"/>
          <w:szCs w:val="24"/>
        </w:rPr>
        <w:t xml:space="preserve">um </w:t>
      </w:r>
      <w:r w:rsidRPr="00742E88">
        <w:rPr>
          <w:rFonts w:ascii="Times New Roman" w:hAnsi="Times New Roman"/>
          <w:sz w:val="24"/>
          <w:szCs w:val="24"/>
        </w:rPr>
        <w:t>extracto</w:t>
      </w:r>
      <w:r>
        <w:rPr>
          <w:rFonts w:ascii="Times New Roman" w:hAnsi="Times New Roman"/>
          <w:sz w:val="24"/>
          <w:szCs w:val="24"/>
        </w:rPr>
        <w:t xml:space="preserve"> bioactivo enriquecido </w:t>
      </w:r>
      <w:r w:rsidR="00933DA8">
        <w:rPr>
          <w:rFonts w:ascii="Times New Roman" w:hAnsi="Times New Roman"/>
          <w:sz w:val="24"/>
          <w:szCs w:val="24"/>
        </w:rPr>
        <w:t xml:space="preserve">em Hidroxitirosol, </w:t>
      </w:r>
      <w:r>
        <w:rPr>
          <w:rFonts w:ascii="Times New Roman" w:hAnsi="Times New Roman"/>
          <w:sz w:val="24"/>
          <w:szCs w:val="24"/>
        </w:rPr>
        <w:t>a partir das águas russas (</w:t>
      </w:r>
      <w:r w:rsidRPr="00742E88">
        <w:rPr>
          <w:rFonts w:ascii="Times New Roman" w:hAnsi="Times New Roman"/>
          <w:sz w:val="24"/>
          <w:szCs w:val="24"/>
        </w:rPr>
        <w:t>um resíduo resultante da produção de azeite pelo sistema de três fases</w:t>
      </w:r>
      <w:r>
        <w:rPr>
          <w:rFonts w:ascii="Times New Roman" w:hAnsi="Times New Roman"/>
          <w:sz w:val="24"/>
          <w:szCs w:val="24"/>
        </w:rPr>
        <w:t>)</w:t>
      </w:r>
      <w:r w:rsidRPr="00742E88">
        <w:rPr>
          <w:rFonts w:ascii="Times New Roman" w:hAnsi="Times New Roman"/>
          <w:sz w:val="24"/>
          <w:szCs w:val="24"/>
        </w:rPr>
        <w:t xml:space="preserve">, que </w:t>
      </w:r>
      <w:r>
        <w:rPr>
          <w:rFonts w:ascii="Times New Roman" w:hAnsi="Times New Roman"/>
          <w:sz w:val="24"/>
          <w:szCs w:val="24"/>
        </w:rPr>
        <w:t xml:space="preserve">posteriormente é </w:t>
      </w:r>
      <w:r w:rsidRPr="00742E88">
        <w:rPr>
          <w:rFonts w:ascii="Times New Roman" w:hAnsi="Times New Roman"/>
          <w:sz w:val="24"/>
          <w:szCs w:val="24"/>
        </w:rPr>
        <w:t>sujeito às tecnologias de membranas</w:t>
      </w:r>
      <w:r>
        <w:rPr>
          <w:rFonts w:ascii="Times New Roman" w:hAnsi="Times New Roman"/>
          <w:sz w:val="24"/>
          <w:szCs w:val="24"/>
        </w:rPr>
        <w:t xml:space="preserve"> revelando um </w:t>
      </w:r>
      <w:r w:rsidRPr="00742E88">
        <w:rPr>
          <w:rFonts w:ascii="Times New Roman" w:hAnsi="Times New Roman"/>
          <w:sz w:val="24"/>
          <w:szCs w:val="24"/>
        </w:rPr>
        <w:t xml:space="preserve">potencial biológico superior ao extracto </w:t>
      </w:r>
      <w:r>
        <w:rPr>
          <w:rFonts w:ascii="Times New Roman" w:hAnsi="Times New Roman"/>
          <w:sz w:val="24"/>
          <w:szCs w:val="24"/>
        </w:rPr>
        <w:t xml:space="preserve">original (Nunes da Ponte, </w:t>
      </w:r>
      <w:r w:rsidRPr="006D3D76">
        <w:rPr>
          <w:rFonts w:ascii="Times New Roman" w:hAnsi="Times New Roman"/>
          <w:i/>
          <w:sz w:val="24"/>
          <w:szCs w:val="24"/>
        </w:rPr>
        <w:t>et al</w:t>
      </w:r>
      <w:r>
        <w:rPr>
          <w:rFonts w:ascii="Times New Roman" w:hAnsi="Times New Roman"/>
          <w:sz w:val="24"/>
          <w:szCs w:val="24"/>
        </w:rPr>
        <w:t>., 2007)</w:t>
      </w:r>
      <w:r w:rsidRPr="00742E88">
        <w:rPr>
          <w:rFonts w:ascii="Times New Roman" w:hAnsi="Times New Roman"/>
          <w:sz w:val="24"/>
          <w:szCs w:val="24"/>
        </w:rPr>
        <w:t xml:space="preserve">. </w:t>
      </w:r>
    </w:p>
    <w:p w:rsidR="006737F5" w:rsidRDefault="006737F5" w:rsidP="006737F5">
      <w:pPr>
        <w:spacing w:after="0"/>
        <w:ind w:firstLine="360"/>
        <w:jc w:val="both"/>
        <w:rPr>
          <w:rFonts w:ascii="Times New Roman" w:hAnsi="Times New Roman"/>
          <w:sz w:val="24"/>
          <w:szCs w:val="24"/>
        </w:rPr>
      </w:pPr>
      <w:r w:rsidRPr="0077507E">
        <w:rPr>
          <w:rFonts w:ascii="Times New Roman" w:hAnsi="Times New Roman"/>
          <w:sz w:val="24"/>
          <w:szCs w:val="24"/>
        </w:rPr>
        <w:t xml:space="preserve">O </w:t>
      </w:r>
      <w:r w:rsidRPr="0077507E">
        <w:rPr>
          <w:rFonts w:ascii="Times New Roman" w:hAnsi="Times New Roman"/>
          <w:bCs/>
          <w:sz w:val="24"/>
          <w:szCs w:val="24"/>
        </w:rPr>
        <w:t>BAE</w:t>
      </w:r>
      <w:r w:rsidRPr="0077507E">
        <w:rPr>
          <w:rFonts w:ascii="Times New Roman" w:hAnsi="Times New Roman"/>
          <w:sz w:val="24"/>
          <w:szCs w:val="24"/>
        </w:rPr>
        <w:t xml:space="preserve"> apresenta um grande potencial fitoterapêutico, não só pela concentração apreciável de </w:t>
      </w:r>
      <w:r w:rsidRPr="00B80C33">
        <w:rPr>
          <w:rFonts w:ascii="Times New Roman" w:hAnsi="Times New Roman"/>
          <w:sz w:val="24"/>
          <w:szCs w:val="24"/>
        </w:rPr>
        <w:t xml:space="preserve">Hidroxitirosol </w:t>
      </w:r>
      <w:r>
        <w:rPr>
          <w:rFonts w:ascii="Times New Roman" w:hAnsi="Times New Roman"/>
          <w:sz w:val="24"/>
          <w:szCs w:val="24"/>
        </w:rPr>
        <w:t>(</w:t>
      </w:r>
      <w:r w:rsidRPr="00B80C33">
        <w:rPr>
          <w:rFonts w:ascii="Times New Roman" w:hAnsi="Times New Roman"/>
          <w:sz w:val="24"/>
          <w:szCs w:val="24"/>
        </w:rPr>
        <w:t>0,261±0,010mg/mL</w:t>
      </w:r>
      <w:r>
        <w:rPr>
          <w:rFonts w:ascii="Times New Roman" w:hAnsi="Times New Roman"/>
          <w:sz w:val="24"/>
          <w:szCs w:val="24"/>
        </w:rPr>
        <w:t>)</w:t>
      </w:r>
      <w:r w:rsidRPr="0077507E">
        <w:rPr>
          <w:rFonts w:ascii="Times New Roman" w:hAnsi="Times New Roman"/>
          <w:sz w:val="24"/>
          <w:szCs w:val="24"/>
        </w:rPr>
        <w:t xml:space="preserve">, </w:t>
      </w:r>
      <w:r>
        <w:rPr>
          <w:rFonts w:ascii="Times New Roman" w:hAnsi="Times New Roman"/>
          <w:sz w:val="24"/>
          <w:szCs w:val="24"/>
        </w:rPr>
        <w:t>bem como de outros compostos pertencentes a diferentes classes de fitoquímicos, mas também pelas bioactividade identificada</w:t>
      </w:r>
      <w:r w:rsidRPr="0077507E">
        <w:rPr>
          <w:rFonts w:ascii="Times New Roman" w:hAnsi="Times New Roman"/>
          <w:sz w:val="24"/>
          <w:szCs w:val="24"/>
        </w:rPr>
        <w:t xml:space="preserve">, nomeadamente </w:t>
      </w:r>
      <w:r>
        <w:rPr>
          <w:rFonts w:ascii="Times New Roman" w:hAnsi="Times New Roman"/>
          <w:sz w:val="24"/>
          <w:szCs w:val="24"/>
        </w:rPr>
        <w:t>a capacidade antioxidante e anti</w:t>
      </w:r>
      <w:r w:rsidRPr="0077507E">
        <w:rPr>
          <w:rFonts w:ascii="Times New Roman" w:hAnsi="Times New Roman"/>
          <w:sz w:val="24"/>
          <w:szCs w:val="24"/>
        </w:rPr>
        <w:t xml:space="preserve">proliferativa em células humanas de cancro da mama </w:t>
      </w:r>
      <w:r>
        <w:rPr>
          <w:rFonts w:ascii="Times New Roman" w:hAnsi="Times New Roman"/>
          <w:sz w:val="24"/>
          <w:szCs w:val="24"/>
        </w:rPr>
        <w:t xml:space="preserve">fenótipo triplo negativo </w:t>
      </w:r>
      <w:r w:rsidRPr="0077507E">
        <w:rPr>
          <w:rFonts w:ascii="Times New Roman" w:hAnsi="Times New Roman"/>
          <w:sz w:val="24"/>
          <w:szCs w:val="24"/>
        </w:rPr>
        <w:t xml:space="preserve">(Ramos, P. </w:t>
      </w:r>
      <w:r w:rsidRPr="0077507E">
        <w:rPr>
          <w:rFonts w:ascii="Times New Roman" w:hAnsi="Times New Roman"/>
          <w:i/>
          <w:iCs/>
          <w:sz w:val="24"/>
          <w:szCs w:val="24"/>
        </w:rPr>
        <w:t>et al</w:t>
      </w:r>
      <w:r w:rsidRPr="0077507E">
        <w:rPr>
          <w:rFonts w:ascii="Times New Roman" w:hAnsi="Times New Roman"/>
          <w:sz w:val="24"/>
          <w:szCs w:val="24"/>
        </w:rPr>
        <w:t xml:space="preserve">, submitted paper). </w:t>
      </w:r>
    </w:p>
    <w:p w:rsidR="006737F5" w:rsidRDefault="006737F5" w:rsidP="006737F5">
      <w:pPr>
        <w:spacing w:after="0"/>
        <w:ind w:firstLine="360"/>
        <w:jc w:val="both"/>
        <w:rPr>
          <w:rFonts w:ascii="Times New Roman" w:hAnsi="Times New Roman"/>
          <w:sz w:val="24"/>
          <w:szCs w:val="24"/>
        </w:rPr>
      </w:pPr>
    </w:p>
    <w:p w:rsidR="006737F5" w:rsidRPr="006174CE" w:rsidRDefault="006737F5" w:rsidP="006737F5">
      <w:pPr>
        <w:spacing w:after="0"/>
        <w:ind w:firstLine="360"/>
        <w:jc w:val="both"/>
        <w:rPr>
          <w:rFonts w:ascii="Times New Roman" w:hAnsi="Times New Roman"/>
          <w:color w:val="000000"/>
          <w:sz w:val="24"/>
          <w:szCs w:val="24"/>
          <w:lang w:eastAsia="pt-PT"/>
        </w:rPr>
      </w:pPr>
      <w:r>
        <w:rPr>
          <w:rFonts w:ascii="Times New Roman" w:hAnsi="Times New Roman"/>
          <w:sz w:val="24"/>
          <w:szCs w:val="24"/>
        </w:rPr>
        <w:t xml:space="preserve">Neste trabalho efectuou-se </w:t>
      </w:r>
      <w:r w:rsidRPr="00764073">
        <w:rPr>
          <w:rFonts w:ascii="Times New Roman" w:hAnsi="Times New Roman"/>
          <w:color w:val="000000"/>
          <w:sz w:val="24"/>
          <w:szCs w:val="24"/>
          <w:lang w:eastAsia="pt-PT"/>
        </w:rPr>
        <w:t>a caracterização bioquímica do</w:t>
      </w:r>
      <w:r>
        <w:rPr>
          <w:rFonts w:ascii="Times New Roman" w:hAnsi="Times New Roman"/>
          <w:color w:val="000000"/>
          <w:sz w:val="24"/>
          <w:szCs w:val="24"/>
          <w:lang w:eastAsia="pt-PT"/>
        </w:rPr>
        <w:t xml:space="preserve"> EB inicial, bem como dos dois</w:t>
      </w:r>
      <w:r w:rsidRPr="00764073">
        <w:rPr>
          <w:rFonts w:ascii="Times New Roman" w:hAnsi="Times New Roman"/>
          <w:color w:val="000000"/>
          <w:sz w:val="24"/>
          <w:szCs w:val="24"/>
          <w:lang w:eastAsia="pt-PT"/>
        </w:rPr>
        <w:t xml:space="preserve"> extra</w:t>
      </w:r>
      <w:r>
        <w:rPr>
          <w:rFonts w:ascii="Times New Roman" w:hAnsi="Times New Roman"/>
          <w:color w:val="000000"/>
          <w:sz w:val="24"/>
          <w:szCs w:val="24"/>
          <w:lang w:eastAsia="pt-PT"/>
        </w:rPr>
        <w:t>ctos obtidos</w:t>
      </w:r>
      <w:r w:rsidRPr="00F521D7">
        <w:rPr>
          <w:rFonts w:ascii="Times New Roman" w:hAnsi="Times New Roman"/>
          <w:color w:val="000000"/>
          <w:sz w:val="24"/>
          <w:szCs w:val="24"/>
          <w:lang w:eastAsia="pt-PT"/>
        </w:rPr>
        <w:t xml:space="preserve"> </w:t>
      </w:r>
      <w:r>
        <w:rPr>
          <w:rFonts w:ascii="Times New Roman" w:hAnsi="Times New Roman"/>
          <w:color w:val="000000"/>
          <w:sz w:val="24"/>
          <w:szCs w:val="24"/>
          <w:lang w:eastAsia="pt-PT"/>
        </w:rPr>
        <w:t xml:space="preserve">com recurso à tecnologia de </w:t>
      </w:r>
      <w:r w:rsidR="002F7A8F">
        <w:rPr>
          <w:rFonts w:ascii="Times New Roman" w:hAnsi="Times New Roman"/>
          <w:color w:val="000000"/>
          <w:sz w:val="24"/>
          <w:szCs w:val="24"/>
          <w:lang w:eastAsia="pt-PT"/>
        </w:rPr>
        <w:t xml:space="preserve">separação por </w:t>
      </w:r>
      <w:r>
        <w:rPr>
          <w:rFonts w:ascii="Times New Roman" w:hAnsi="Times New Roman"/>
          <w:color w:val="000000"/>
          <w:sz w:val="24"/>
          <w:szCs w:val="24"/>
          <w:lang w:eastAsia="pt-PT"/>
        </w:rPr>
        <w:t xml:space="preserve">membranas, nanofiltração e osmose inversa: EPC, e ERC. Para a caracterização química e biológica, como primeira abordagem foi determinado </w:t>
      </w:r>
      <w:r w:rsidRPr="00764073">
        <w:rPr>
          <w:rFonts w:ascii="Times New Roman" w:hAnsi="Times New Roman"/>
          <w:color w:val="000000"/>
          <w:sz w:val="24"/>
          <w:szCs w:val="24"/>
          <w:lang w:eastAsia="pt-PT"/>
        </w:rPr>
        <w:t xml:space="preserve">o conteúdo em fenóis totais, </w:t>
      </w:r>
      <w:r>
        <w:rPr>
          <w:rFonts w:ascii="Times New Roman" w:hAnsi="Times New Roman"/>
          <w:color w:val="000000"/>
          <w:sz w:val="24"/>
          <w:szCs w:val="24"/>
          <w:lang w:eastAsia="pt-PT"/>
        </w:rPr>
        <w:t xml:space="preserve">posteriormente quantificado o Hidroxitirosol presente em cada um dos extractos, e de seguida estudada </w:t>
      </w:r>
      <w:r w:rsidRPr="00764073">
        <w:rPr>
          <w:rFonts w:ascii="Times New Roman" w:hAnsi="Times New Roman"/>
          <w:color w:val="000000"/>
          <w:sz w:val="24"/>
          <w:szCs w:val="24"/>
          <w:lang w:eastAsia="pt-PT"/>
        </w:rPr>
        <w:t>a actividade antioxidante</w:t>
      </w:r>
      <w:r>
        <w:rPr>
          <w:rFonts w:ascii="Times New Roman" w:hAnsi="Times New Roman"/>
          <w:color w:val="000000"/>
          <w:sz w:val="24"/>
          <w:szCs w:val="24"/>
          <w:lang w:eastAsia="pt-PT"/>
        </w:rPr>
        <w:t xml:space="preserve"> e antiproliferativa, recorrendo a um modelo</w:t>
      </w:r>
      <w:r w:rsidRPr="00764073">
        <w:rPr>
          <w:rFonts w:ascii="Times New Roman" w:hAnsi="Times New Roman"/>
          <w:color w:val="000000"/>
          <w:sz w:val="24"/>
          <w:szCs w:val="24"/>
          <w:lang w:eastAsia="pt-PT"/>
        </w:rPr>
        <w:t xml:space="preserve"> </w:t>
      </w:r>
      <w:r w:rsidRPr="006174CE">
        <w:rPr>
          <w:rFonts w:ascii="Times New Roman" w:hAnsi="Times New Roman"/>
          <w:color w:val="000000"/>
          <w:sz w:val="24"/>
          <w:szCs w:val="24"/>
          <w:lang w:eastAsia="pt-PT"/>
        </w:rPr>
        <w:t>in vitro</w:t>
      </w:r>
      <w:r>
        <w:rPr>
          <w:rFonts w:ascii="Times New Roman" w:hAnsi="Times New Roman"/>
          <w:color w:val="000000"/>
          <w:sz w:val="24"/>
          <w:szCs w:val="24"/>
          <w:lang w:eastAsia="pt-PT"/>
        </w:rPr>
        <w:t>, utilizando de células humanas MDA-MB-23. Por fim</w:t>
      </w:r>
      <w:r>
        <w:rPr>
          <w:rFonts w:ascii="Times New Roman" w:hAnsi="Times New Roman"/>
          <w:i/>
          <w:color w:val="000000"/>
          <w:sz w:val="24"/>
          <w:szCs w:val="24"/>
          <w:lang w:eastAsia="pt-PT"/>
        </w:rPr>
        <w:t>,</w:t>
      </w:r>
      <w:r w:rsidRPr="00764073">
        <w:rPr>
          <w:rFonts w:ascii="Times New Roman" w:hAnsi="Times New Roman"/>
          <w:color w:val="000000"/>
          <w:sz w:val="24"/>
          <w:szCs w:val="24"/>
          <w:lang w:eastAsia="pt-PT"/>
        </w:rPr>
        <w:t xml:space="preserve"> </w:t>
      </w:r>
      <w:r>
        <w:rPr>
          <w:rFonts w:ascii="Times New Roman" w:hAnsi="Times New Roman"/>
          <w:color w:val="000000"/>
          <w:sz w:val="24"/>
          <w:szCs w:val="24"/>
          <w:lang w:eastAsia="pt-PT"/>
        </w:rPr>
        <w:t>utilizando um modelo</w:t>
      </w:r>
      <w:r w:rsidRPr="00764073">
        <w:rPr>
          <w:rFonts w:ascii="Times New Roman" w:hAnsi="Times New Roman"/>
          <w:color w:val="000000"/>
          <w:sz w:val="24"/>
          <w:szCs w:val="24"/>
          <w:lang w:eastAsia="pt-PT"/>
        </w:rPr>
        <w:t xml:space="preserve"> </w:t>
      </w:r>
      <w:r w:rsidRPr="006174CE">
        <w:rPr>
          <w:rFonts w:ascii="Times New Roman" w:hAnsi="Times New Roman"/>
          <w:color w:val="000000"/>
          <w:sz w:val="24"/>
          <w:szCs w:val="24"/>
          <w:lang w:eastAsia="pt-PT"/>
        </w:rPr>
        <w:t>in vivo</w:t>
      </w:r>
      <w:r>
        <w:rPr>
          <w:rFonts w:ascii="Times New Roman" w:hAnsi="Times New Roman"/>
          <w:color w:val="000000"/>
          <w:sz w:val="24"/>
          <w:szCs w:val="24"/>
          <w:lang w:eastAsia="pt-PT"/>
        </w:rPr>
        <w:t xml:space="preserve"> </w:t>
      </w:r>
      <w:r>
        <w:rPr>
          <w:rFonts w:ascii="Times New Roman" w:hAnsi="Times New Roman"/>
          <w:sz w:val="24"/>
          <w:szCs w:val="24"/>
        </w:rPr>
        <w:t xml:space="preserve">de </w:t>
      </w:r>
      <w:r w:rsidRPr="003F357D">
        <w:rPr>
          <w:rFonts w:ascii="Times New Roman" w:hAnsi="Times New Roman"/>
          <w:i/>
          <w:sz w:val="24"/>
          <w:szCs w:val="24"/>
        </w:rPr>
        <w:t>Saccharomyces cerevisiae</w:t>
      </w:r>
      <w:r w:rsidRPr="00764073">
        <w:rPr>
          <w:rFonts w:ascii="Times New Roman" w:hAnsi="Times New Roman"/>
          <w:color w:val="000000"/>
          <w:sz w:val="24"/>
          <w:szCs w:val="24"/>
          <w:lang w:eastAsia="pt-PT"/>
        </w:rPr>
        <w:t xml:space="preserve"> </w:t>
      </w:r>
      <w:r>
        <w:rPr>
          <w:rFonts w:ascii="Times New Roman" w:hAnsi="Times New Roman"/>
          <w:color w:val="000000"/>
          <w:sz w:val="24"/>
          <w:szCs w:val="24"/>
          <w:lang w:eastAsia="pt-PT"/>
        </w:rPr>
        <w:t>t</w:t>
      </w:r>
      <w:r w:rsidRPr="00764073">
        <w:rPr>
          <w:rFonts w:ascii="Times New Roman" w:hAnsi="Times New Roman"/>
          <w:color w:val="000000"/>
          <w:sz w:val="24"/>
          <w:szCs w:val="24"/>
          <w:lang w:eastAsia="pt-PT"/>
        </w:rPr>
        <w:t>e</w:t>
      </w:r>
      <w:r>
        <w:rPr>
          <w:rFonts w:ascii="Times New Roman" w:hAnsi="Times New Roman"/>
          <w:color w:val="000000"/>
          <w:sz w:val="24"/>
          <w:szCs w:val="24"/>
          <w:lang w:eastAsia="pt-PT"/>
        </w:rPr>
        <w:t xml:space="preserve">ntou-se determinar o potencial dos referidos extractos, como protectores contra os radicais livres. </w:t>
      </w:r>
      <w:r w:rsidRPr="00764073">
        <w:rPr>
          <w:rFonts w:ascii="Times New Roman" w:hAnsi="Times New Roman"/>
          <w:color w:val="000000"/>
          <w:sz w:val="24"/>
          <w:szCs w:val="24"/>
          <w:lang w:eastAsia="pt-PT"/>
        </w:rPr>
        <w:t xml:space="preserve"> </w:t>
      </w:r>
    </w:p>
    <w:p w:rsidR="006737F5" w:rsidRPr="00742E88" w:rsidRDefault="006737F5" w:rsidP="006737F5">
      <w:pPr>
        <w:ind w:firstLine="360"/>
        <w:jc w:val="both"/>
        <w:rPr>
          <w:rFonts w:ascii="Times New Roman" w:hAnsi="Times New Roman"/>
          <w:sz w:val="24"/>
          <w:szCs w:val="24"/>
        </w:rPr>
      </w:pPr>
    </w:p>
    <w:p w:rsidR="006737F5" w:rsidRDefault="006737F5" w:rsidP="006737F5">
      <w:pPr>
        <w:pStyle w:val="PargrafodaLista"/>
        <w:numPr>
          <w:ilvl w:val="0"/>
          <w:numId w:val="29"/>
        </w:numPr>
        <w:jc w:val="both"/>
        <w:rPr>
          <w:rFonts w:ascii="Times New Roman" w:hAnsi="Times New Roman"/>
          <w:b/>
          <w:sz w:val="28"/>
          <w:szCs w:val="28"/>
        </w:rPr>
      </w:pPr>
      <w:r w:rsidRPr="000D344D">
        <w:rPr>
          <w:rFonts w:ascii="Times New Roman" w:hAnsi="Times New Roman"/>
          <w:b/>
          <w:sz w:val="28"/>
          <w:szCs w:val="28"/>
        </w:rPr>
        <w:t xml:space="preserve">Preparação </w:t>
      </w:r>
      <w:r>
        <w:rPr>
          <w:rFonts w:ascii="Times New Roman" w:hAnsi="Times New Roman"/>
          <w:b/>
          <w:sz w:val="28"/>
          <w:szCs w:val="28"/>
        </w:rPr>
        <w:t xml:space="preserve">e caracterização </w:t>
      </w:r>
      <w:r w:rsidRPr="000D344D">
        <w:rPr>
          <w:rFonts w:ascii="Times New Roman" w:hAnsi="Times New Roman"/>
          <w:b/>
          <w:sz w:val="28"/>
          <w:szCs w:val="28"/>
        </w:rPr>
        <w:t xml:space="preserve">dos extractos aquosos concentrados a partir do </w:t>
      </w:r>
      <w:r>
        <w:rPr>
          <w:rFonts w:ascii="Times New Roman" w:hAnsi="Times New Roman"/>
          <w:b/>
          <w:sz w:val="28"/>
          <w:szCs w:val="28"/>
        </w:rPr>
        <w:t>EB</w:t>
      </w:r>
      <w:r w:rsidRPr="000D344D">
        <w:rPr>
          <w:rFonts w:ascii="Times New Roman" w:hAnsi="Times New Roman"/>
          <w:b/>
          <w:sz w:val="28"/>
          <w:szCs w:val="28"/>
        </w:rPr>
        <w:t xml:space="preserve"> de BAE, </w:t>
      </w:r>
      <w:r>
        <w:rPr>
          <w:rFonts w:ascii="Times New Roman" w:hAnsi="Times New Roman"/>
          <w:b/>
          <w:sz w:val="28"/>
          <w:szCs w:val="28"/>
        </w:rPr>
        <w:t xml:space="preserve">utilizando um processo integrado de </w:t>
      </w:r>
      <w:r w:rsidRPr="000D344D">
        <w:rPr>
          <w:rFonts w:ascii="Times New Roman" w:hAnsi="Times New Roman"/>
          <w:b/>
          <w:sz w:val="28"/>
          <w:szCs w:val="28"/>
        </w:rPr>
        <w:t>membranas: Nanofiltração e Osmose Inversa</w:t>
      </w:r>
    </w:p>
    <w:p w:rsidR="006737F5" w:rsidRPr="000D344D" w:rsidRDefault="006737F5" w:rsidP="006737F5">
      <w:pPr>
        <w:pStyle w:val="PargrafodaLista"/>
        <w:ind w:left="644"/>
        <w:jc w:val="both"/>
        <w:rPr>
          <w:rFonts w:ascii="Times New Roman" w:hAnsi="Times New Roman"/>
          <w:b/>
          <w:sz w:val="28"/>
          <w:szCs w:val="28"/>
        </w:rPr>
      </w:pPr>
    </w:p>
    <w:p w:rsidR="006737F5" w:rsidRPr="00B11C85" w:rsidRDefault="006737F5" w:rsidP="006737F5">
      <w:pPr>
        <w:ind w:firstLine="644"/>
        <w:jc w:val="both"/>
        <w:rPr>
          <w:rFonts w:ascii="Times New Roman" w:hAnsi="Times New Roman"/>
          <w:color w:val="000000"/>
          <w:sz w:val="24"/>
          <w:szCs w:val="24"/>
          <w:lang w:eastAsia="pt-PT"/>
        </w:rPr>
      </w:pPr>
      <w:r>
        <w:rPr>
          <w:rFonts w:ascii="Times New Roman" w:hAnsi="Times New Roman"/>
          <w:color w:val="000000"/>
          <w:sz w:val="24"/>
          <w:szCs w:val="24"/>
          <w:lang w:eastAsia="pt-PT"/>
        </w:rPr>
        <w:t>A partir da matéria-prima BAE produziu-se um extracto aquoso à temperatura ambiente, denominado de EB. Uma vez obtido o EB, o mesmo foi utilizado como soluto de alimentação do sistema de membranas, e subsequentemente fraccionado e concentrado</w:t>
      </w:r>
      <w:r w:rsidR="00171471">
        <w:rPr>
          <w:rFonts w:ascii="Times New Roman" w:hAnsi="Times New Roman"/>
          <w:color w:val="000000"/>
          <w:sz w:val="24"/>
          <w:szCs w:val="24"/>
          <w:lang w:eastAsia="pt-PT"/>
        </w:rPr>
        <w:t xml:space="preserve"> por osmose inversa</w:t>
      </w:r>
      <w:r>
        <w:rPr>
          <w:rFonts w:ascii="Times New Roman" w:hAnsi="Times New Roman"/>
          <w:color w:val="000000"/>
          <w:sz w:val="24"/>
          <w:szCs w:val="24"/>
          <w:lang w:eastAsia="pt-PT"/>
        </w:rPr>
        <w:t xml:space="preserve">, dando origem ao EPC que corresponde ao soluto permeado pelo sistema de nanofiltração, e ao ERC que corresponde ao soluto retido </w:t>
      </w:r>
      <w:r>
        <w:rPr>
          <w:rFonts w:ascii="Times New Roman" w:hAnsi="Times New Roman"/>
          <w:color w:val="000000"/>
          <w:sz w:val="24"/>
          <w:szCs w:val="24"/>
          <w:lang w:eastAsia="pt-PT"/>
        </w:rPr>
        <w:lastRenderedPageBreak/>
        <w:t>pelo sistema. Tal como esperado apresentam conteúdos bastante diferentes, no que diz respeito ao total de compostos fenólicos.</w:t>
      </w:r>
      <w:r w:rsidRPr="00E95FD6">
        <w:rPr>
          <w:rFonts w:ascii="Times New Roman" w:hAnsi="Times New Roman"/>
          <w:color w:val="000000"/>
          <w:sz w:val="24"/>
          <w:szCs w:val="24"/>
          <w:lang w:eastAsia="pt-PT"/>
        </w:rPr>
        <w:t xml:space="preserve"> </w:t>
      </w:r>
      <w:r>
        <w:rPr>
          <w:rFonts w:ascii="Times New Roman" w:hAnsi="Times New Roman"/>
          <w:color w:val="000000"/>
          <w:sz w:val="24"/>
          <w:szCs w:val="24"/>
          <w:lang w:eastAsia="pt-PT"/>
        </w:rPr>
        <w:t xml:space="preserve">Isto resulta do facto das próprias condições impostas ao sistema de membranas (pressão, caudal e temperatura), e das membranas em si (NF270 para a nanofiltração, e </w:t>
      </w:r>
      <w:r w:rsidRPr="00A60187">
        <w:rPr>
          <w:rFonts w:ascii="Times New Roman" w:hAnsi="Times New Roman"/>
          <w:sz w:val="24"/>
        </w:rPr>
        <w:t>SW30HR-380</w:t>
      </w:r>
      <w:r>
        <w:rPr>
          <w:rFonts w:ascii="Times New Roman" w:hAnsi="Times New Roman"/>
          <w:sz w:val="24"/>
        </w:rPr>
        <w:t xml:space="preserve"> para a </w:t>
      </w:r>
      <w:r w:rsidR="00E223FB">
        <w:rPr>
          <w:rFonts w:ascii="Times New Roman" w:hAnsi="Times New Roman"/>
          <w:color w:val="000000"/>
          <w:sz w:val="24"/>
          <w:szCs w:val="24"/>
          <w:lang w:eastAsia="pt-PT"/>
        </w:rPr>
        <w:t xml:space="preserve">osmose inversa), </w:t>
      </w:r>
      <w:r>
        <w:rPr>
          <w:rFonts w:ascii="Times New Roman" w:hAnsi="Times New Roman"/>
          <w:color w:val="000000"/>
          <w:sz w:val="24"/>
          <w:szCs w:val="24"/>
          <w:lang w:eastAsia="pt-PT"/>
        </w:rPr>
        <w:t xml:space="preserve">seleccionarem os compostos de acordo com seu tamanho molecular de </w:t>
      </w:r>
      <w:r w:rsidRPr="00F41FA8">
        <w:rPr>
          <w:rFonts w:ascii="Times New Roman" w:hAnsi="Times New Roman"/>
          <w:i/>
          <w:color w:val="000000"/>
          <w:sz w:val="24"/>
          <w:szCs w:val="24"/>
          <w:lang w:eastAsia="pt-PT"/>
        </w:rPr>
        <w:t>cut-off</w:t>
      </w:r>
      <w:r w:rsidRPr="00F41FA8">
        <w:rPr>
          <w:rFonts w:ascii="Times New Roman" w:hAnsi="Times New Roman"/>
          <w:sz w:val="24"/>
          <w:lang w:eastAsia="pt-PT"/>
        </w:rPr>
        <w:t xml:space="preserve"> </w:t>
      </w:r>
      <w:r>
        <w:rPr>
          <w:rFonts w:ascii="Times New Roman" w:hAnsi="Times New Roman"/>
          <w:sz w:val="24"/>
          <w:lang w:eastAsia="pt-PT"/>
        </w:rPr>
        <w:t>(</w:t>
      </w:r>
      <w:r w:rsidRPr="00D231A3">
        <w:rPr>
          <w:rFonts w:ascii="Times New Roman" w:hAnsi="Times New Roman"/>
          <w:sz w:val="24"/>
          <w:lang w:eastAsia="pt-PT"/>
        </w:rPr>
        <w:t>MWCO</w:t>
      </w:r>
      <w:r>
        <w:rPr>
          <w:rFonts w:ascii="Times New Roman" w:hAnsi="Times New Roman"/>
          <w:sz w:val="24"/>
          <w:lang w:eastAsia="pt-PT"/>
        </w:rPr>
        <w:t>)</w:t>
      </w:r>
      <w:r>
        <w:rPr>
          <w:rFonts w:ascii="Times New Roman" w:hAnsi="Times New Roman"/>
          <w:color w:val="000000"/>
          <w:sz w:val="24"/>
          <w:szCs w:val="24"/>
          <w:lang w:eastAsia="pt-PT"/>
        </w:rPr>
        <w:t xml:space="preserve">, permeando os compostos </w:t>
      </w:r>
      <w:r>
        <w:rPr>
          <w:rFonts w:ascii="Times New Roman" w:hAnsi="Times New Roman"/>
          <w:sz w:val="24"/>
          <w:lang w:eastAsia="pt-PT"/>
        </w:rPr>
        <w:t xml:space="preserve">cujo tamanho molecular compreende o diâmetro dos poros da membrana, e ficando retidos os compostos que são rejeitados </w:t>
      </w:r>
      <w:r>
        <w:rPr>
          <w:rFonts w:ascii="Times New Roman" w:hAnsi="Times New Roman"/>
          <w:color w:val="000000"/>
          <w:sz w:val="24"/>
          <w:szCs w:val="24"/>
          <w:lang w:eastAsia="pt-PT"/>
        </w:rPr>
        <w:t>por esta</w:t>
      </w:r>
      <w:r>
        <w:rPr>
          <w:rFonts w:ascii="Times New Roman" w:hAnsi="Times New Roman"/>
          <w:sz w:val="24"/>
          <w:lang w:eastAsia="pt-PT"/>
        </w:rPr>
        <w:t>.</w:t>
      </w:r>
    </w:p>
    <w:p w:rsidR="006737F5" w:rsidRDefault="006737F5" w:rsidP="006737F5">
      <w:pPr>
        <w:ind w:firstLine="644"/>
        <w:jc w:val="both"/>
        <w:rPr>
          <w:rFonts w:ascii="Times New Roman" w:hAnsi="Times New Roman"/>
          <w:sz w:val="24"/>
          <w:lang w:eastAsia="pt-PT"/>
        </w:rPr>
      </w:pPr>
      <w:r>
        <w:rPr>
          <w:rFonts w:ascii="Times New Roman" w:hAnsi="Times New Roman"/>
          <w:sz w:val="24"/>
          <w:lang w:eastAsia="pt-PT"/>
        </w:rPr>
        <w:t>Quis-se com a aplicação deste processo a obtenção de um extracto concentrado enriquecido em compostos bioactivos, entre eles maioritariamente o Hidroxitirosol, recorrendo a membranas cujo tamanho molecular de permeação abrangesse o tamanho molecular deste composto fenólico (</w:t>
      </w:r>
      <w:r>
        <w:rPr>
          <w:rFonts w:ascii="Times New Roman" w:hAnsi="Times New Roman"/>
          <w:sz w:val="24"/>
          <w:szCs w:val="24"/>
        </w:rPr>
        <w:t>154,16Da)</w:t>
      </w:r>
      <w:r>
        <w:rPr>
          <w:rFonts w:ascii="Times New Roman" w:hAnsi="Times New Roman"/>
          <w:sz w:val="24"/>
          <w:lang w:eastAsia="pt-PT"/>
        </w:rPr>
        <w:t xml:space="preserve"> permitindo assim sua selecção e permeção no EPC. </w:t>
      </w:r>
    </w:p>
    <w:p w:rsidR="006737F5" w:rsidRDefault="006737F5" w:rsidP="006737F5">
      <w:pPr>
        <w:ind w:firstLine="644"/>
        <w:jc w:val="both"/>
        <w:rPr>
          <w:rFonts w:ascii="Times New Roman" w:hAnsi="Times New Roman"/>
          <w:sz w:val="24"/>
          <w:lang w:eastAsia="pt-PT"/>
        </w:rPr>
      </w:pPr>
      <w:r>
        <w:rPr>
          <w:rFonts w:ascii="Times New Roman" w:hAnsi="Times New Roman"/>
          <w:sz w:val="24"/>
          <w:lang w:eastAsia="pt-PT"/>
        </w:rPr>
        <w:t>Mas em que é que os três extractos de BAE divergem entre si?</w:t>
      </w:r>
    </w:p>
    <w:p w:rsidR="006737F5" w:rsidRDefault="006737F5" w:rsidP="006737F5">
      <w:pPr>
        <w:ind w:firstLine="644"/>
        <w:jc w:val="both"/>
        <w:rPr>
          <w:rFonts w:ascii="Times New Roman" w:hAnsi="Times New Roman"/>
          <w:sz w:val="24"/>
          <w:lang w:eastAsia="pt-PT"/>
        </w:rPr>
      </w:pPr>
      <w:r>
        <w:rPr>
          <w:rFonts w:ascii="Times New Roman" w:hAnsi="Times New Roman"/>
          <w:sz w:val="24"/>
          <w:lang w:eastAsia="pt-PT"/>
        </w:rPr>
        <w:t>Para responder a esta questão efectuou-se a caracterização química dos extractos de BAE, pela quantificação de fenóis totais e do composto Hidroxitirosol no seu conteúdo, apresentados seguidamente nos pontos 1.1. e 1.2..</w:t>
      </w:r>
    </w:p>
    <w:p w:rsidR="006737F5" w:rsidRDefault="006737F5" w:rsidP="006737F5">
      <w:pPr>
        <w:ind w:firstLine="644"/>
        <w:jc w:val="both"/>
        <w:rPr>
          <w:rFonts w:ascii="Times New Roman" w:hAnsi="Times New Roman"/>
          <w:sz w:val="24"/>
          <w:lang w:eastAsia="pt-PT"/>
        </w:rPr>
      </w:pPr>
    </w:p>
    <w:p w:rsidR="006737F5" w:rsidRPr="009F2D66" w:rsidRDefault="006737F5" w:rsidP="006737F5">
      <w:pPr>
        <w:pStyle w:val="PargrafodaLista"/>
        <w:numPr>
          <w:ilvl w:val="1"/>
          <w:numId w:val="32"/>
        </w:numPr>
        <w:jc w:val="both"/>
        <w:rPr>
          <w:rFonts w:ascii="Times New Roman" w:hAnsi="Times New Roman"/>
          <w:b/>
          <w:sz w:val="28"/>
          <w:szCs w:val="28"/>
        </w:rPr>
      </w:pPr>
      <w:r w:rsidRPr="009F2D66">
        <w:rPr>
          <w:rFonts w:ascii="Times New Roman" w:hAnsi="Times New Roman"/>
          <w:b/>
          <w:sz w:val="28"/>
          <w:szCs w:val="28"/>
        </w:rPr>
        <w:t>Quantificação dos fenóis totais presentes nos extractos derivados de BAE (EB, EPC e ERC) pelo método de Folin-Ciocalteau</w:t>
      </w:r>
    </w:p>
    <w:p w:rsidR="006737F5" w:rsidRDefault="006737F5" w:rsidP="006737F5">
      <w:pPr>
        <w:ind w:firstLine="644"/>
        <w:jc w:val="both"/>
        <w:rPr>
          <w:rFonts w:ascii="Times New Roman" w:hAnsi="Times New Roman"/>
          <w:sz w:val="24"/>
          <w:lang w:eastAsia="pt-PT"/>
        </w:rPr>
      </w:pPr>
    </w:p>
    <w:p w:rsidR="007F32BE" w:rsidRPr="001E0074" w:rsidRDefault="006737F5" w:rsidP="006737F5">
      <w:pPr>
        <w:ind w:firstLine="644"/>
        <w:jc w:val="both"/>
        <w:rPr>
          <w:rFonts w:ascii="Times New Roman" w:hAnsi="Times New Roman"/>
          <w:noProof/>
          <w:sz w:val="24"/>
          <w:lang w:eastAsia="pt-PT"/>
        </w:rPr>
      </w:pPr>
      <w:r w:rsidRPr="000A030C">
        <w:rPr>
          <w:rFonts w:ascii="Times New Roman" w:hAnsi="Times New Roman"/>
          <w:sz w:val="24"/>
          <w:szCs w:val="24"/>
        </w:rPr>
        <w:t>Após a obtenção dos</w:t>
      </w:r>
      <w:r>
        <w:rPr>
          <w:rFonts w:ascii="Times New Roman" w:hAnsi="Times New Roman"/>
          <w:sz w:val="24"/>
          <w:szCs w:val="24"/>
        </w:rPr>
        <w:t xml:space="preserve"> três extractos, EB, EPC, e ERC, fez-se a quantificação dos feóis totais presentes em cada um dos extractos pelo método de Folin Ciocalteau. </w:t>
      </w:r>
      <w:r w:rsidRPr="00C469B6">
        <w:rPr>
          <w:rFonts w:ascii="Times New Roman" w:hAnsi="Times New Roman"/>
          <w:sz w:val="24"/>
          <w:szCs w:val="24"/>
          <w:lang w:eastAsia="pt-PT"/>
        </w:rPr>
        <w:t xml:space="preserve">Este método </w:t>
      </w:r>
      <w:r>
        <w:rPr>
          <w:rFonts w:ascii="Times New Roman" w:hAnsi="Times New Roman"/>
          <w:sz w:val="24"/>
          <w:szCs w:val="24"/>
        </w:rPr>
        <w:t>espectrofotométrico</w:t>
      </w:r>
      <w:r w:rsidRPr="00C469B6">
        <w:rPr>
          <w:rFonts w:ascii="Times New Roman" w:hAnsi="Times New Roman"/>
          <w:sz w:val="24"/>
          <w:szCs w:val="24"/>
          <w:lang w:eastAsia="pt-PT"/>
        </w:rPr>
        <w:t xml:space="preserve"> fundamenta-se numa reacção de oxidação-redução entre os polifenóis</w:t>
      </w:r>
      <w:r>
        <w:rPr>
          <w:rFonts w:ascii="Times New Roman" w:hAnsi="Times New Roman"/>
          <w:sz w:val="24"/>
          <w:szCs w:val="24"/>
          <w:lang w:eastAsia="pt-PT"/>
        </w:rPr>
        <w:t xml:space="preserve"> da amostra em estudo</w:t>
      </w:r>
      <w:r w:rsidRPr="00C469B6">
        <w:rPr>
          <w:rFonts w:ascii="Times New Roman" w:hAnsi="Times New Roman"/>
          <w:sz w:val="24"/>
          <w:szCs w:val="24"/>
          <w:lang w:eastAsia="pt-PT"/>
        </w:rPr>
        <w:t xml:space="preserve"> e o reagente de</w:t>
      </w:r>
      <w:r>
        <w:rPr>
          <w:rFonts w:ascii="Times New Roman" w:hAnsi="Times New Roman"/>
          <w:sz w:val="24"/>
          <w:szCs w:val="24"/>
          <w:lang w:eastAsia="pt-PT"/>
        </w:rPr>
        <w:t xml:space="preserve"> </w:t>
      </w:r>
      <w:r w:rsidRPr="00C469B6">
        <w:rPr>
          <w:rFonts w:ascii="Times New Roman" w:hAnsi="Times New Roman"/>
          <w:sz w:val="24"/>
          <w:szCs w:val="24"/>
          <w:lang w:eastAsia="pt-PT"/>
        </w:rPr>
        <w:t>Folin</w:t>
      </w:r>
      <w:r>
        <w:rPr>
          <w:rFonts w:ascii="Times New Roman" w:hAnsi="Times New Roman"/>
          <w:sz w:val="24"/>
          <w:szCs w:val="24"/>
          <w:lang w:eastAsia="pt-PT"/>
        </w:rPr>
        <w:t>,</w:t>
      </w:r>
      <w:r w:rsidRPr="00C469B6">
        <w:rPr>
          <w:rFonts w:ascii="Times New Roman" w:hAnsi="Times New Roman"/>
          <w:sz w:val="24"/>
          <w:szCs w:val="24"/>
          <w:lang w:eastAsia="pt-PT"/>
        </w:rPr>
        <w:t xml:space="preserve"> da qual resulta um complexo de cor az</w:t>
      </w:r>
      <w:r>
        <w:rPr>
          <w:rFonts w:ascii="Times New Roman" w:hAnsi="Times New Roman"/>
          <w:sz w:val="24"/>
          <w:szCs w:val="24"/>
          <w:lang w:eastAsia="pt-PT"/>
        </w:rPr>
        <w:t>ul que absorve radiação aos 72</w:t>
      </w:r>
      <w:r w:rsidRPr="00C469B6">
        <w:rPr>
          <w:rFonts w:ascii="Times New Roman" w:hAnsi="Times New Roman"/>
          <w:sz w:val="24"/>
          <w:szCs w:val="24"/>
          <w:lang w:eastAsia="pt-PT"/>
        </w:rPr>
        <w:t>5nm</w:t>
      </w:r>
      <w:r>
        <w:rPr>
          <w:rFonts w:ascii="Times New Roman" w:hAnsi="Times New Roman"/>
          <w:sz w:val="24"/>
          <w:szCs w:val="24"/>
          <w:lang w:eastAsia="pt-PT"/>
        </w:rPr>
        <w:t>.</w:t>
      </w:r>
      <w:r w:rsidRPr="00C469B6">
        <w:rPr>
          <w:rFonts w:ascii="Times New Roman" w:hAnsi="Times New Roman"/>
          <w:sz w:val="24"/>
          <w:szCs w:val="21"/>
        </w:rPr>
        <w:t xml:space="preserve"> </w:t>
      </w:r>
      <w:r w:rsidR="00B74388">
        <w:rPr>
          <w:rFonts w:ascii="Times New Roman" w:hAnsi="Times New Roman"/>
          <w:sz w:val="24"/>
          <w:szCs w:val="21"/>
        </w:rPr>
        <w:t>Para determinar a concentração em fenóis totais construiu-se</w:t>
      </w:r>
      <w:r w:rsidRPr="00C469B6">
        <w:rPr>
          <w:rFonts w:ascii="Times New Roman" w:hAnsi="Times New Roman"/>
          <w:sz w:val="24"/>
          <w:szCs w:val="21"/>
        </w:rPr>
        <w:t xml:space="preserve"> uma curva de calibração</w:t>
      </w:r>
      <w:r>
        <w:rPr>
          <w:rFonts w:ascii="Times New Roman" w:hAnsi="Times New Roman"/>
          <w:sz w:val="24"/>
          <w:szCs w:val="21"/>
        </w:rPr>
        <w:t xml:space="preserve"> </w:t>
      </w:r>
      <w:r w:rsidR="00B74388">
        <w:rPr>
          <w:rFonts w:ascii="Times New Roman" w:hAnsi="Times New Roman"/>
          <w:sz w:val="24"/>
          <w:szCs w:val="21"/>
        </w:rPr>
        <w:t xml:space="preserve">com soluções padrão </w:t>
      </w:r>
      <w:r w:rsidR="002F62D1">
        <w:rPr>
          <w:rFonts w:ascii="Times New Roman" w:hAnsi="Times New Roman"/>
          <w:sz w:val="24"/>
          <w:szCs w:val="21"/>
        </w:rPr>
        <w:t>do</w:t>
      </w:r>
      <w:r w:rsidR="002F62D1" w:rsidRPr="00C469B6">
        <w:rPr>
          <w:rFonts w:ascii="Times New Roman" w:hAnsi="Times New Roman"/>
          <w:sz w:val="24"/>
          <w:szCs w:val="21"/>
        </w:rPr>
        <w:t xml:space="preserve"> composto</w:t>
      </w:r>
      <w:r w:rsidR="002F62D1">
        <w:rPr>
          <w:rFonts w:ascii="Times New Roman" w:hAnsi="Times New Roman"/>
          <w:sz w:val="24"/>
          <w:szCs w:val="21"/>
        </w:rPr>
        <w:t xml:space="preserve"> ácido gálico</w:t>
      </w:r>
      <w:r w:rsidRPr="00C469B6">
        <w:rPr>
          <w:rFonts w:ascii="Times New Roman" w:hAnsi="Times New Roman"/>
          <w:sz w:val="24"/>
          <w:szCs w:val="21"/>
        </w:rPr>
        <w:t>.</w:t>
      </w:r>
      <w:r>
        <w:rPr>
          <w:rFonts w:ascii="Times New Roman" w:hAnsi="Times New Roman"/>
          <w:sz w:val="24"/>
          <w:szCs w:val="21"/>
        </w:rPr>
        <w:t xml:space="preserve"> A </w:t>
      </w:r>
      <w:r w:rsidRPr="003B4F7A">
        <w:rPr>
          <w:rFonts w:ascii="Times New Roman" w:hAnsi="Times New Roman"/>
          <w:sz w:val="24"/>
        </w:rPr>
        <w:t xml:space="preserve">partir da equação da recta </w:t>
      </w:r>
      <w:r>
        <w:rPr>
          <w:rFonts w:ascii="Times New Roman" w:hAnsi="Times New Roman"/>
          <w:sz w:val="24"/>
        </w:rPr>
        <w:t>determinou-se</w:t>
      </w:r>
      <w:r w:rsidRPr="003B4F7A">
        <w:rPr>
          <w:rFonts w:ascii="Times New Roman" w:hAnsi="Times New Roman"/>
          <w:sz w:val="24"/>
        </w:rPr>
        <w:t xml:space="preserve"> a concentração em fenóis totais presente em cada um dos extractos, bem como o seu grau de pureza em fenóis.</w:t>
      </w:r>
      <w:r w:rsidRPr="0003047C">
        <w:rPr>
          <w:rFonts w:ascii="Times New Roman" w:hAnsi="Times New Roman"/>
          <w:noProof/>
          <w:sz w:val="24"/>
          <w:lang w:eastAsia="pt-PT"/>
        </w:rPr>
        <w:t xml:space="preserve"> </w:t>
      </w:r>
    </w:p>
    <w:p w:rsidR="006737F5" w:rsidRPr="00892653" w:rsidRDefault="006737F5" w:rsidP="006737F5">
      <w:pPr>
        <w:tabs>
          <w:tab w:val="left" w:pos="851"/>
        </w:tabs>
        <w:spacing w:after="0"/>
        <w:jc w:val="both"/>
        <w:rPr>
          <w:rFonts w:ascii="Times New Roman" w:hAnsi="Times New Roman"/>
          <w:sz w:val="24"/>
        </w:rPr>
      </w:pPr>
    </w:p>
    <w:p w:rsidR="005953B1" w:rsidRDefault="007B02FE" w:rsidP="005953B1">
      <w:pPr>
        <w:keepNext/>
        <w:jc w:val="center"/>
      </w:pPr>
      <w:r w:rsidRPr="007B02FE">
        <w:rPr>
          <w:rFonts w:ascii="Times New Roman" w:hAnsi="Times New Roman"/>
          <w:b/>
          <w:noProof/>
          <w:sz w:val="32"/>
          <w:szCs w:val="28"/>
          <w:lang w:eastAsia="pt-PT"/>
        </w:rPr>
        <w:lastRenderedPageBreak/>
        <w:pict>
          <v:shape id="_x0000_s1086" type="#_x0000_t202" style="position:absolute;left:0;text-align:left;margin-left:300.6pt;margin-top:123.75pt;width:29.25pt;height:27.05pt;z-index:251735040" filled="f" stroked="f">
            <v:textbox>
              <w:txbxContent>
                <w:p w:rsidR="00B766F9" w:rsidRPr="002511C2" w:rsidRDefault="00B766F9" w:rsidP="006737F5">
                  <w:pPr>
                    <w:rPr>
                      <w:rFonts w:ascii="Times New Roman" w:hAnsi="Times New Roman"/>
                    </w:rPr>
                  </w:pPr>
                  <w:r w:rsidRPr="002511C2">
                    <w:rPr>
                      <w:rFonts w:ascii="Times New Roman" w:hAnsi="Times New Roman"/>
                    </w:rPr>
                    <w:t>c</w:t>
                  </w:r>
                </w:p>
              </w:txbxContent>
            </v:textbox>
          </v:shape>
        </w:pict>
      </w:r>
      <w:r w:rsidRPr="007B02FE">
        <w:rPr>
          <w:rFonts w:ascii="Times New Roman" w:hAnsi="Times New Roman"/>
          <w:b/>
          <w:noProof/>
          <w:sz w:val="32"/>
          <w:szCs w:val="28"/>
          <w:lang w:eastAsia="pt-PT"/>
        </w:rPr>
        <w:pict>
          <v:shape id="_x0000_s1084" type="#_x0000_t202" style="position:absolute;left:0;text-align:left;margin-left:224.65pt;margin-top:18.6pt;width:33pt;height:27.05pt;z-index:251732992" filled="f" stroked="f">
            <v:textbox>
              <w:txbxContent>
                <w:p w:rsidR="00B766F9" w:rsidRPr="002511C2" w:rsidRDefault="00B766F9" w:rsidP="006737F5">
                  <w:pPr>
                    <w:rPr>
                      <w:rFonts w:ascii="Times New Roman" w:hAnsi="Times New Roman"/>
                    </w:rPr>
                  </w:pPr>
                  <w:r w:rsidRPr="002511C2">
                    <w:rPr>
                      <w:rFonts w:ascii="Times New Roman" w:hAnsi="Times New Roman"/>
                    </w:rPr>
                    <w:t>a</w:t>
                  </w:r>
                </w:p>
              </w:txbxContent>
            </v:textbox>
          </v:shape>
        </w:pict>
      </w:r>
      <w:r w:rsidRPr="007B02FE">
        <w:rPr>
          <w:rFonts w:ascii="Times New Roman" w:hAnsi="Times New Roman"/>
          <w:b/>
          <w:noProof/>
          <w:sz w:val="32"/>
          <w:szCs w:val="28"/>
          <w:lang w:eastAsia="pt-PT"/>
        </w:rPr>
        <w:pict>
          <v:shape id="_x0000_s1085" type="#_x0000_t202" style="position:absolute;left:0;text-align:left;margin-left:147.7pt;margin-top:45.65pt;width:33pt;height:20.3pt;z-index:251734016" filled="f" stroked="f">
            <v:textbox style="mso-next-textbox:#_x0000_s1085">
              <w:txbxContent>
                <w:p w:rsidR="00B766F9" w:rsidRPr="002511C2" w:rsidRDefault="00B766F9" w:rsidP="006737F5">
                  <w:pPr>
                    <w:rPr>
                      <w:rFonts w:ascii="Times New Roman" w:hAnsi="Times New Roman"/>
                    </w:rPr>
                  </w:pPr>
                  <w:r w:rsidRPr="002511C2">
                    <w:rPr>
                      <w:rFonts w:ascii="Times New Roman" w:hAnsi="Times New Roman"/>
                    </w:rPr>
                    <w:t>b</w:t>
                  </w:r>
                </w:p>
              </w:txbxContent>
            </v:textbox>
          </v:shape>
        </w:pict>
      </w:r>
      <w:r w:rsidRPr="007B02FE">
        <w:rPr>
          <w:rFonts w:ascii="Times New Roman" w:hAnsi="Times New Roman"/>
          <w:b/>
          <w:noProof/>
          <w:sz w:val="32"/>
          <w:szCs w:val="28"/>
          <w:lang w:eastAsia="pt-PT"/>
        </w:rPr>
        <w:pict>
          <v:oval id="_x0000_s1062" style="position:absolute;left:0;text-align:left;margin-left:286.15pt;margin-top:144.3pt;width:46.5pt;height:56.45pt;z-index:251710464" filled="f" strokecolor="red" strokeweight="1pt">
            <v:stroke dashstyle="dash"/>
          </v:oval>
        </w:pict>
      </w:r>
      <w:r w:rsidR="005953B1">
        <w:rPr>
          <w:rFonts w:ascii="Times New Roman" w:hAnsi="Times New Roman"/>
        </w:rPr>
        <w:tab/>
      </w:r>
      <w:r w:rsidR="005953B1" w:rsidRPr="000A030C">
        <w:rPr>
          <w:rFonts w:ascii="Times New Roman" w:hAnsi="Times New Roman"/>
          <w:b/>
          <w:noProof/>
          <w:sz w:val="32"/>
          <w:szCs w:val="28"/>
          <w:lang w:eastAsia="pt-PT"/>
        </w:rPr>
        <w:drawing>
          <wp:inline distT="0" distB="0" distL="0" distR="0">
            <wp:extent cx="4181475" cy="2695575"/>
            <wp:effectExtent l="0" t="0" r="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53B1" w:rsidRDefault="005953B1" w:rsidP="005953B1">
      <w:pPr>
        <w:pStyle w:val="Legenda"/>
        <w:jc w:val="both"/>
        <w:rPr>
          <w:rFonts w:ascii="Times New Roman" w:hAnsi="Times New Roman"/>
          <w:b w:val="0"/>
          <w:color w:val="auto"/>
          <w:sz w:val="20"/>
        </w:rPr>
      </w:pPr>
      <w:r w:rsidRPr="00892653">
        <w:rPr>
          <w:rFonts w:ascii="Times New Roman" w:hAnsi="Times New Roman"/>
          <w:sz w:val="20"/>
        </w:rPr>
        <w:t xml:space="preserve">Figura </w:t>
      </w:r>
      <w:r>
        <w:rPr>
          <w:rFonts w:ascii="Times New Roman" w:hAnsi="Times New Roman"/>
          <w:sz w:val="20"/>
        </w:rPr>
        <w:t>16</w:t>
      </w:r>
      <w:r w:rsidRPr="00892653">
        <w:rPr>
          <w:rFonts w:ascii="Times New Roman" w:hAnsi="Times New Roman"/>
          <w:sz w:val="20"/>
        </w:rPr>
        <w:t xml:space="preserve"> –</w:t>
      </w:r>
      <w:r>
        <w:rPr>
          <w:rFonts w:ascii="Times New Roman" w:hAnsi="Times New Roman"/>
          <w:b w:val="0"/>
          <w:color w:val="auto"/>
          <w:sz w:val="20"/>
        </w:rPr>
        <w:t xml:space="preserve"> C</w:t>
      </w:r>
      <w:r w:rsidRPr="00892653">
        <w:rPr>
          <w:rFonts w:ascii="Times New Roman" w:hAnsi="Times New Roman"/>
          <w:b w:val="0"/>
          <w:color w:val="auto"/>
          <w:sz w:val="20"/>
        </w:rPr>
        <w:t xml:space="preserve">oncentração de fenóis totais presente em cada um dos extractos </w:t>
      </w:r>
      <w:r>
        <w:rPr>
          <w:rFonts w:ascii="Times New Roman" w:hAnsi="Times New Roman"/>
          <w:b w:val="0"/>
          <w:color w:val="auto"/>
          <w:sz w:val="20"/>
        </w:rPr>
        <w:t xml:space="preserve">de aquosos concentrados de </w:t>
      </w:r>
      <w:r w:rsidRPr="00892653">
        <w:rPr>
          <w:rFonts w:ascii="Times New Roman" w:hAnsi="Times New Roman"/>
          <w:b w:val="0"/>
          <w:color w:val="auto"/>
          <w:sz w:val="20"/>
        </w:rPr>
        <w:t>BAE: EPC, ERC</w:t>
      </w:r>
      <w:r>
        <w:rPr>
          <w:rFonts w:ascii="Times New Roman" w:hAnsi="Times New Roman"/>
          <w:b w:val="0"/>
          <w:color w:val="auto"/>
          <w:sz w:val="20"/>
        </w:rPr>
        <w:t xml:space="preserve"> e </w:t>
      </w:r>
      <w:r w:rsidRPr="00892653">
        <w:rPr>
          <w:rFonts w:ascii="Times New Roman" w:hAnsi="Times New Roman"/>
          <w:b w:val="0"/>
          <w:color w:val="auto"/>
          <w:sz w:val="20"/>
        </w:rPr>
        <w:t>EB. Destaque para o ERC que demo</w:t>
      </w:r>
      <w:r>
        <w:rPr>
          <w:rFonts w:ascii="Times New Roman" w:hAnsi="Times New Roman"/>
          <w:b w:val="0"/>
          <w:color w:val="auto"/>
          <w:sz w:val="20"/>
        </w:rPr>
        <w:t>n</w:t>
      </w:r>
      <w:r w:rsidRPr="00892653">
        <w:rPr>
          <w:rFonts w:ascii="Times New Roman" w:hAnsi="Times New Roman"/>
          <w:b w:val="0"/>
          <w:color w:val="auto"/>
          <w:sz w:val="20"/>
        </w:rPr>
        <w:t>strou a maior con</w:t>
      </w:r>
      <w:r>
        <w:rPr>
          <w:rFonts w:ascii="Times New Roman" w:hAnsi="Times New Roman"/>
          <w:b w:val="0"/>
          <w:color w:val="auto"/>
          <w:sz w:val="20"/>
        </w:rPr>
        <w:t>centração em fenóis totais de entre os três extractos, e par</w:t>
      </w:r>
      <w:r w:rsidRPr="00892653">
        <w:rPr>
          <w:rFonts w:ascii="Times New Roman" w:hAnsi="Times New Roman"/>
          <w:b w:val="0"/>
          <w:color w:val="auto"/>
          <w:sz w:val="20"/>
        </w:rPr>
        <w:t xml:space="preserve">a o EPC que apresentou a menor concentração. </w:t>
      </w:r>
      <w:r w:rsidRPr="000B09CD">
        <w:rPr>
          <w:rFonts w:ascii="Times New Roman" w:hAnsi="Times New Roman"/>
          <w:b w:val="0"/>
          <w:color w:val="auto"/>
          <w:sz w:val="20"/>
        </w:rPr>
        <w:t>Os valores vêm afectados dos erros padrões médios, obtidos pelos triplicados efectuados</w:t>
      </w:r>
      <w:r>
        <w:rPr>
          <w:rFonts w:ascii="Times New Roman" w:hAnsi="Times New Roman"/>
          <w:b w:val="0"/>
          <w:color w:val="auto"/>
          <w:sz w:val="20"/>
        </w:rPr>
        <w:t xml:space="preserve"> de cada extracto independentemente</w:t>
      </w:r>
      <w:r w:rsidRPr="000B09CD">
        <w:rPr>
          <w:rFonts w:ascii="Times New Roman" w:hAnsi="Times New Roman"/>
          <w:b w:val="0"/>
          <w:color w:val="auto"/>
          <w:sz w:val="20"/>
        </w:rPr>
        <w:t xml:space="preserve">. Grupos sem letras em comum são significativamente diferentes, </w:t>
      </w:r>
      <w:r w:rsidRPr="00C143CF">
        <w:rPr>
          <w:rFonts w:ascii="Times New Roman" w:hAnsi="Times New Roman"/>
          <w:b w:val="0"/>
          <w:i/>
          <w:color w:val="auto"/>
          <w:sz w:val="20"/>
        </w:rPr>
        <w:t>P</w:t>
      </w:r>
      <w:r w:rsidRPr="000B09CD">
        <w:rPr>
          <w:rFonts w:ascii="Times New Roman" w:hAnsi="Times New Roman"/>
          <w:b w:val="0"/>
          <w:color w:val="auto"/>
          <w:sz w:val="20"/>
        </w:rPr>
        <w:t xml:space="preserve"> &lt; 0,05</w:t>
      </w:r>
      <w:r>
        <w:rPr>
          <w:rFonts w:ascii="Times New Roman" w:hAnsi="Times New Roman"/>
          <w:b w:val="0"/>
          <w:color w:val="auto"/>
          <w:sz w:val="20"/>
        </w:rPr>
        <w:t>.</w:t>
      </w:r>
    </w:p>
    <w:p w:rsidR="006737F5" w:rsidRPr="00334A9D" w:rsidRDefault="006737F5" w:rsidP="005953B1">
      <w:pPr>
        <w:keepNext/>
        <w:jc w:val="center"/>
      </w:pPr>
    </w:p>
    <w:p w:rsidR="006737F5" w:rsidRDefault="006737F5" w:rsidP="006737F5">
      <w:pPr>
        <w:spacing w:after="0"/>
        <w:jc w:val="both"/>
        <w:rPr>
          <w:rFonts w:ascii="Times New Roman" w:hAnsi="Times New Roman"/>
          <w:sz w:val="24"/>
          <w:szCs w:val="24"/>
        </w:rPr>
      </w:pPr>
      <w:r>
        <w:rPr>
          <w:rFonts w:ascii="Times New Roman" w:hAnsi="Times New Roman"/>
          <w:sz w:val="32"/>
          <w:szCs w:val="28"/>
        </w:rPr>
        <w:tab/>
      </w:r>
      <w:r w:rsidRPr="001466E1">
        <w:rPr>
          <w:rFonts w:ascii="Times New Roman" w:hAnsi="Times New Roman"/>
          <w:sz w:val="24"/>
          <w:szCs w:val="24"/>
        </w:rPr>
        <w:t xml:space="preserve">De acordo com os resultados obtidos </w:t>
      </w:r>
      <w:r>
        <w:rPr>
          <w:rFonts w:ascii="Times New Roman" w:hAnsi="Times New Roman"/>
          <w:sz w:val="24"/>
          <w:szCs w:val="24"/>
        </w:rPr>
        <w:t>o ERC apresentou a maior concentração em fenóis totais (0,940mg/mL), seguido pelo EB (0,733mg/mL), e por fim pelo EPC com a menor c</w:t>
      </w:r>
      <w:r w:rsidR="00E223FB">
        <w:rPr>
          <w:rFonts w:ascii="Times New Roman" w:hAnsi="Times New Roman"/>
          <w:sz w:val="24"/>
          <w:szCs w:val="24"/>
        </w:rPr>
        <w:t>oncentração (0,132mg/mL) (F</w:t>
      </w:r>
      <w:r>
        <w:rPr>
          <w:rFonts w:ascii="Times New Roman" w:hAnsi="Times New Roman"/>
          <w:sz w:val="24"/>
          <w:szCs w:val="24"/>
        </w:rPr>
        <w:t xml:space="preserve">igura 16). </w:t>
      </w:r>
      <w:r w:rsidRPr="000730D6">
        <w:rPr>
          <w:rFonts w:ascii="Times New Roman" w:hAnsi="Times New Roman"/>
          <w:sz w:val="24"/>
          <w:szCs w:val="24"/>
        </w:rPr>
        <w:t>A análise estatística mostra variações estatisticamente significativas (</w:t>
      </w:r>
      <w:r w:rsidRPr="000730D6">
        <w:rPr>
          <w:rFonts w:ascii="Times New Roman" w:hAnsi="Times New Roman"/>
          <w:i/>
          <w:sz w:val="24"/>
          <w:szCs w:val="24"/>
        </w:rPr>
        <w:t>P</w:t>
      </w:r>
      <w:r w:rsidRPr="000730D6">
        <w:rPr>
          <w:rFonts w:ascii="Times New Roman" w:hAnsi="Times New Roman"/>
          <w:sz w:val="24"/>
          <w:szCs w:val="24"/>
        </w:rPr>
        <w:t xml:space="preserve"> &lt; 0,05) para os três extractos em estudo, utilizando a comparação múltipla de médias, pelo teste de Tukey</w:t>
      </w:r>
      <w:r w:rsidR="00E223FB">
        <w:rPr>
          <w:rFonts w:ascii="Times New Roman" w:hAnsi="Times New Roman"/>
          <w:sz w:val="24"/>
          <w:szCs w:val="24"/>
        </w:rPr>
        <w:t xml:space="preserve"> (Figura 16)</w:t>
      </w:r>
      <w:r w:rsidRPr="000730D6">
        <w:rPr>
          <w:rFonts w:ascii="Times New Roman" w:hAnsi="Times New Roman"/>
          <w:sz w:val="24"/>
          <w:szCs w:val="24"/>
        </w:rPr>
        <w:t>.</w:t>
      </w:r>
      <w:r>
        <w:rPr>
          <w:sz w:val="23"/>
          <w:szCs w:val="23"/>
        </w:rPr>
        <w:t xml:space="preserve"> </w:t>
      </w:r>
      <w:r>
        <w:rPr>
          <w:rFonts w:ascii="Times New Roman" w:hAnsi="Times New Roman"/>
          <w:sz w:val="24"/>
          <w:szCs w:val="24"/>
        </w:rPr>
        <w:t>Seguidamente foi determinado o grau de pureza em fenóis totais de cada extracto, pela equação:</w:t>
      </w:r>
    </w:p>
    <w:p w:rsidR="006737F5" w:rsidRDefault="006737F5" w:rsidP="006737F5">
      <w:pPr>
        <w:spacing w:after="0"/>
        <w:jc w:val="both"/>
        <w:rPr>
          <w:rFonts w:ascii="Times New Roman" w:hAnsi="Times New Roman"/>
          <w:sz w:val="24"/>
          <w:szCs w:val="24"/>
        </w:rPr>
      </w:pPr>
    </w:p>
    <w:p w:rsidR="006737F5" w:rsidRDefault="006737F5" w:rsidP="006737F5">
      <w:pPr>
        <w:spacing w:after="0"/>
        <w:jc w:val="both"/>
        <w:rPr>
          <w:rFonts w:ascii="Times New Roman" w:eastAsiaTheme="minorEastAsia" w:hAnsi="Times New Roman"/>
          <w:sz w:val="18"/>
        </w:rPr>
      </w:pPr>
      <m:oMathPara>
        <m:oMath>
          <m:r>
            <m:rPr>
              <m:sty m:val="p"/>
            </m:rPr>
            <w:rPr>
              <w:rFonts w:ascii="Cambria Math" w:hAnsi="Cambria Math"/>
              <w:sz w:val="18"/>
            </w:rPr>
            <m:t>Grau de Pureza em Fnóis Totais=</m:t>
          </m:r>
          <m:f>
            <m:fPr>
              <m:ctrlPr>
                <w:rPr>
                  <w:rFonts w:ascii="Cambria Math" w:hAnsi="Cambria Math"/>
                  <w:sz w:val="18"/>
                </w:rPr>
              </m:ctrlPr>
            </m:fPr>
            <m:num>
              <m:r>
                <m:rPr>
                  <m:sty m:val="p"/>
                </m:rPr>
                <w:rPr>
                  <w:rFonts w:ascii="Cambria Math" w:hAnsi="Cambria Math"/>
                  <w:sz w:val="18"/>
                </w:rPr>
                <m:t>Concentração de Fenóis Totais(</m:t>
              </m:r>
              <m:f>
                <m:fPr>
                  <m:type m:val="lin"/>
                  <m:ctrlPr>
                    <w:rPr>
                      <w:rFonts w:ascii="Cambria Math" w:hAnsi="Cambria Math"/>
                      <w:sz w:val="18"/>
                    </w:rPr>
                  </m:ctrlPr>
                </m:fPr>
                <m:num>
                  <m:r>
                    <m:rPr>
                      <m:sty m:val="p"/>
                    </m:rPr>
                    <w:rPr>
                      <w:rFonts w:ascii="Cambria Math" w:hAnsi="Cambria Math"/>
                      <w:sz w:val="18"/>
                    </w:rPr>
                    <m:t>mg</m:t>
                  </m:r>
                </m:num>
                <m:den>
                  <m:r>
                    <m:rPr>
                      <m:sty m:val="p"/>
                    </m:rPr>
                    <w:rPr>
                      <w:rFonts w:ascii="Cambria Math" w:hAnsi="Cambria Math"/>
                      <w:sz w:val="18"/>
                    </w:rPr>
                    <m:t>mL) na amostra</m:t>
                  </m:r>
                </m:den>
              </m:f>
            </m:num>
            <m:den>
              <m:r>
                <m:rPr>
                  <m:sty m:val="p"/>
                </m:rPr>
                <w:rPr>
                  <w:rFonts w:ascii="Cambria Math" w:hAnsi="Cambria Math"/>
                  <w:sz w:val="18"/>
                </w:rPr>
                <m:t>Concentração de extracto inicial(</m:t>
              </m:r>
              <m:f>
                <m:fPr>
                  <m:type m:val="lin"/>
                  <m:ctrlPr>
                    <w:rPr>
                      <w:rFonts w:ascii="Cambria Math" w:hAnsi="Cambria Math"/>
                      <w:sz w:val="18"/>
                    </w:rPr>
                  </m:ctrlPr>
                </m:fPr>
                <m:num>
                  <m:r>
                    <m:rPr>
                      <m:sty m:val="p"/>
                    </m:rPr>
                    <w:rPr>
                      <w:rFonts w:ascii="Cambria Math" w:hAnsi="Cambria Math"/>
                      <w:sz w:val="18"/>
                    </w:rPr>
                    <m:t>mg</m:t>
                  </m:r>
                </m:num>
                <m:den>
                  <m:r>
                    <m:rPr>
                      <m:sty m:val="p"/>
                    </m:rPr>
                    <w:rPr>
                      <w:rFonts w:ascii="Cambria Math" w:hAnsi="Cambria Math"/>
                      <w:sz w:val="18"/>
                    </w:rPr>
                    <m:t>mL</m:t>
                  </m:r>
                </m:den>
              </m:f>
              <m:r>
                <m:rPr>
                  <m:sty m:val="p"/>
                </m:rPr>
                <w:rPr>
                  <w:rFonts w:ascii="Cambria Math" w:hAnsi="Cambria Math"/>
                  <w:sz w:val="18"/>
                </w:rPr>
                <m:t>)</m:t>
              </m:r>
            </m:den>
          </m:f>
          <m:r>
            <m:rPr>
              <m:sty m:val="p"/>
            </m:rPr>
            <w:rPr>
              <w:rFonts w:ascii="Cambria Math" w:hAnsi="Cambria Math"/>
              <w:sz w:val="18"/>
            </w:rPr>
            <m:t xml:space="preserve"> ×100</m:t>
          </m:r>
        </m:oMath>
      </m:oMathPara>
    </w:p>
    <w:p w:rsidR="006737F5" w:rsidRDefault="006737F5" w:rsidP="006737F5">
      <w:pPr>
        <w:spacing w:after="0"/>
        <w:jc w:val="both"/>
        <w:rPr>
          <w:rFonts w:ascii="Times New Roman" w:hAnsi="Times New Roman"/>
          <w:sz w:val="24"/>
          <w:szCs w:val="24"/>
        </w:rPr>
      </w:pPr>
    </w:p>
    <w:p w:rsidR="006737F5" w:rsidRDefault="006737F5" w:rsidP="006737F5">
      <w:pPr>
        <w:spacing w:after="0"/>
        <w:jc w:val="both"/>
        <w:rPr>
          <w:rFonts w:ascii="Times New Roman" w:hAnsi="Times New Roman"/>
          <w:sz w:val="24"/>
          <w:szCs w:val="24"/>
        </w:rPr>
      </w:pPr>
    </w:p>
    <w:p w:rsidR="006737F5" w:rsidRDefault="006737F5" w:rsidP="006737F5">
      <w:pPr>
        <w:pStyle w:val="Legenda"/>
        <w:keepNext/>
        <w:jc w:val="both"/>
        <w:rPr>
          <w:rFonts w:ascii="Times New Roman" w:hAnsi="Times New Roman"/>
          <w:sz w:val="20"/>
        </w:rPr>
      </w:pPr>
      <w:r w:rsidRPr="00EF55C3">
        <w:rPr>
          <w:rFonts w:ascii="Times New Roman" w:hAnsi="Times New Roman"/>
          <w:sz w:val="20"/>
        </w:rPr>
        <w:t xml:space="preserve">Tabela </w:t>
      </w:r>
      <w:r>
        <w:rPr>
          <w:rFonts w:ascii="Times New Roman" w:hAnsi="Times New Roman"/>
          <w:sz w:val="20"/>
        </w:rPr>
        <w:t>II</w:t>
      </w:r>
      <w:r w:rsidRPr="00EF55C3">
        <w:rPr>
          <w:rFonts w:ascii="Times New Roman" w:hAnsi="Times New Roman"/>
          <w:sz w:val="20"/>
        </w:rPr>
        <w:t xml:space="preserve"> – </w:t>
      </w:r>
      <w:r w:rsidRPr="00EF55C3">
        <w:rPr>
          <w:rFonts w:ascii="Times New Roman" w:hAnsi="Times New Roman"/>
          <w:b w:val="0"/>
          <w:color w:val="auto"/>
          <w:sz w:val="20"/>
        </w:rPr>
        <w:t xml:space="preserve">Grau de pureza em fenóis totais de cada </w:t>
      </w:r>
      <w:r>
        <w:rPr>
          <w:rFonts w:ascii="Times New Roman" w:hAnsi="Times New Roman"/>
          <w:b w:val="0"/>
          <w:color w:val="auto"/>
          <w:sz w:val="20"/>
        </w:rPr>
        <w:t xml:space="preserve">um dos </w:t>
      </w:r>
      <w:r w:rsidRPr="00EF55C3">
        <w:rPr>
          <w:rFonts w:ascii="Times New Roman" w:hAnsi="Times New Roman"/>
          <w:b w:val="0"/>
          <w:color w:val="auto"/>
          <w:sz w:val="20"/>
        </w:rPr>
        <w:t>extracto</w:t>
      </w:r>
      <w:r>
        <w:rPr>
          <w:rFonts w:ascii="Times New Roman" w:hAnsi="Times New Roman"/>
          <w:b w:val="0"/>
          <w:color w:val="auto"/>
          <w:sz w:val="20"/>
        </w:rPr>
        <w:t>s aquosos concentrados de BAE:</w:t>
      </w:r>
      <w:r w:rsidRPr="00EF55C3">
        <w:rPr>
          <w:rFonts w:ascii="Times New Roman" w:hAnsi="Times New Roman"/>
          <w:b w:val="0"/>
          <w:color w:val="auto"/>
          <w:sz w:val="20"/>
        </w:rPr>
        <w:t xml:space="preserve"> EB, ERC e EPC, expresso em percentagem. Destaque </w:t>
      </w:r>
      <w:r>
        <w:rPr>
          <w:rFonts w:ascii="Times New Roman" w:hAnsi="Times New Roman"/>
          <w:b w:val="0"/>
          <w:color w:val="auto"/>
          <w:sz w:val="20"/>
        </w:rPr>
        <w:t>para o EPC que apresenta a ma</w:t>
      </w:r>
      <w:r w:rsidRPr="00EF55C3">
        <w:rPr>
          <w:rFonts w:ascii="Times New Roman" w:hAnsi="Times New Roman"/>
          <w:b w:val="0"/>
          <w:color w:val="auto"/>
          <w:sz w:val="20"/>
        </w:rPr>
        <w:t>ior percentagem de grau de pureza em compostos fenólicos</w:t>
      </w:r>
      <w:r>
        <w:rPr>
          <w:rFonts w:ascii="Times New Roman" w:hAnsi="Times New Roman"/>
          <w:b w:val="0"/>
          <w:color w:val="auto"/>
          <w:sz w:val="20"/>
        </w:rPr>
        <w:t xml:space="preserve"> de entre os três extractos em estudo</w:t>
      </w:r>
      <w:r w:rsidRPr="00EF55C3">
        <w:rPr>
          <w:rFonts w:ascii="Times New Roman" w:hAnsi="Times New Roman"/>
          <w:b w:val="0"/>
          <w:color w:val="auto"/>
          <w:sz w:val="20"/>
        </w:rPr>
        <w:t>.</w:t>
      </w:r>
      <w:r w:rsidRPr="00EF55C3">
        <w:rPr>
          <w:rFonts w:ascii="Times New Roman" w:hAnsi="Times New Roman"/>
          <w:sz w:val="20"/>
        </w:rPr>
        <w:t xml:space="preserve">   </w:t>
      </w:r>
    </w:p>
    <w:p w:rsidR="006737F5" w:rsidRPr="00807184" w:rsidRDefault="006737F5" w:rsidP="006737F5">
      <w:pPr>
        <w:spacing w:after="0" w:line="240" w:lineRule="auto"/>
      </w:pPr>
    </w:p>
    <w:tbl>
      <w:tblPr>
        <w:tblW w:w="3355" w:type="dxa"/>
        <w:jc w:val="center"/>
        <w:tblInd w:w="280" w:type="dxa"/>
        <w:tblCellMar>
          <w:left w:w="0" w:type="dxa"/>
          <w:right w:w="0" w:type="dxa"/>
        </w:tblCellMar>
        <w:tblLook w:val="04A0"/>
      </w:tblPr>
      <w:tblGrid>
        <w:gridCol w:w="1100"/>
        <w:gridCol w:w="2255"/>
      </w:tblGrid>
      <w:tr w:rsidR="006737F5" w:rsidRPr="00B94444" w:rsidTr="006737F5">
        <w:trPr>
          <w:trHeight w:val="572"/>
          <w:jc w:val="center"/>
        </w:trPr>
        <w:tc>
          <w:tcPr>
            <w:tcW w:w="1100" w:type="dxa"/>
            <w:tcBorders>
              <w:top w:val="single" w:sz="8" w:space="0" w:color="FFFFFF"/>
              <w:left w:val="single" w:sz="8" w:space="0" w:color="FFFFFF"/>
              <w:bottom w:val="single" w:sz="24" w:space="0" w:color="FFFFFF"/>
              <w:right w:val="single" w:sz="8" w:space="0" w:color="FFFFFF"/>
            </w:tcBorders>
            <w:shd w:val="clear" w:color="auto" w:fill="215968"/>
            <w:tcMar>
              <w:top w:w="72" w:type="dxa"/>
              <w:left w:w="144" w:type="dxa"/>
              <w:bottom w:w="72" w:type="dxa"/>
              <w:right w:w="144" w:type="dxa"/>
            </w:tcMar>
            <w:vAlign w:val="center"/>
            <w:hideMark/>
          </w:tcPr>
          <w:p w:rsidR="006737F5" w:rsidRPr="00EF55C3" w:rsidRDefault="006737F5" w:rsidP="006737F5">
            <w:pPr>
              <w:spacing w:after="0" w:line="240" w:lineRule="auto"/>
              <w:jc w:val="center"/>
              <w:rPr>
                <w:shadow/>
                <w:color w:val="FFFFFF" w:themeColor="background1"/>
                <w:szCs w:val="24"/>
              </w:rPr>
            </w:pPr>
            <w:r w:rsidRPr="00EF55C3">
              <w:rPr>
                <w:b/>
                <w:bCs/>
                <w:shadow/>
                <w:color w:val="FFFFFF" w:themeColor="background1"/>
                <w:szCs w:val="24"/>
              </w:rPr>
              <w:t>Extracto</w:t>
            </w:r>
          </w:p>
        </w:tc>
        <w:tc>
          <w:tcPr>
            <w:tcW w:w="2255" w:type="dxa"/>
            <w:tcBorders>
              <w:top w:val="single" w:sz="8" w:space="0" w:color="FFFFFF"/>
              <w:left w:val="single" w:sz="8" w:space="0" w:color="FFFFFF"/>
              <w:bottom w:val="single" w:sz="24" w:space="0" w:color="FFFFFF"/>
              <w:right w:val="single" w:sz="8" w:space="0" w:color="FFFFFF"/>
            </w:tcBorders>
            <w:shd w:val="clear" w:color="auto" w:fill="215968"/>
            <w:tcMar>
              <w:top w:w="72" w:type="dxa"/>
              <w:left w:w="144" w:type="dxa"/>
              <w:bottom w:w="72" w:type="dxa"/>
              <w:right w:w="144" w:type="dxa"/>
            </w:tcMar>
            <w:vAlign w:val="center"/>
            <w:hideMark/>
          </w:tcPr>
          <w:p w:rsidR="006737F5" w:rsidRPr="00EF55C3" w:rsidRDefault="006737F5" w:rsidP="006737F5">
            <w:pPr>
              <w:spacing w:after="0" w:line="240" w:lineRule="auto"/>
              <w:jc w:val="center"/>
              <w:rPr>
                <w:shadow/>
                <w:color w:val="FFFFFF" w:themeColor="background1"/>
                <w:szCs w:val="24"/>
              </w:rPr>
            </w:pPr>
            <w:r w:rsidRPr="00EF55C3">
              <w:rPr>
                <w:b/>
                <w:bCs/>
                <w:shadow/>
                <w:color w:val="FFFFFF" w:themeColor="background1"/>
                <w:szCs w:val="24"/>
              </w:rPr>
              <w:t>Grau de Pureza em Fenóis Totais</w:t>
            </w:r>
          </w:p>
        </w:tc>
      </w:tr>
      <w:tr w:rsidR="006737F5" w:rsidRPr="00B94444" w:rsidTr="006737F5">
        <w:trPr>
          <w:trHeight w:val="317"/>
          <w:jc w:val="center"/>
        </w:trPr>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737F5" w:rsidRPr="00B94444" w:rsidRDefault="006737F5" w:rsidP="006737F5">
            <w:pPr>
              <w:spacing w:after="0" w:line="240" w:lineRule="auto"/>
              <w:jc w:val="center"/>
              <w:rPr>
                <w:shadow/>
                <w:sz w:val="24"/>
                <w:szCs w:val="24"/>
              </w:rPr>
            </w:pPr>
            <w:r w:rsidRPr="00B94444">
              <w:rPr>
                <w:bCs/>
                <w:shadow/>
                <w:sz w:val="24"/>
                <w:szCs w:val="24"/>
              </w:rPr>
              <w:t>EB</w:t>
            </w:r>
          </w:p>
        </w:tc>
        <w:tc>
          <w:tcPr>
            <w:tcW w:w="22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737F5" w:rsidRPr="00B94444" w:rsidRDefault="006737F5" w:rsidP="006737F5">
            <w:pPr>
              <w:spacing w:after="0" w:line="240" w:lineRule="auto"/>
              <w:jc w:val="center"/>
              <w:rPr>
                <w:shadow/>
                <w:sz w:val="24"/>
                <w:szCs w:val="24"/>
              </w:rPr>
            </w:pPr>
            <w:r w:rsidRPr="00B94444">
              <w:rPr>
                <w:bCs/>
                <w:shadow/>
                <w:sz w:val="24"/>
                <w:szCs w:val="24"/>
              </w:rPr>
              <w:t>5,25%</w:t>
            </w:r>
          </w:p>
        </w:tc>
      </w:tr>
      <w:tr w:rsidR="006737F5" w:rsidRPr="00B94444" w:rsidTr="006737F5">
        <w:trPr>
          <w:trHeight w:val="219"/>
          <w:jc w:val="center"/>
        </w:trPr>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6737F5" w:rsidRPr="00B94444" w:rsidRDefault="006737F5" w:rsidP="006737F5">
            <w:pPr>
              <w:spacing w:after="0" w:line="240" w:lineRule="auto"/>
              <w:jc w:val="center"/>
              <w:rPr>
                <w:shadow/>
                <w:sz w:val="24"/>
                <w:szCs w:val="24"/>
              </w:rPr>
            </w:pPr>
            <w:r w:rsidRPr="00B94444">
              <w:rPr>
                <w:bCs/>
                <w:shadow/>
                <w:sz w:val="24"/>
                <w:szCs w:val="24"/>
              </w:rPr>
              <w:t>ERC</w:t>
            </w:r>
          </w:p>
        </w:tc>
        <w:tc>
          <w:tcPr>
            <w:tcW w:w="22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6737F5" w:rsidRPr="00B94444" w:rsidRDefault="006737F5" w:rsidP="006737F5">
            <w:pPr>
              <w:spacing w:after="0" w:line="240" w:lineRule="auto"/>
              <w:jc w:val="center"/>
              <w:rPr>
                <w:shadow/>
                <w:sz w:val="24"/>
                <w:szCs w:val="24"/>
              </w:rPr>
            </w:pPr>
            <w:r w:rsidRPr="00B94444">
              <w:rPr>
                <w:bCs/>
                <w:shadow/>
                <w:sz w:val="24"/>
                <w:szCs w:val="24"/>
              </w:rPr>
              <w:t>8,61%</w:t>
            </w:r>
          </w:p>
        </w:tc>
      </w:tr>
      <w:tr w:rsidR="006737F5" w:rsidRPr="00B94444" w:rsidTr="006737F5">
        <w:trPr>
          <w:trHeight w:val="327"/>
          <w:jc w:val="center"/>
        </w:trPr>
        <w:tc>
          <w:tcPr>
            <w:tcW w:w="1100" w:type="dxa"/>
            <w:tcBorders>
              <w:top w:val="single" w:sz="8" w:space="0" w:color="FFFFFF"/>
              <w:left w:val="single" w:sz="8" w:space="0" w:color="FFFFFF"/>
              <w:bottom w:val="single" w:sz="8" w:space="0" w:color="FFFFFF"/>
              <w:right w:val="single" w:sz="8" w:space="0" w:color="FFFFFF"/>
            </w:tcBorders>
            <w:shd w:val="clear" w:color="auto" w:fill="FE7854"/>
            <w:tcMar>
              <w:top w:w="72" w:type="dxa"/>
              <w:left w:w="144" w:type="dxa"/>
              <w:bottom w:w="72" w:type="dxa"/>
              <w:right w:w="144" w:type="dxa"/>
            </w:tcMar>
            <w:vAlign w:val="center"/>
            <w:hideMark/>
          </w:tcPr>
          <w:p w:rsidR="006737F5" w:rsidRPr="00B94444" w:rsidRDefault="006737F5" w:rsidP="006737F5">
            <w:pPr>
              <w:spacing w:after="0" w:line="240" w:lineRule="auto"/>
              <w:jc w:val="center"/>
              <w:rPr>
                <w:shadow/>
                <w:sz w:val="24"/>
                <w:szCs w:val="24"/>
              </w:rPr>
            </w:pPr>
            <w:r w:rsidRPr="00B94444">
              <w:rPr>
                <w:bCs/>
                <w:shadow/>
                <w:sz w:val="24"/>
                <w:szCs w:val="24"/>
              </w:rPr>
              <w:t>EPC</w:t>
            </w:r>
          </w:p>
        </w:tc>
        <w:tc>
          <w:tcPr>
            <w:tcW w:w="2255" w:type="dxa"/>
            <w:tcBorders>
              <w:top w:val="single" w:sz="8" w:space="0" w:color="FFFFFF"/>
              <w:left w:val="single" w:sz="8" w:space="0" w:color="FFFFFF"/>
              <w:bottom w:val="single" w:sz="8" w:space="0" w:color="FFFFFF"/>
              <w:right w:val="single" w:sz="8" w:space="0" w:color="FFFFFF"/>
            </w:tcBorders>
            <w:shd w:val="clear" w:color="auto" w:fill="FE7854"/>
            <w:tcMar>
              <w:top w:w="72" w:type="dxa"/>
              <w:left w:w="144" w:type="dxa"/>
              <w:bottom w:w="72" w:type="dxa"/>
              <w:right w:w="144" w:type="dxa"/>
            </w:tcMar>
            <w:vAlign w:val="center"/>
            <w:hideMark/>
          </w:tcPr>
          <w:p w:rsidR="006737F5" w:rsidRPr="00B94444" w:rsidRDefault="006737F5" w:rsidP="006737F5">
            <w:pPr>
              <w:spacing w:after="0" w:line="240" w:lineRule="auto"/>
              <w:jc w:val="center"/>
              <w:rPr>
                <w:shadow/>
                <w:sz w:val="24"/>
                <w:szCs w:val="24"/>
              </w:rPr>
            </w:pPr>
            <w:r w:rsidRPr="00B94444">
              <w:rPr>
                <w:bCs/>
                <w:shadow/>
                <w:sz w:val="24"/>
                <w:szCs w:val="24"/>
              </w:rPr>
              <w:t>20%</w:t>
            </w:r>
          </w:p>
        </w:tc>
      </w:tr>
    </w:tbl>
    <w:p w:rsidR="006737F5" w:rsidRDefault="006737F5" w:rsidP="006737F5">
      <w:pPr>
        <w:spacing w:after="0"/>
        <w:jc w:val="both"/>
        <w:rPr>
          <w:rFonts w:ascii="Times New Roman" w:hAnsi="Times New Roman"/>
          <w:sz w:val="24"/>
          <w:szCs w:val="24"/>
        </w:rPr>
      </w:pPr>
    </w:p>
    <w:p w:rsidR="006737F5" w:rsidRDefault="006737F5" w:rsidP="006737F5">
      <w:pPr>
        <w:spacing w:after="0"/>
        <w:jc w:val="both"/>
        <w:rPr>
          <w:rFonts w:ascii="Times New Roman" w:hAnsi="Times New Roman"/>
          <w:sz w:val="24"/>
          <w:szCs w:val="24"/>
        </w:rPr>
      </w:pPr>
    </w:p>
    <w:p w:rsidR="006737F5" w:rsidRDefault="006737F5" w:rsidP="006737F5">
      <w:pPr>
        <w:spacing w:after="0"/>
        <w:ind w:firstLine="708"/>
        <w:jc w:val="both"/>
        <w:rPr>
          <w:rFonts w:ascii="Times New Roman" w:hAnsi="Times New Roman"/>
          <w:sz w:val="24"/>
          <w:szCs w:val="24"/>
        </w:rPr>
      </w:pPr>
      <w:r w:rsidRPr="00BE74AA">
        <w:rPr>
          <w:rFonts w:ascii="Times New Roman" w:hAnsi="Times New Roman"/>
          <w:sz w:val="24"/>
          <w:szCs w:val="24"/>
        </w:rPr>
        <w:t xml:space="preserve">Dos três extractos </w:t>
      </w:r>
      <w:r>
        <w:rPr>
          <w:rFonts w:ascii="Times New Roman" w:hAnsi="Times New Roman"/>
          <w:sz w:val="24"/>
          <w:szCs w:val="24"/>
        </w:rPr>
        <w:t>em estudo</w:t>
      </w:r>
      <w:r w:rsidRPr="00BE74AA">
        <w:rPr>
          <w:rFonts w:ascii="Times New Roman" w:hAnsi="Times New Roman"/>
          <w:sz w:val="24"/>
          <w:szCs w:val="24"/>
        </w:rPr>
        <w:t xml:space="preserve">, o ERC foi o que demonstrou possuir </w:t>
      </w:r>
      <w:r>
        <w:rPr>
          <w:rFonts w:ascii="Times New Roman" w:hAnsi="Times New Roman"/>
          <w:sz w:val="24"/>
          <w:szCs w:val="24"/>
        </w:rPr>
        <w:t xml:space="preserve">a </w:t>
      </w:r>
      <w:r w:rsidRPr="00BE74AA">
        <w:rPr>
          <w:rFonts w:ascii="Times New Roman" w:hAnsi="Times New Roman"/>
          <w:sz w:val="24"/>
          <w:szCs w:val="24"/>
        </w:rPr>
        <w:t>maior concentração de compostos fenólicos na sua composição tal como esperado</w:t>
      </w:r>
      <w:r w:rsidR="00E223FB">
        <w:rPr>
          <w:rFonts w:ascii="Times New Roman" w:hAnsi="Times New Roman"/>
          <w:sz w:val="24"/>
          <w:szCs w:val="24"/>
        </w:rPr>
        <w:t xml:space="preserve"> (Figura 16)</w:t>
      </w:r>
      <w:r w:rsidRPr="00BE74AA">
        <w:rPr>
          <w:rFonts w:ascii="Times New Roman" w:hAnsi="Times New Roman"/>
          <w:sz w:val="24"/>
          <w:szCs w:val="24"/>
        </w:rPr>
        <w:t xml:space="preserve">, uma vez que os fenóis de maior massa molecular foram retidos </w:t>
      </w:r>
      <w:r>
        <w:rPr>
          <w:rFonts w:ascii="Times New Roman" w:hAnsi="Times New Roman"/>
          <w:sz w:val="24"/>
          <w:szCs w:val="24"/>
        </w:rPr>
        <w:t xml:space="preserve">pela membrana de nanofiltração NF270, cujo </w:t>
      </w:r>
      <w:r w:rsidRPr="00BE74AA">
        <w:rPr>
          <w:rFonts w:ascii="Times New Roman" w:hAnsi="Times New Roman"/>
          <w:i/>
          <w:sz w:val="24"/>
          <w:szCs w:val="24"/>
        </w:rPr>
        <w:t>cut-off</w:t>
      </w:r>
      <w:r>
        <w:rPr>
          <w:rFonts w:ascii="Times New Roman" w:hAnsi="Times New Roman"/>
          <w:sz w:val="24"/>
          <w:szCs w:val="24"/>
        </w:rPr>
        <w:t xml:space="preserve"> se situa abaixo dos 400Da, não sendo permeados pelo sistema. Por sua vez o EPC que corresponde ao extracto que sofreu permeação pela membrana de nanofiltração NF270, demonstrou possuir a concentração mais baixa em fenóis de entre os três extractos. No entanto, c</w:t>
      </w:r>
      <w:r w:rsidRPr="00BE74AA">
        <w:rPr>
          <w:rFonts w:ascii="Times New Roman" w:hAnsi="Times New Roman"/>
          <w:sz w:val="24"/>
          <w:szCs w:val="24"/>
        </w:rPr>
        <w:t>alculando o grau de pureza e</w:t>
      </w:r>
      <w:r>
        <w:rPr>
          <w:rFonts w:ascii="Times New Roman" w:hAnsi="Times New Roman"/>
          <w:sz w:val="24"/>
          <w:szCs w:val="24"/>
        </w:rPr>
        <w:t xml:space="preserve">m fenóis totais dos três extractos, </w:t>
      </w:r>
      <w:r w:rsidRPr="00BE74AA">
        <w:rPr>
          <w:rFonts w:ascii="Times New Roman" w:hAnsi="Times New Roman"/>
          <w:sz w:val="24"/>
          <w:szCs w:val="24"/>
        </w:rPr>
        <w:t>verifica-se que o EPC p</w:t>
      </w:r>
      <w:r>
        <w:rPr>
          <w:rFonts w:ascii="Times New Roman" w:hAnsi="Times New Roman"/>
          <w:sz w:val="24"/>
          <w:szCs w:val="24"/>
        </w:rPr>
        <w:t xml:space="preserve">ossui a maior percentagem (20%), significativamente superior aos restantes extractos com 8,61% </w:t>
      </w:r>
      <w:r w:rsidR="00E223FB">
        <w:rPr>
          <w:rFonts w:ascii="Times New Roman" w:hAnsi="Times New Roman"/>
          <w:sz w:val="24"/>
          <w:szCs w:val="24"/>
        </w:rPr>
        <w:t>para o ERC, e 5,25% para o EB (T</w:t>
      </w:r>
      <w:r>
        <w:rPr>
          <w:rFonts w:ascii="Times New Roman" w:hAnsi="Times New Roman"/>
          <w:sz w:val="24"/>
          <w:szCs w:val="24"/>
        </w:rPr>
        <w:t xml:space="preserve">abela </w:t>
      </w:r>
      <w:r w:rsidR="00E223FB">
        <w:rPr>
          <w:rFonts w:ascii="Times New Roman" w:hAnsi="Times New Roman"/>
          <w:sz w:val="24"/>
          <w:szCs w:val="24"/>
        </w:rPr>
        <w:t>II</w:t>
      </w:r>
      <w:r>
        <w:rPr>
          <w:rFonts w:ascii="Times New Roman" w:hAnsi="Times New Roman"/>
          <w:sz w:val="24"/>
          <w:szCs w:val="24"/>
        </w:rPr>
        <w:t>). Assim, apesar do ERC ser o extracto que apresentou anteriormente a maior concentração de fenóis totais,</w:t>
      </w:r>
      <w:r w:rsidRPr="003B48FD">
        <w:rPr>
          <w:rFonts w:ascii="Times New Roman" w:hAnsi="Times New Roman"/>
          <w:sz w:val="24"/>
          <w:szCs w:val="24"/>
        </w:rPr>
        <w:t xml:space="preserve"> </w:t>
      </w:r>
      <w:r>
        <w:rPr>
          <w:rFonts w:ascii="Times New Roman" w:hAnsi="Times New Roman"/>
          <w:sz w:val="24"/>
          <w:szCs w:val="24"/>
        </w:rPr>
        <w:t>o seu grau de pureza em fenóis calculado demonstra que a concentração de fenóis determinada não é proporcional à quantidade de fenóis permeados pela membrana. Deste modo, o EPC com base no seu grau de pureza em fenóis apresenta-se como o extracto mais interessante do ponto de vista fenólico.</w:t>
      </w:r>
    </w:p>
    <w:p w:rsidR="006737F5" w:rsidRPr="00BE74AA" w:rsidRDefault="006737F5" w:rsidP="00933DA8">
      <w:pPr>
        <w:spacing w:after="0"/>
        <w:jc w:val="both"/>
        <w:rPr>
          <w:rFonts w:ascii="Times New Roman" w:hAnsi="Times New Roman"/>
          <w:sz w:val="24"/>
          <w:szCs w:val="24"/>
        </w:rPr>
      </w:pPr>
    </w:p>
    <w:p w:rsidR="006737F5" w:rsidRPr="001E08BA" w:rsidRDefault="006737F5" w:rsidP="006737F5">
      <w:pPr>
        <w:spacing w:after="0"/>
        <w:jc w:val="both"/>
        <w:rPr>
          <w:rFonts w:ascii="Times New Roman" w:hAnsi="Times New Roman"/>
          <w:sz w:val="24"/>
          <w:szCs w:val="24"/>
        </w:rPr>
      </w:pPr>
    </w:p>
    <w:p w:rsidR="006737F5" w:rsidRPr="009F2D66" w:rsidRDefault="006737F5" w:rsidP="006737F5">
      <w:pPr>
        <w:pStyle w:val="PargrafodaLista"/>
        <w:numPr>
          <w:ilvl w:val="1"/>
          <w:numId w:val="32"/>
        </w:numPr>
        <w:jc w:val="both"/>
        <w:rPr>
          <w:rFonts w:ascii="Times New Roman" w:hAnsi="Times New Roman"/>
          <w:b/>
          <w:sz w:val="28"/>
          <w:szCs w:val="28"/>
        </w:rPr>
      </w:pPr>
      <w:r w:rsidRPr="009F2D66">
        <w:rPr>
          <w:rFonts w:ascii="Times New Roman" w:hAnsi="Times New Roman"/>
          <w:b/>
          <w:sz w:val="28"/>
        </w:rPr>
        <w:t xml:space="preserve">Quantificação de Hidroxitirosol presente nos extractos de </w:t>
      </w:r>
      <w:r>
        <w:rPr>
          <w:rFonts w:ascii="Times New Roman" w:hAnsi="Times New Roman"/>
          <w:b/>
          <w:sz w:val="28"/>
        </w:rPr>
        <w:t>BAE</w:t>
      </w:r>
      <w:r w:rsidRPr="009F2D66">
        <w:rPr>
          <w:rFonts w:ascii="Times New Roman" w:hAnsi="Times New Roman"/>
          <w:b/>
          <w:sz w:val="28"/>
        </w:rPr>
        <w:t xml:space="preserve"> por cromatografia líquida de alta ef</w:t>
      </w:r>
      <w:r w:rsidR="006334D4">
        <w:rPr>
          <w:rFonts w:ascii="Times New Roman" w:hAnsi="Times New Roman"/>
          <w:b/>
          <w:sz w:val="28"/>
        </w:rPr>
        <w:t xml:space="preserve">iciência </w:t>
      </w:r>
    </w:p>
    <w:p w:rsidR="006737F5" w:rsidRPr="00E8436A" w:rsidRDefault="006737F5" w:rsidP="006737F5">
      <w:pPr>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r>
        <w:rPr>
          <w:rFonts w:ascii="Times New Roman" w:hAnsi="Times New Roman"/>
          <w:sz w:val="24"/>
          <w:szCs w:val="24"/>
        </w:rPr>
        <w:tab/>
        <w:t xml:space="preserve">Neste ensaio pretendeu-se fazer a quantificação do composto fenólico Hidroxitirosol, recorrendo à técnica de HPLC. Para tal correram-se as amostras de EB, EPC e ERC, e os padrões do fenol de interesse a quantificar, bem como os brancos para cada amostra a 280nm com o programa de gradiente segundo o método de Jerman </w:t>
      </w:r>
      <w:r w:rsidRPr="000C0FAA">
        <w:rPr>
          <w:rFonts w:ascii="Times New Roman" w:hAnsi="Times New Roman"/>
          <w:i/>
          <w:sz w:val="24"/>
          <w:szCs w:val="24"/>
        </w:rPr>
        <w:t>et al</w:t>
      </w:r>
      <w:r>
        <w:rPr>
          <w:rFonts w:ascii="Times New Roman" w:hAnsi="Times New Roman"/>
          <w:sz w:val="24"/>
          <w:szCs w:val="24"/>
        </w:rPr>
        <w:t xml:space="preserve">., 2010. Pela obtenção </w:t>
      </w:r>
      <w:r w:rsidRPr="003B4F7A">
        <w:rPr>
          <w:rFonts w:ascii="Times New Roman" w:hAnsi="Times New Roman"/>
          <w:sz w:val="24"/>
          <w:szCs w:val="24"/>
        </w:rPr>
        <w:t>dos cromatogramas</w:t>
      </w:r>
      <w:r>
        <w:rPr>
          <w:rFonts w:ascii="Times New Roman" w:hAnsi="Times New Roman"/>
          <w:sz w:val="24"/>
          <w:szCs w:val="24"/>
        </w:rPr>
        <w:t xml:space="preserve"> dos vários padrões com concentrações crescentes de HT</w:t>
      </w:r>
      <w:r w:rsidR="00E223FB">
        <w:rPr>
          <w:rFonts w:ascii="Times New Roman" w:hAnsi="Times New Roman"/>
          <w:sz w:val="24"/>
          <w:szCs w:val="24"/>
        </w:rPr>
        <w:t xml:space="preserve"> (Figura 18)</w:t>
      </w:r>
      <w:r>
        <w:rPr>
          <w:rFonts w:ascii="Times New Roman" w:hAnsi="Times New Roman"/>
          <w:sz w:val="24"/>
          <w:szCs w:val="24"/>
        </w:rPr>
        <w:t xml:space="preserve">, </w:t>
      </w:r>
      <w:r w:rsidRPr="003B4F7A">
        <w:rPr>
          <w:rFonts w:ascii="Times New Roman" w:hAnsi="Times New Roman"/>
          <w:sz w:val="24"/>
          <w:szCs w:val="24"/>
        </w:rPr>
        <w:t xml:space="preserve">foi possível obter a curva </w:t>
      </w:r>
      <w:r w:rsidRPr="00812FF4">
        <w:rPr>
          <w:rFonts w:ascii="Times New Roman" w:hAnsi="Times New Roman"/>
          <w:sz w:val="24"/>
          <w:szCs w:val="24"/>
        </w:rPr>
        <w:t>padrão</w:t>
      </w:r>
      <w:r w:rsidRPr="003B4F7A">
        <w:rPr>
          <w:rFonts w:ascii="Times New Roman" w:hAnsi="Times New Roman"/>
          <w:sz w:val="24"/>
          <w:szCs w:val="24"/>
        </w:rPr>
        <w:t xml:space="preserve"> de </w:t>
      </w:r>
      <w:r>
        <w:rPr>
          <w:rFonts w:ascii="Times New Roman" w:hAnsi="Times New Roman"/>
          <w:sz w:val="24"/>
          <w:szCs w:val="24"/>
        </w:rPr>
        <w:t xml:space="preserve">HT, pela </w:t>
      </w:r>
      <w:r w:rsidRPr="003B4F7A">
        <w:rPr>
          <w:rFonts w:ascii="Times New Roman" w:hAnsi="Times New Roman"/>
          <w:sz w:val="24"/>
          <w:szCs w:val="24"/>
        </w:rPr>
        <w:t xml:space="preserve">área dos picos </w:t>
      </w:r>
      <w:r>
        <w:rPr>
          <w:rFonts w:ascii="Times New Roman" w:hAnsi="Times New Roman"/>
          <w:sz w:val="24"/>
          <w:szCs w:val="24"/>
        </w:rPr>
        <w:t>dos cromatogramas dos padrões em função dos valores de concentrações crescentes de HT utilizadas no ensaio.</w:t>
      </w:r>
      <w:r w:rsidRPr="003B4F7A">
        <w:rPr>
          <w:rFonts w:ascii="Times New Roman" w:hAnsi="Times New Roman"/>
          <w:sz w:val="24"/>
          <w:szCs w:val="24"/>
        </w:rPr>
        <w:t xml:space="preserve"> </w:t>
      </w:r>
      <w:r>
        <w:rPr>
          <w:rFonts w:ascii="Times New Roman" w:hAnsi="Times New Roman"/>
          <w:sz w:val="24"/>
          <w:szCs w:val="24"/>
        </w:rPr>
        <w:t xml:space="preserve">A </w:t>
      </w:r>
      <w:r w:rsidRPr="003B4F7A">
        <w:rPr>
          <w:rFonts w:ascii="Times New Roman" w:hAnsi="Times New Roman"/>
          <w:sz w:val="24"/>
          <w:szCs w:val="24"/>
        </w:rPr>
        <w:t xml:space="preserve">equação da recta </w:t>
      </w:r>
      <w:r>
        <w:rPr>
          <w:rFonts w:ascii="Times New Roman" w:hAnsi="Times New Roman"/>
          <w:sz w:val="24"/>
          <w:szCs w:val="24"/>
        </w:rPr>
        <w:t>permitiu</w:t>
      </w:r>
      <w:r w:rsidRPr="003B4F7A">
        <w:rPr>
          <w:rFonts w:ascii="Times New Roman" w:hAnsi="Times New Roman"/>
          <w:sz w:val="24"/>
          <w:szCs w:val="24"/>
        </w:rPr>
        <w:t xml:space="preserve"> calcular a concentração de </w:t>
      </w:r>
      <w:r>
        <w:rPr>
          <w:rFonts w:ascii="Times New Roman" w:hAnsi="Times New Roman"/>
          <w:sz w:val="24"/>
          <w:szCs w:val="24"/>
        </w:rPr>
        <w:t>HT</w:t>
      </w:r>
      <w:r w:rsidRPr="003B4F7A">
        <w:rPr>
          <w:rFonts w:ascii="Times New Roman" w:hAnsi="Times New Roman"/>
          <w:sz w:val="24"/>
          <w:szCs w:val="24"/>
        </w:rPr>
        <w:t xml:space="preserve"> </w:t>
      </w:r>
      <w:r w:rsidR="00E223FB">
        <w:rPr>
          <w:rFonts w:ascii="Times New Roman" w:hAnsi="Times New Roman"/>
          <w:sz w:val="24"/>
          <w:szCs w:val="24"/>
        </w:rPr>
        <w:t xml:space="preserve">(Figura 19) </w:t>
      </w:r>
      <w:r w:rsidRPr="003B4F7A">
        <w:rPr>
          <w:rFonts w:ascii="Times New Roman" w:hAnsi="Times New Roman"/>
          <w:sz w:val="24"/>
          <w:szCs w:val="24"/>
        </w:rPr>
        <w:t>presente em cada uma das amostras de extracto, bem como o seu grau de pureza no presente fenol de interesse</w:t>
      </w:r>
      <w:r w:rsidR="00E223FB">
        <w:rPr>
          <w:rFonts w:ascii="Times New Roman" w:hAnsi="Times New Roman"/>
          <w:sz w:val="24"/>
          <w:szCs w:val="24"/>
        </w:rPr>
        <w:t xml:space="preserve"> (Tabela III)</w:t>
      </w:r>
      <w:r>
        <w:rPr>
          <w:rFonts w:ascii="Times New Roman" w:hAnsi="Times New Roman"/>
          <w:sz w:val="24"/>
          <w:szCs w:val="24"/>
        </w:rPr>
        <w:t>, e percentagem do composto na frac</w:t>
      </w:r>
      <w:r w:rsidR="00E223FB">
        <w:rPr>
          <w:rFonts w:ascii="Times New Roman" w:hAnsi="Times New Roman"/>
          <w:sz w:val="24"/>
          <w:szCs w:val="24"/>
        </w:rPr>
        <w:t>ção fenólica de cada extracto</w:t>
      </w:r>
      <w:r w:rsidRPr="003B4F7A">
        <w:rPr>
          <w:rFonts w:ascii="Times New Roman" w:hAnsi="Times New Roman"/>
          <w:sz w:val="24"/>
          <w:szCs w:val="24"/>
        </w:rPr>
        <w:t>.</w:t>
      </w:r>
      <w:r>
        <w:rPr>
          <w:rFonts w:ascii="Times New Roman" w:hAnsi="Times New Roman"/>
          <w:sz w:val="24"/>
          <w:szCs w:val="24"/>
        </w:rPr>
        <w:t xml:space="preserve"> </w:t>
      </w:r>
    </w:p>
    <w:p w:rsidR="006737F5" w:rsidRDefault="006737F5" w:rsidP="006737F5">
      <w:pPr>
        <w:tabs>
          <w:tab w:val="left" w:pos="851"/>
        </w:tabs>
        <w:spacing w:after="0"/>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72928" behindDoc="1" locked="0" layoutInCell="1" allowOverlap="1">
            <wp:simplePos x="0" y="0"/>
            <wp:positionH relativeFrom="column">
              <wp:posOffset>2625090</wp:posOffset>
            </wp:positionH>
            <wp:positionV relativeFrom="paragraph">
              <wp:posOffset>162560</wp:posOffset>
            </wp:positionV>
            <wp:extent cx="2428875" cy="1752600"/>
            <wp:effectExtent l="19050" t="0" r="9525" b="0"/>
            <wp:wrapTight wrapText="bothSides">
              <wp:wrapPolygon edited="0">
                <wp:start x="-169" y="0"/>
                <wp:lineTo x="-169" y="21365"/>
                <wp:lineTo x="21685" y="21365"/>
                <wp:lineTo x="21685" y="0"/>
                <wp:lineTo x="-169" y="0"/>
              </wp:wrapPolygon>
            </wp:wrapTight>
            <wp:docPr id="5" name="Imagem 2"/>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38" cstate="print">
                      <a:lum contrast="10000"/>
                    </a:blip>
                    <a:srcRect l="1120" t="5436" r="6119" b="2253"/>
                    <a:stretch>
                      <a:fillRect/>
                    </a:stretch>
                  </pic:blipFill>
                  <pic:spPr bwMode="auto">
                    <a:xfrm>
                      <a:off x="0" y="0"/>
                      <a:ext cx="2428875" cy="1752600"/>
                    </a:xfrm>
                    <a:prstGeom prst="rect">
                      <a:avLst/>
                    </a:prstGeom>
                    <a:ln>
                      <a:noFill/>
                    </a:ln>
                    <a:effectLst/>
                  </pic:spPr>
                </pic:pic>
              </a:graphicData>
            </a:graphic>
          </wp:anchor>
        </w:drawing>
      </w:r>
      <w:r>
        <w:rPr>
          <w:rFonts w:ascii="Times New Roman" w:hAnsi="Times New Roman"/>
          <w:noProof/>
          <w:sz w:val="24"/>
          <w:szCs w:val="24"/>
          <w:lang w:eastAsia="pt-PT"/>
        </w:rPr>
        <w:drawing>
          <wp:anchor distT="0" distB="0" distL="114300" distR="114300" simplePos="0" relativeHeight="251774976" behindDoc="1" locked="0" layoutInCell="1" allowOverlap="1">
            <wp:simplePos x="0" y="0"/>
            <wp:positionH relativeFrom="column">
              <wp:posOffset>-89535</wp:posOffset>
            </wp:positionH>
            <wp:positionV relativeFrom="paragraph">
              <wp:posOffset>181610</wp:posOffset>
            </wp:positionV>
            <wp:extent cx="2771775" cy="1695450"/>
            <wp:effectExtent l="19050" t="0" r="9525" b="0"/>
            <wp:wrapTight wrapText="bothSides">
              <wp:wrapPolygon edited="0">
                <wp:start x="-148" y="0"/>
                <wp:lineTo x="-148" y="21357"/>
                <wp:lineTo x="21674" y="21357"/>
                <wp:lineTo x="21674" y="0"/>
                <wp:lineTo x="-148" y="0"/>
              </wp:wrapPolygon>
            </wp:wrapTight>
            <wp:docPr id="23" name="Imagem 12"/>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39" cstate="print">
                      <a:lum contrast="10000"/>
                    </a:blip>
                    <a:srcRect l="1539" t="3054" r="2347" b="3054"/>
                    <a:stretch>
                      <a:fillRect/>
                    </a:stretch>
                  </pic:blipFill>
                  <pic:spPr bwMode="auto">
                    <a:xfrm>
                      <a:off x="0" y="0"/>
                      <a:ext cx="2771775" cy="1695450"/>
                    </a:xfrm>
                    <a:prstGeom prst="rect">
                      <a:avLst/>
                    </a:prstGeom>
                    <a:ln>
                      <a:noFill/>
                    </a:ln>
                    <a:effectLst/>
                  </pic:spPr>
                </pic:pic>
              </a:graphicData>
            </a:graphic>
          </wp:anchor>
        </w:drawing>
      </w:r>
      <w:r w:rsidR="007B02FE">
        <w:rPr>
          <w:rFonts w:ascii="Times New Roman" w:hAnsi="Times New Roman"/>
          <w:noProof/>
          <w:sz w:val="24"/>
          <w:szCs w:val="24"/>
          <w:lang w:eastAsia="pt-PT"/>
        </w:rPr>
        <w:pict>
          <v:shape id="_x0000_s1125" type="#_x0000_t202" style="position:absolute;left:0;text-align:left;margin-left:243.45pt;margin-top:6.8pt;width:25.5pt;height:23.25pt;z-index:251777024;mso-position-horizontal-relative:text;mso-position-vertical-relative:text" filled="f" stroked="f">
            <v:textbox>
              <w:txbxContent>
                <w:p w:rsidR="00B766F9" w:rsidRPr="00FA617B" w:rsidRDefault="00B766F9" w:rsidP="006737F5">
                  <w:pPr>
                    <w:rPr>
                      <w:b/>
                      <w:sz w:val="24"/>
                    </w:rPr>
                  </w:pPr>
                  <w:r>
                    <w:rPr>
                      <w:b/>
                      <w:sz w:val="24"/>
                    </w:rPr>
                    <w:t>B</w:t>
                  </w:r>
                </w:p>
              </w:txbxContent>
            </v:textbox>
          </v:shape>
        </w:pict>
      </w:r>
      <w:r w:rsidR="007B02FE" w:rsidRPr="007B02FE">
        <w:rPr>
          <w:rFonts w:asciiTheme="minorHAnsi" w:hAnsiTheme="minorHAnsi"/>
          <w:noProof/>
          <w:lang w:eastAsia="pt-PT"/>
        </w:rPr>
        <w:pict>
          <v:shape id="_x0000_s1124" type="#_x0000_t202" style="position:absolute;left:0;text-align:left;margin-left:31.95pt;margin-top:6.05pt;width:25.5pt;height:23.25pt;z-index:251776000;mso-position-horizontal-relative:text;mso-position-vertical-relative:text" stroked="f">
            <v:textbox style="mso-next-textbox:#_x0000_s1124">
              <w:txbxContent>
                <w:p w:rsidR="00B766F9" w:rsidRPr="00FA617B" w:rsidRDefault="00B766F9" w:rsidP="006737F5">
                  <w:pPr>
                    <w:rPr>
                      <w:b/>
                      <w:sz w:val="24"/>
                    </w:rPr>
                  </w:pPr>
                  <w:r w:rsidRPr="00FA617B">
                    <w:rPr>
                      <w:b/>
                      <w:sz w:val="24"/>
                    </w:rPr>
                    <w:t>A</w:t>
                  </w:r>
                </w:p>
              </w:txbxContent>
            </v:textbox>
          </v:shape>
        </w:pict>
      </w: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p w:rsidR="006737F5" w:rsidRDefault="007B02FE" w:rsidP="006737F5">
      <w:pPr>
        <w:tabs>
          <w:tab w:val="left" w:pos="851"/>
        </w:tabs>
        <w:spacing w:after="0"/>
        <w:jc w:val="both"/>
        <w:rPr>
          <w:rFonts w:ascii="Times New Roman" w:hAnsi="Times New Roman"/>
          <w:sz w:val="24"/>
          <w:szCs w:val="24"/>
        </w:rPr>
      </w:pPr>
      <w:r w:rsidRPr="007B02FE">
        <w:rPr>
          <w:rFonts w:asciiTheme="minorHAnsi" w:hAnsiTheme="minorHAnsi"/>
          <w:noProof/>
        </w:rPr>
        <w:lastRenderedPageBreak/>
        <w:pict>
          <v:shape id="_x0000_s1123" type="#_x0000_t202" style="position:absolute;left:0;text-align:left;margin-left:22.2pt;margin-top:3.35pt;width:390.75pt;height:55.5pt;z-index:251773952" wrapcoords="-50 0 -50 20571 21600 20571 21600 0 -50 0" stroked="f">
            <v:textbox style="mso-next-textbox:#_x0000_s1123" inset="0,0,0,0">
              <w:txbxContent>
                <w:p w:rsidR="00B766F9" w:rsidRPr="00334A9D" w:rsidRDefault="00B766F9" w:rsidP="006737F5">
                  <w:pPr>
                    <w:pStyle w:val="Legenda"/>
                    <w:spacing w:line="276" w:lineRule="auto"/>
                    <w:jc w:val="both"/>
                    <w:rPr>
                      <w:rFonts w:ascii="Times New Roman" w:hAnsi="Times New Roman"/>
                      <w:b w:val="0"/>
                      <w:noProof/>
                      <w:color w:val="auto"/>
                      <w:sz w:val="28"/>
                      <w:szCs w:val="24"/>
                    </w:rPr>
                  </w:pPr>
                  <w:r w:rsidRPr="00334A9D">
                    <w:rPr>
                      <w:rFonts w:ascii="Times New Roman" w:hAnsi="Times New Roman"/>
                      <w:sz w:val="20"/>
                    </w:rPr>
                    <w:t xml:space="preserve">Figura </w:t>
                  </w:r>
                  <w:r w:rsidRPr="00334A9D">
                    <w:rPr>
                      <w:rFonts w:ascii="Times New Roman" w:hAnsi="Times New Roman"/>
                      <w:sz w:val="20"/>
                    </w:rPr>
                    <w:fldChar w:fldCharType="begin"/>
                  </w:r>
                  <w:r w:rsidRPr="00334A9D">
                    <w:rPr>
                      <w:rFonts w:ascii="Times New Roman" w:hAnsi="Times New Roman"/>
                      <w:sz w:val="20"/>
                    </w:rPr>
                    <w:instrText xml:space="preserve"> SEQ Figura \* ARABIC </w:instrText>
                  </w:r>
                  <w:r w:rsidRPr="00334A9D">
                    <w:rPr>
                      <w:rFonts w:ascii="Times New Roman" w:hAnsi="Times New Roman"/>
                      <w:sz w:val="20"/>
                    </w:rPr>
                    <w:fldChar w:fldCharType="separate"/>
                  </w:r>
                  <w:r>
                    <w:rPr>
                      <w:rFonts w:ascii="Times New Roman" w:hAnsi="Times New Roman"/>
                      <w:noProof/>
                      <w:sz w:val="20"/>
                    </w:rPr>
                    <w:t>2</w:t>
                  </w:r>
                  <w:r w:rsidRPr="00334A9D">
                    <w:rPr>
                      <w:rFonts w:ascii="Times New Roman" w:hAnsi="Times New Roman"/>
                      <w:sz w:val="20"/>
                    </w:rPr>
                    <w:fldChar w:fldCharType="end"/>
                  </w:r>
                  <w:r w:rsidRPr="00334A9D">
                    <w:rPr>
                      <w:rFonts w:ascii="Times New Roman" w:hAnsi="Times New Roman"/>
                      <w:sz w:val="20"/>
                    </w:rPr>
                    <w:t xml:space="preserve">7 – </w:t>
                  </w:r>
                  <w:r w:rsidRPr="00334A9D">
                    <w:rPr>
                      <w:rFonts w:ascii="Times New Roman" w:hAnsi="Times New Roman"/>
                      <w:b w:val="0"/>
                      <w:color w:val="auto"/>
                      <w:sz w:val="20"/>
                    </w:rPr>
                    <w:t>Cromatogramas obtidos por H</w:t>
                  </w:r>
                  <w:r>
                    <w:rPr>
                      <w:rFonts w:ascii="Times New Roman" w:hAnsi="Times New Roman"/>
                      <w:b w:val="0"/>
                      <w:color w:val="auto"/>
                      <w:sz w:val="20"/>
                    </w:rPr>
                    <w:t>PLC do subproduto BAE (A), e de BAE</w:t>
                  </w:r>
                  <w:r w:rsidRPr="00334A9D">
                    <w:rPr>
                      <w:rFonts w:ascii="Times New Roman" w:hAnsi="Times New Roman"/>
                      <w:b w:val="0"/>
                      <w:color w:val="auto"/>
                      <w:sz w:val="20"/>
                    </w:rPr>
                    <w:t xml:space="preserve"> com</w:t>
                  </w:r>
                  <w:r>
                    <w:rPr>
                      <w:rFonts w:ascii="Times New Roman" w:hAnsi="Times New Roman"/>
                      <w:b w:val="0"/>
                      <w:color w:val="auto"/>
                      <w:sz w:val="20"/>
                    </w:rPr>
                    <w:t xml:space="preserve"> co-injecção de</w:t>
                  </w:r>
                  <w:r w:rsidRPr="00334A9D">
                    <w:rPr>
                      <w:rFonts w:ascii="Times New Roman" w:hAnsi="Times New Roman"/>
                      <w:b w:val="0"/>
                      <w:color w:val="auto"/>
                      <w:sz w:val="20"/>
                    </w:rPr>
                    <w:t xml:space="preserve"> Hidroxitirosol (100µg/mL)</w:t>
                  </w:r>
                  <w:r>
                    <w:rPr>
                      <w:rFonts w:ascii="Times New Roman" w:hAnsi="Times New Roman"/>
                      <w:b w:val="0"/>
                      <w:color w:val="auto"/>
                      <w:sz w:val="20"/>
                    </w:rPr>
                    <w:t xml:space="preserve"> (B)</w:t>
                  </w:r>
                  <w:r w:rsidRPr="00334A9D">
                    <w:rPr>
                      <w:rFonts w:ascii="Times New Roman" w:hAnsi="Times New Roman"/>
                      <w:b w:val="0"/>
                      <w:color w:val="auto"/>
                      <w:sz w:val="20"/>
                    </w:rPr>
                    <w:t xml:space="preserve">. Destaque para o aumento do pico no cromatograma de BAE </w:t>
                  </w:r>
                  <w:r>
                    <w:rPr>
                      <w:rFonts w:ascii="Times New Roman" w:hAnsi="Times New Roman"/>
                      <w:b w:val="0"/>
                      <w:color w:val="auto"/>
                      <w:sz w:val="20"/>
                    </w:rPr>
                    <w:t>com co-injecção (B)</w:t>
                  </w:r>
                  <w:r w:rsidRPr="00334A9D">
                    <w:rPr>
                      <w:rFonts w:ascii="Times New Roman" w:hAnsi="Times New Roman"/>
                      <w:b w:val="0"/>
                      <w:color w:val="auto"/>
                      <w:sz w:val="20"/>
                    </w:rPr>
                    <w:t>, correspondendo ao tempo de retenção do composto Hidroxitirosol.</w:t>
                  </w:r>
                </w:p>
                <w:p w:rsidR="00B766F9" w:rsidRPr="00334A9D" w:rsidRDefault="00B766F9" w:rsidP="006737F5">
                  <w:pPr>
                    <w:jc w:val="both"/>
                    <w:rPr>
                      <w:rFonts w:ascii="Times New Roman" w:hAnsi="Times New Roman"/>
                      <w:sz w:val="24"/>
                    </w:rPr>
                  </w:pPr>
                </w:p>
              </w:txbxContent>
            </v:textbox>
            <w10:wrap type="tight"/>
          </v:shape>
        </w:pict>
      </w:r>
    </w:p>
    <w:p w:rsidR="006737F5" w:rsidRDefault="006737F5" w:rsidP="006737F5">
      <w:pPr>
        <w:tabs>
          <w:tab w:val="left" w:pos="851"/>
        </w:tabs>
        <w:spacing w:after="0"/>
        <w:jc w:val="both"/>
        <w:rPr>
          <w:rFonts w:ascii="Times New Roman" w:hAnsi="Times New Roman"/>
          <w:sz w:val="24"/>
          <w:szCs w:val="24"/>
        </w:rPr>
      </w:pPr>
    </w:p>
    <w:p w:rsidR="006737F5" w:rsidRDefault="006737F5" w:rsidP="006737F5">
      <w:pPr>
        <w:tabs>
          <w:tab w:val="left" w:pos="851"/>
        </w:tabs>
        <w:spacing w:after="0"/>
        <w:jc w:val="both"/>
        <w:rPr>
          <w:rFonts w:ascii="Times New Roman" w:hAnsi="Times New Roman"/>
          <w:sz w:val="24"/>
          <w:szCs w:val="24"/>
        </w:rPr>
      </w:pPr>
    </w:p>
    <w:tbl>
      <w:tblPr>
        <w:tblStyle w:val="Tabelacomgrelha"/>
        <w:tblpPr w:leftFromText="141" w:rightFromText="141" w:vertAnchor="page" w:horzAnchor="margin" w:tblpXSpec="right" w:tblpY="42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
        <w:gridCol w:w="571"/>
        <w:gridCol w:w="926"/>
      </w:tblGrid>
      <w:tr w:rsidR="006737F5" w:rsidRPr="00ED4785" w:rsidTr="006737F5">
        <w:trPr>
          <w:trHeight w:val="220"/>
        </w:trPr>
        <w:tc>
          <w:tcPr>
            <w:tcW w:w="0" w:type="auto"/>
          </w:tcPr>
          <w:p w:rsidR="006737F5" w:rsidRPr="00ED4785" w:rsidRDefault="006737F5" w:rsidP="00E24117">
            <w:pPr>
              <w:spacing w:after="0"/>
              <w:jc w:val="center"/>
              <w:rPr>
                <w:b/>
                <w:sz w:val="20"/>
                <w:szCs w:val="24"/>
              </w:rPr>
            </w:pPr>
            <w:r w:rsidRPr="00ED4785">
              <w:rPr>
                <w:b/>
                <w:sz w:val="20"/>
                <w:szCs w:val="24"/>
              </w:rPr>
              <w:t>No.</w:t>
            </w:r>
          </w:p>
        </w:tc>
        <w:tc>
          <w:tcPr>
            <w:tcW w:w="0" w:type="auto"/>
          </w:tcPr>
          <w:p w:rsidR="006737F5" w:rsidRPr="00ED4785" w:rsidRDefault="006737F5" w:rsidP="00E24117">
            <w:pPr>
              <w:spacing w:after="0"/>
              <w:jc w:val="center"/>
              <w:rPr>
                <w:b/>
                <w:sz w:val="20"/>
                <w:szCs w:val="24"/>
              </w:rPr>
            </w:pPr>
            <w:r w:rsidRPr="00ED4785">
              <w:rPr>
                <w:b/>
                <w:sz w:val="20"/>
                <w:szCs w:val="24"/>
              </w:rPr>
              <w:t>RT</w:t>
            </w:r>
          </w:p>
        </w:tc>
        <w:tc>
          <w:tcPr>
            <w:tcW w:w="0" w:type="auto"/>
          </w:tcPr>
          <w:p w:rsidR="006737F5" w:rsidRPr="00ED4785" w:rsidRDefault="006737F5" w:rsidP="00E24117">
            <w:pPr>
              <w:spacing w:after="0"/>
              <w:jc w:val="center"/>
              <w:rPr>
                <w:b/>
                <w:sz w:val="20"/>
                <w:szCs w:val="24"/>
              </w:rPr>
            </w:pPr>
            <w:r w:rsidRPr="00ED4785">
              <w:rPr>
                <w:b/>
                <w:sz w:val="20"/>
                <w:szCs w:val="24"/>
              </w:rPr>
              <w:t>Área</w:t>
            </w:r>
          </w:p>
        </w:tc>
      </w:tr>
      <w:tr w:rsidR="006737F5" w:rsidRPr="00ED4785" w:rsidTr="006737F5">
        <w:trPr>
          <w:trHeight w:val="335"/>
        </w:trPr>
        <w:tc>
          <w:tcPr>
            <w:tcW w:w="0" w:type="auto"/>
            <w:shd w:val="clear" w:color="auto" w:fill="92D050"/>
            <w:vAlign w:val="center"/>
          </w:tcPr>
          <w:p w:rsidR="006737F5" w:rsidRPr="00ED4785" w:rsidRDefault="006737F5" w:rsidP="00E24117">
            <w:pPr>
              <w:spacing w:after="0"/>
              <w:jc w:val="center"/>
              <w:rPr>
                <w:sz w:val="20"/>
                <w:szCs w:val="24"/>
              </w:rPr>
            </w:pPr>
            <w:r>
              <w:rPr>
                <w:sz w:val="20"/>
                <w:szCs w:val="24"/>
              </w:rPr>
              <w:t>1</w:t>
            </w:r>
            <w:r w:rsidRPr="00ED4785">
              <w:rPr>
                <w:sz w:val="20"/>
                <w:szCs w:val="24"/>
              </w:rPr>
              <w:t>1</w:t>
            </w:r>
          </w:p>
        </w:tc>
        <w:tc>
          <w:tcPr>
            <w:tcW w:w="0" w:type="auto"/>
            <w:shd w:val="clear" w:color="auto" w:fill="92D050"/>
            <w:vAlign w:val="center"/>
          </w:tcPr>
          <w:p w:rsidR="006737F5" w:rsidRPr="00ED4785" w:rsidRDefault="006737F5" w:rsidP="00E24117">
            <w:pPr>
              <w:spacing w:after="0"/>
              <w:jc w:val="center"/>
              <w:rPr>
                <w:sz w:val="20"/>
                <w:szCs w:val="24"/>
              </w:rPr>
            </w:pPr>
            <w:r w:rsidRPr="00ED4785">
              <w:rPr>
                <w:sz w:val="20"/>
                <w:szCs w:val="24"/>
              </w:rPr>
              <w:t>8,2</w:t>
            </w:r>
            <w:r>
              <w:rPr>
                <w:sz w:val="20"/>
                <w:szCs w:val="24"/>
              </w:rPr>
              <w:t>9</w:t>
            </w:r>
          </w:p>
        </w:tc>
        <w:tc>
          <w:tcPr>
            <w:tcW w:w="0" w:type="auto"/>
            <w:shd w:val="clear" w:color="auto" w:fill="92D050"/>
            <w:vAlign w:val="center"/>
          </w:tcPr>
          <w:p w:rsidR="006737F5" w:rsidRPr="00ED4785" w:rsidRDefault="006737F5" w:rsidP="00E24117">
            <w:pPr>
              <w:spacing w:after="0"/>
              <w:jc w:val="center"/>
              <w:rPr>
                <w:sz w:val="20"/>
                <w:szCs w:val="24"/>
              </w:rPr>
            </w:pPr>
            <w:r w:rsidRPr="00A91AAC">
              <w:rPr>
                <w:sz w:val="20"/>
                <w:szCs w:val="24"/>
              </w:rPr>
              <w:t xml:space="preserve">2479656 </w:t>
            </w:r>
          </w:p>
        </w:tc>
      </w:tr>
    </w:tbl>
    <w:p w:rsidR="006737F5" w:rsidRPr="003B4F7A" w:rsidRDefault="007B02FE" w:rsidP="00E24117">
      <w:pPr>
        <w:tabs>
          <w:tab w:val="left" w:pos="851"/>
        </w:tabs>
        <w:spacing w:after="0"/>
        <w:jc w:val="both"/>
        <w:rPr>
          <w:rFonts w:ascii="Times New Roman" w:hAnsi="Times New Roman"/>
          <w:sz w:val="24"/>
          <w:szCs w:val="24"/>
        </w:rPr>
      </w:pPr>
      <w:r>
        <w:rPr>
          <w:rFonts w:ascii="Times New Roman" w:hAnsi="Times New Roman"/>
          <w:noProof/>
          <w:sz w:val="24"/>
          <w:szCs w:val="24"/>
          <w:lang w:eastAsia="pt-PT"/>
        </w:rPr>
        <w:pict>
          <v:shape id="_x0000_s1131" type="#_x0000_t202" style="position:absolute;left:0;text-align:left;margin-left:17.65pt;margin-top:11.25pt;width:18.7pt;height:22.5pt;z-index:251787264;mso-position-horizontal-relative:text;mso-position-vertical-relative:text" stroked="f">
            <v:textbox>
              <w:txbxContent>
                <w:p w:rsidR="00B766F9" w:rsidRPr="00F84D22" w:rsidRDefault="00B766F9">
                  <w:pPr>
                    <w:rPr>
                      <w:b/>
                      <w:sz w:val="24"/>
                    </w:rPr>
                  </w:pPr>
                  <w:r w:rsidRPr="00F84D22">
                    <w:rPr>
                      <w:b/>
                      <w:sz w:val="24"/>
                    </w:rPr>
                    <w:t>A</w:t>
                  </w:r>
                </w:p>
              </w:txbxContent>
            </v:textbox>
          </v:shape>
        </w:pict>
      </w:r>
      <w:r>
        <w:rPr>
          <w:rFonts w:ascii="Times New Roman" w:hAnsi="Times New Roman"/>
          <w:noProof/>
          <w:sz w:val="24"/>
          <w:szCs w:val="24"/>
          <w:lang w:eastAsia="pt-PT"/>
        </w:rPr>
        <w:pict>
          <v:shape id="_x0000_s1132" type="#_x0000_t202" style="position:absolute;left:0;text-align:left;margin-left:263.75pt;margin-top:11.25pt;width:18.7pt;height:22.5pt;z-index:251788288;mso-position-horizontal-relative:text;mso-position-vertical-relative:text" stroked="f">
            <v:textbox>
              <w:txbxContent>
                <w:p w:rsidR="00B766F9" w:rsidRPr="00F84D22" w:rsidRDefault="00B766F9" w:rsidP="00F84D22">
                  <w:pPr>
                    <w:rPr>
                      <w:b/>
                      <w:sz w:val="24"/>
                    </w:rPr>
                  </w:pPr>
                  <w:r>
                    <w:rPr>
                      <w:b/>
                      <w:sz w:val="24"/>
                    </w:rPr>
                    <w:t>B</w:t>
                  </w:r>
                </w:p>
              </w:txbxContent>
            </v:textbox>
          </v:shape>
        </w:pict>
      </w:r>
      <w:r>
        <w:rPr>
          <w:rFonts w:ascii="Times New Roman" w:hAnsi="Times New Roman"/>
          <w:noProof/>
          <w:sz w:val="24"/>
          <w:szCs w:val="24"/>
          <w:lang w:eastAsia="pt-PT"/>
        </w:rPr>
        <w:pict>
          <v:shape id="_x0000_s1070" type="#_x0000_t202" style="position:absolute;left:0;text-align:left;margin-left:364.95pt;margin-top:40.65pt;width:70.5pt;height:18.75pt;z-index:251718656;mso-position-horizontal-relative:text;mso-position-vertical-relative:text" filled="f" stroked="f">
            <v:textbox style="mso-next-textbox:#_x0000_s1070">
              <w:txbxContent>
                <w:p w:rsidR="00B766F9" w:rsidRDefault="00B766F9" w:rsidP="006737F5">
                  <w:r>
                    <w:t>λ=280nm</w:t>
                  </w:r>
                </w:p>
              </w:txbxContent>
            </v:textbox>
          </v:shape>
        </w:pict>
      </w:r>
      <w:r>
        <w:rPr>
          <w:rFonts w:ascii="Times New Roman" w:hAnsi="Times New Roman"/>
          <w:noProof/>
          <w:sz w:val="24"/>
          <w:szCs w:val="24"/>
          <w:lang w:eastAsia="pt-PT"/>
        </w:rPr>
        <w:pict>
          <v:shape id="_x0000_s1067" type="#_x0000_t202" style="position:absolute;left:0;text-align:left;margin-left:132.75pt;margin-top:45.9pt;width:60pt;height:18.75pt;z-index:251715584;mso-position-horizontal-relative:text;mso-position-vertical-relative:text" filled="f" stroked="f">
            <v:textbox style="mso-next-textbox:#_x0000_s1067">
              <w:txbxContent>
                <w:p w:rsidR="00B766F9" w:rsidRDefault="00B766F9" w:rsidP="006737F5">
                  <w:r>
                    <w:t>λ=280nm</w:t>
                  </w:r>
                </w:p>
              </w:txbxContent>
            </v:textbox>
          </v:shape>
        </w:pict>
      </w:r>
      <w:r w:rsidR="006737F5">
        <w:rPr>
          <w:rFonts w:ascii="Times New Roman" w:hAnsi="Times New Roman"/>
          <w:noProof/>
          <w:sz w:val="24"/>
          <w:szCs w:val="24"/>
          <w:lang w:eastAsia="pt-PT"/>
        </w:rPr>
        <w:drawing>
          <wp:anchor distT="0" distB="0" distL="114300" distR="114300" simplePos="0" relativeHeight="251706368" behindDoc="1" locked="0" layoutInCell="1" allowOverlap="1">
            <wp:simplePos x="0" y="0"/>
            <wp:positionH relativeFrom="column">
              <wp:posOffset>320040</wp:posOffset>
            </wp:positionH>
            <wp:positionV relativeFrom="paragraph">
              <wp:posOffset>763905</wp:posOffset>
            </wp:positionV>
            <wp:extent cx="771525" cy="428625"/>
            <wp:effectExtent l="19050" t="0" r="9525" b="0"/>
            <wp:wrapTight wrapText="bothSides">
              <wp:wrapPolygon edited="0">
                <wp:start x="17600" y="0"/>
                <wp:lineTo x="8000" y="0"/>
                <wp:lineTo x="-533" y="7680"/>
                <wp:lineTo x="-533" y="16320"/>
                <wp:lineTo x="5333" y="21120"/>
                <wp:lineTo x="6400" y="21120"/>
                <wp:lineTo x="11733" y="21120"/>
                <wp:lineTo x="11733" y="15360"/>
                <wp:lineTo x="21867" y="2880"/>
                <wp:lineTo x="21867" y="0"/>
                <wp:lineTo x="17600" y="0"/>
              </wp:wrapPolygon>
            </wp:wrapTight>
            <wp:docPr id="24" name="Imagem 14" descr="http://www.seprox.es/ES/img/formula.jpg"/>
            <wp:cNvGraphicFramePr/>
            <a:graphic xmlns:a="http://schemas.openxmlformats.org/drawingml/2006/main">
              <a:graphicData uri="http://schemas.openxmlformats.org/drawingml/2006/picture">
                <pic:pic xmlns:pic="http://schemas.openxmlformats.org/drawingml/2006/picture">
                  <pic:nvPicPr>
                    <pic:cNvPr id="16" name="Picture 4" descr="http://www.seprox.es/ES/img/formula.jpg"/>
                    <pic:cNvPicPr>
                      <a:picLocks noChangeAspect="1" noChangeArrowheads="1"/>
                    </pic:cNvPicPr>
                  </pic:nvPicPr>
                  <pic:blipFill>
                    <a:blip r:embed="rId40" cstate="print">
                      <a:clrChange>
                        <a:clrFrom>
                          <a:srgbClr val="FFFFFF"/>
                        </a:clrFrom>
                        <a:clrTo>
                          <a:srgbClr val="FFFFFF">
                            <a:alpha val="0"/>
                          </a:srgbClr>
                        </a:clrTo>
                      </a:clrChange>
                      <a:lum contrast="30000"/>
                    </a:blip>
                    <a:srcRect/>
                    <a:stretch>
                      <a:fillRect/>
                    </a:stretch>
                  </pic:blipFill>
                  <pic:spPr bwMode="auto">
                    <a:xfrm>
                      <a:off x="0" y="0"/>
                      <a:ext cx="771525" cy="428625"/>
                    </a:xfrm>
                    <a:prstGeom prst="rect">
                      <a:avLst/>
                    </a:prstGeom>
                    <a:ln>
                      <a:noFill/>
                    </a:ln>
                    <a:effectLst/>
                  </pic:spPr>
                </pic:pic>
              </a:graphicData>
            </a:graphic>
          </wp:anchor>
        </w:drawing>
      </w:r>
      <w:r>
        <w:rPr>
          <w:rFonts w:ascii="Times New Roman" w:hAnsi="Times New Roman"/>
          <w:noProof/>
          <w:sz w:val="24"/>
          <w:szCs w:val="24"/>
          <w:lang w:eastAsia="pt-PT"/>
        </w:rPr>
        <w:pict>
          <v:oval id="_x0000_s1072" style="position:absolute;left:0;text-align:left;margin-left:282.45pt;margin-top:95.4pt;width:18pt;height:75.75pt;z-index:251720704;mso-position-horizontal-relative:text;mso-position-vertical-relative:text" filled="f" strokecolor="#92d050">
            <v:stroke dashstyle="dash"/>
          </v:oval>
        </w:pict>
      </w:r>
      <w:r w:rsidR="006737F5">
        <w:rPr>
          <w:rFonts w:ascii="Times New Roman" w:hAnsi="Times New Roman"/>
          <w:noProof/>
          <w:sz w:val="24"/>
          <w:szCs w:val="24"/>
          <w:lang w:eastAsia="pt-PT"/>
        </w:rPr>
        <w:drawing>
          <wp:anchor distT="0" distB="0" distL="114300" distR="114300" simplePos="0" relativeHeight="251703296" behindDoc="1" locked="0" layoutInCell="1" allowOverlap="1">
            <wp:simplePos x="0" y="0"/>
            <wp:positionH relativeFrom="column">
              <wp:posOffset>2577465</wp:posOffset>
            </wp:positionH>
            <wp:positionV relativeFrom="paragraph">
              <wp:posOffset>316230</wp:posOffset>
            </wp:positionV>
            <wp:extent cx="3143250" cy="2295525"/>
            <wp:effectExtent l="19050" t="0" r="0" b="0"/>
            <wp:wrapTight wrapText="bothSides">
              <wp:wrapPolygon edited="0">
                <wp:start x="-131" y="0"/>
                <wp:lineTo x="-131" y="21510"/>
                <wp:lineTo x="21600" y="21510"/>
                <wp:lineTo x="21600" y="0"/>
                <wp:lineTo x="-131" y="0"/>
              </wp:wrapPolygon>
            </wp:wrapTight>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lum contrast="10000"/>
                    </a:blip>
                    <a:srcRect l="1265" t="2800" r="10484"/>
                    <a:stretch>
                      <a:fillRect/>
                    </a:stretch>
                  </pic:blipFill>
                  <pic:spPr bwMode="auto">
                    <a:xfrm>
                      <a:off x="0" y="0"/>
                      <a:ext cx="3143250" cy="2295525"/>
                    </a:xfrm>
                    <a:prstGeom prst="rect">
                      <a:avLst/>
                    </a:prstGeom>
                    <a:noFill/>
                    <a:ln w="9525">
                      <a:noFill/>
                      <a:miter lim="800000"/>
                      <a:headEnd/>
                      <a:tailEnd/>
                    </a:ln>
                  </pic:spPr>
                </pic:pic>
              </a:graphicData>
            </a:graphic>
          </wp:anchor>
        </w:drawing>
      </w:r>
      <w:r>
        <w:rPr>
          <w:rFonts w:ascii="Times New Roman" w:hAnsi="Times New Roman"/>
          <w:noProof/>
          <w:sz w:val="24"/>
          <w:szCs w:val="24"/>
          <w:lang w:eastAsia="pt-PT"/>
        </w:rPr>
        <w:pict>
          <v:oval id="_x0000_s1071" style="position:absolute;left:0;text-align:left;margin-left:32.7pt;margin-top:105.9pt;width:13.5pt;height:67.5pt;z-index:251719680;mso-position-horizontal-relative:text;mso-position-vertical-relative:text" filled="f" strokecolor="#974706 [1609]">
            <v:stroke dashstyle="dash"/>
          </v:oval>
        </w:pict>
      </w:r>
      <w:r w:rsidR="006737F5">
        <w:rPr>
          <w:rFonts w:ascii="Times New Roman" w:hAnsi="Times New Roman"/>
          <w:noProof/>
          <w:sz w:val="24"/>
          <w:szCs w:val="24"/>
          <w:lang w:eastAsia="pt-PT"/>
        </w:rPr>
        <w:drawing>
          <wp:anchor distT="0" distB="0" distL="114300" distR="114300" simplePos="0" relativeHeight="251702272" behindDoc="1" locked="0" layoutInCell="1" allowOverlap="1">
            <wp:simplePos x="0" y="0"/>
            <wp:positionH relativeFrom="column">
              <wp:posOffset>-337185</wp:posOffset>
            </wp:positionH>
            <wp:positionV relativeFrom="paragraph">
              <wp:posOffset>363855</wp:posOffset>
            </wp:positionV>
            <wp:extent cx="2971800" cy="2244725"/>
            <wp:effectExtent l="19050" t="0" r="0" b="0"/>
            <wp:wrapTight wrapText="bothSides">
              <wp:wrapPolygon edited="0">
                <wp:start x="-138" y="0"/>
                <wp:lineTo x="-138" y="21447"/>
                <wp:lineTo x="21600" y="21447"/>
                <wp:lineTo x="21600" y="0"/>
                <wp:lineTo x="-138" y="0"/>
              </wp:wrapPolygon>
            </wp:wrapTight>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lum contrast="10000"/>
                    </a:blip>
                    <a:srcRect l="1424" t="2049" r="7969"/>
                    <a:stretch>
                      <a:fillRect/>
                    </a:stretch>
                  </pic:blipFill>
                  <pic:spPr bwMode="auto">
                    <a:xfrm>
                      <a:off x="0" y="0"/>
                      <a:ext cx="2971800" cy="2244725"/>
                    </a:xfrm>
                    <a:prstGeom prst="rect">
                      <a:avLst/>
                    </a:prstGeom>
                    <a:noFill/>
                    <a:ln w="9525">
                      <a:noFill/>
                      <a:miter lim="800000"/>
                      <a:headEnd/>
                      <a:tailEnd/>
                    </a:ln>
                  </pic:spPr>
                </pic:pic>
              </a:graphicData>
            </a:graphic>
          </wp:anchor>
        </w:drawing>
      </w:r>
      <w:r>
        <w:rPr>
          <w:rFonts w:ascii="Times New Roman" w:hAnsi="Times New Roman"/>
          <w:noProof/>
          <w:sz w:val="24"/>
          <w:szCs w:val="24"/>
          <w:lang w:eastAsia="pt-PT"/>
        </w:rPr>
        <w:pict>
          <v:shape id="_x0000_s1069" type="#_x0000_t202" style="position:absolute;left:0;text-align:left;margin-left:289.9pt;margin-top:17.4pt;width:157.55pt;height:28.5pt;z-index:251717632;mso-position-horizontal-relative:text;mso-position-vertical-relative:text" filled="f" stroked="f">
            <v:textbox style="mso-next-textbox:#_x0000_s1069">
              <w:txbxContent>
                <w:p w:rsidR="00B766F9" w:rsidRPr="00A91AAC" w:rsidRDefault="00B766F9" w:rsidP="006737F5">
                  <w:pPr>
                    <w:rPr>
                      <w:b/>
                      <w:shadow/>
                      <w:color w:val="92D050"/>
                    </w:rPr>
                  </w:pPr>
                  <w:r w:rsidRPr="00A91AAC">
                    <w:rPr>
                      <w:b/>
                      <w:shadow/>
                      <w:color w:val="92D050"/>
                    </w:rPr>
                    <w:t>Extracto Bruto (EB)</w:t>
                  </w:r>
                </w:p>
              </w:txbxContent>
            </v:textbox>
          </v:shape>
        </w:pict>
      </w:r>
      <w:r>
        <w:rPr>
          <w:rFonts w:ascii="Times New Roman" w:hAnsi="Times New Roman"/>
          <w:noProof/>
          <w:sz w:val="24"/>
          <w:szCs w:val="24"/>
          <w:lang w:eastAsia="pt-PT"/>
        </w:rPr>
        <w:pict>
          <v:shape id="_x0000_s1068" type="#_x0000_t202" style="position:absolute;left:0;text-align:left;margin-left:40.9pt;margin-top:18.15pt;width:157.55pt;height:28.5pt;z-index:251716608;mso-position-horizontal-relative:text;mso-position-vertical-relative:text" filled="f" stroked="f">
            <v:textbox style="mso-next-textbox:#_x0000_s1068">
              <w:txbxContent>
                <w:p w:rsidR="00B766F9" w:rsidRPr="00901AC8" w:rsidRDefault="00B766F9" w:rsidP="006737F5">
                  <w:pPr>
                    <w:rPr>
                      <w:b/>
                      <w:shadow/>
                      <w:color w:val="984806" w:themeColor="accent6" w:themeShade="80"/>
                    </w:rPr>
                  </w:pPr>
                  <w:r w:rsidRPr="00901AC8">
                    <w:rPr>
                      <w:b/>
                      <w:shadow/>
                      <w:color w:val="984806" w:themeColor="accent6" w:themeShade="80"/>
                    </w:rPr>
                    <w:t>Hidroxitirosol (HT) 0,2mg/mL</w:t>
                  </w:r>
                </w:p>
              </w:txbxContent>
            </v:textbox>
          </v:shape>
        </w:pict>
      </w:r>
    </w:p>
    <w:tbl>
      <w:tblPr>
        <w:tblStyle w:val="Tabelacomgrelha"/>
        <w:tblpPr w:leftFromText="141" w:rightFromText="141" w:vertAnchor="page" w:horzAnchor="page" w:tblpX="3253" w:tblpY="8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
        <w:gridCol w:w="571"/>
        <w:gridCol w:w="926"/>
      </w:tblGrid>
      <w:tr w:rsidR="006737F5" w:rsidRPr="00ED4785" w:rsidTr="00E24117">
        <w:trPr>
          <w:trHeight w:val="289"/>
        </w:trPr>
        <w:tc>
          <w:tcPr>
            <w:tcW w:w="0" w:type="auto"/>
          </w:tcPr>
          <w:p w:rsidR="006737F5" w:rsidRPr="00ED4785" w:rsidRDefault="006737F5" w:rsidP="00E24117">
            <w:pPr>
              <w:spacing w:after="0"/>
              <w:jc w:val="center"/>
              <w:rPr>
                <w:b/>
                <w:sz w:val="20"/>
                <w:szCs w:val="24"/>
              </w:rPr>
            </w:pPr>
            <w:r w:rsidRPr="00ED4785">
              <w:rPr>
                <w:b/>
                <w:sz w:val="20"/>
                <w:szCs w:val="24"/>
              </w:rPr>
              <w:t>No.</w:t>
            </w:r>
          </w:p>
        </w:tc>
        <w:tc>
          <w:tcPr>
            <w:tcW w:w="0" w:type="auto"/>
          </w:tcPr>
          <w:p w:rsidR="006737F5" w:rsidRPr="00ED4785" w:rsidRDefault="006737F5" w:rsidP="00E24117">
            <w:pPr>
              <w:spacing w:after="0"/>
              <w:jc w:val="center"/>
              <w:rPr>
                <w:b/>
                <w:sz w:val="20"/>
                <w:szCs w:val="24"/>
              </w:rPr>
            </w:pPr>
            <w:r w:rsidRPr="00ED4785">
              <w:rPr>
                <w:b/>
                <w:sz w:val="20"/>
                <w:szCs w:val="24"/>
              </w:rPr>
              <w:t>RT</w:t>
            </w:r>
          </w:p>
        </w:tc>
        <w:tc>
          <w:tcPr>
            <w:tcW w:w="0" w:type="auto"/>
          </w:tcPr>
          <w:p w:rsidR="006737F5" w:rsidRPr="00ED4785" w:rsidRDefault="006737F5" w:rsidP="00E24117">
            <w:pPr>
              <w:spacing w:after="0"/>
              <w:jc w:val="center"/>
              <w:rPr>
                <w:b/>
                <w:sz w:val="20"/>
                <w:szCs w:val="24"/>
              </w:rPr>
            </w:pPr>
            <w:r w:rsidRPr="00ED4785">
              <w:rPr>
                <w:b/>
                <w:sz w:val="20"/>
                <w:szCs w:val="24"/>
              </w:rPr>
              <w:t>Área</w:t>
            </w:r>
          </w:p>
        </w:tc>
      </w:tr>
      <w:tr w:rsidR="006737F5" w:rsidRPr="00ED4785" w:rsidTr="006737F5">
        <w:trPr>
          <w:trHeight w:val="330"/>
        </w:trPr>
        <w:tc>
          <w:tcPr>
            <w:tcW w:w="0" w:type="auto"/>
            <w:shd w:val="clear" w:color="auto" w:fill="17365D" w:themeFill="text2" w:themeFillShade="BF"/>
            <w:vAlign w:val="center"/>
          </w:tcPr>
          <w:p w:rsidR="006737F5" w:rsidRPr="00ED4785" w:rsidRDefault="006737F5" w:rsidP="00E24117">
            <w:pPr>
              <w:spacing w:after="0"/>
              <w:jc w:val="center"/>
              <w:rPr>
                <w:sz w:val="20"/>
                <w:szCs w:val="24"/>
              </w:rPr>
            </w:pPr>
            <w:r>
              <w:rPr>
                <w:sz w:val="20"/>
                <w:szCs w:val="24"/>
              </w:rPr>
              <w:t>1</w:t>
            </w:r>
            <w:r w:rsidRPr="00ED4785">
              <w:rPr>
                <w:sz w:val="20"/>
                <w:szCs w:val="24"/>
              </w:rPr>
              <w:t>1</w:t>
            </w:r>
          </w:p>
        </w:tc>
        <w:tc>
          <w:tcPr>
            <w:tcW w:w="0" w:type="auto"/>
            <w:shd w:val="clear" w:color="auto" w:fill="17365D" w:themeFill="text2" w:themeFillShade="BF"/>
            <w:vAlign w:val="center"/>
          </w:tcPr>
          <w:p w:rsidR="006737F5" w:rsidRPr="00ED4785" w:rsidRDefault="006737F5" w:rsidP="00E24117">
            <w:pPr>
              <w:spacing w:after="0"/>
              <w:jc w:val="center"/>
              <w:rPr>
                <w:sz w:val="20"/>
                <w:szCs w:val="24"/>
              </w:rPr>
            </w:pPr>
            <w:r w:rsidRPr="00ED4785">
              <w:rPr>
                <w:sz w:val="20"/>
                <w:szCs w:val="24"/>
              </w:rPr>
              <w:t>8,</w:t>
            </w:r>
            <w:r>
              <w:rPr>
                <w:sz w:val="20"/>
                <w:szCs w:val="24"/>
              </w:rPr>
              <w:t>30</w:t>
            </w:r>
          </w:p>
        </w:tc>
        <w:tc>
          <w:tcPr>
            <w:tcW w:w="0" w:type="auto"/>
            <w:shd w:val="clear" w:color="auto" w:fill="17365D" w:themeFill="text2" w:themeFillShade="BF"/>
            <w:vAlign w:val="center"/>
          </w:tcPr>
          <w:p w:rsidR="006737F5" w:rsidRPr="00ED4785" w:rsidRDefault="006737F5" w:rsidP="00E24117">
            <w:pPr>
              <w:spacing w:after="0"/>
              <w:jc w:val="center"/>
              <w:rPr>
                <w:sz w:val="20"/>
                <w:szCs w:val="24"/>
              </w:rPr>
            </w:pPr>
            <w:r w:rsidRPr="009332D1">
              <w:rPr>
                <w:sz w:val="20"/>
                <w:szCs w:val="24"/>
              </w:rPr>
              <w:t xml:space="preserve">2793561 </w:t>
            </w:r>
          </w:p>
        </w:tc>
      </w:tr>
    </w:tbl>
    <w:tbl>
      <w:tblPr>
        <w:tblStyle w:val="Tabelacomgrelha"/>
        <w:tblpPr w:leftFromText="141" w:rightFromText="141" w:vertAnchor="page" w:horzAnchor="margin" w:tblpXSpec="right" w:tblpY="85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
        <w:gridCol w:w="571"/>
        <w:gridCol w:w="825"/>
      </w:tblGrid>
      <w:tr w:rsidR="006737F5" w:rsidRPr="00ED4785" w:rsidTr="006737F5">
        <w:trPr>
          <w:trHeight w:val="220"/>
        </w:trPr>
        <w:tc>
          <w:tcPr>
            <w:tcW w:w="0" w:type="auto"/>
          </w:tcPr>
          <w:p w:rsidR="006737F5" w:rsidRPr="00ED4785" w:rsidRDefault="006737F5" w:rsidP="00E24117">
            <w:pPr>
              <w:spacing w:after="0"/>
              <w:jc w:val="center"/>
              <w:rPr>
                <w:b/>
                <w:sz w:val="20"/>
                <w:szCs w:val="24"/>
              </w:rPr>
            </w:pPr>
            <w:r w:rsidRPr="00ED4785">
              <w:rPr>
                <w:b/>
                <w:sz w:val="20"/>
                <w:szCs w:val="24"/>
              </w:rPr>
              <w:t>No.</w:t>
            </w:r>
          </w:p>
        </w:tc>
        <w:tc>
          <w:tcPr>
            <w:tcW w:w="0" w:type="auto"/>
          </w:tcPr>
          <w:p w:rsidR="006737F5" w:rsidRPr="00ED4785" w:rsidRDefault="006737F5" w:rsidP="00E24117">
            <w:pPr>
              <w:spacing w:after="0"/>
              <w:jc w:val="center"/>
              <w:rPr>
                <w:b/>
                <w:sz w:val="20"/>
                <w:szCs w:val="24"/>
              </w:rPr>
            </w:pPr>
            <w:r w:rsidRPr="00ED4785">
              <w:rPr>
                <w:b/>
                <w:sz w:val="20"/>
                <w:szCs w:val="24"/>
              </w:rPr>
              <w:t>RT</w:t>
            </w:r>
          </w:p>
        </w:tc>
        <w:tc>
          <w:tcPr>
            <w:tcW w:w="0" w:type="auto"/>
          </w:tcPr>
          <w:p w:rsidR="006737F5" w:rsidRPr="00ED4785" w:rsidRDefault="006737F5" w:rsidP="00E24117">
            <w:pPr>
              <w:spacing w:after="0"/>
              <w:jc w:val="center"/>
              <w:rPr>
                <w:b/>
                <w:sz w:val="20"/>
                <w:szCs w:val="24"/>
              </w:rPr>
            </w:pPr>
            <w:r w:rsidRPr="00ED4785">
              <w:rPr>
                <w:b/>
                <w:sz w:val="20"/>
                <w:szCs w:val="24"/>
              </w:rPr>
              <w:t>Área</w:t>
            </w:r>
          </w:p>
        </w:tc>
      </w:tr>
      <w:tr w:rsidR="006737F5" w:rsidRPr="00ED4785" w:rsidTr="006737F5">
        <w:trPr>
          <w:trHeight w:val="330"/>
        </w:trPr>
        <w:tc>
          <w:tcPr>
            <w:tcW w:w="0" w:type="auto"/>
            <w:shd w:val="clear" w:color="auto" w:fill="0486A4"/>
            <w:vAlign w:val="center"/>
          </w:tcPr>
          <w:p w:rsidR="006737F5" w:rsidRPr="00ED4785" w:rsidRDefault="006737F5" w:rsidP="00E24117">
            <w:pPr>
              <w:spacing w:after="0"/>
              <w:jc w:val="center"/>
              <w:rPr>
                <w:sz w:val="20"/>
                <w:szCs w:val="24"/>
              </w:rPr>
            </w:pPr>
            <w:r>
              <w:rPr>
                <w:sz w:val="20"/>
                <w:szCs w:val="24"/>
              </w:rPr>
              <w:t>5</w:t>
            </w:r>
          </w:p>
        </w:tc>
        <w:tc>
          <w:tcPr>
            <w:tcW w:w="0" w:type="auto"/>
            <w:shd w:val="clear" w:color="auto" w:fill="0486A4"/>
            <w:vAlign w:val="center"/>
          </w:tcPr>
          <w:p w:rsidR="006737F5" w:rsidRPr="00ED4785" w:rsidRDefault="006737F5" w:rsidP="00E24117">
            <w:pPr>
              <w:spacing w:after="0"/>
              <w:jc w:val="center"/>
              <w:rPr>
                <w:sz w:val="20"/>
                <w:szCs w:val="24"/>
              </w:rPr>
            </w:pPr>
            <w:r w:rsidRPr="00ED4785">
              <w:rPr>
                <w:sz w:val="20"/>
                <w:szCs w:val="24"/>
              </w:rPr>
              <w:t>8,</w:t>
            </w:r>
            <w:r>
              <w:rPr>
                <w:sz w:val="20"/>
                <w:szCs w:val="24"/>
              </w:rPr>
              <w:t>29</w:t>
            </w:r>
          </w:p>
        </w:tc>
        <w:tc>
          <w:tcPr>
            <w:tcW w:w="0" w:type="auto"/>
            <w:shd w:val="clear" w:color="auto" w:fill="0486A4"/>
            <w:vAlign w:val="center"/>
          </w:tcPr>
          <w:p w:rsidR="006737F5" w:rsidRPr="00ED4785" w:rsidRDefault="006737F5" w:rsidP="00E24117">
            <w:pPr>
              <w:spacing w:after="0"/>
              <w:jc w:val="center"/>
              <w:rPr>
                <w:sz w:val="20"/>
                <w:szCs w:val="24"/>
              </w:rPr>
            </w:pPr>
            <w:r w:rsidRPr="00AB3BD6">
              <w:rPr>
                <w:sz w:val="20"/>
                <w:szCs w:val="24"/>
              </w:rPr>
              <w:t xml:space="preserve">730529 </w:t>
            </w:r>
          </w:p>
        </w:tc>
      </w:tr>
    </w:tbl>
    <w:tbl>
      <w:tblPr>
        <w:tblStyle w:val="Tabelacomgrelha"/>
        <w:tblpPr w:leftFromText="141" w:rightFromText="141" w:vertAnchor="page" w:horzAnchor="page" w:tblpX="3343" w:tblpY="4336"/>
        <w:tblW w:w="1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
        <w:gridCol w:w="571"/>
        <w:gridCol w:w="926"/>
      </w:tblGrid>
      <w:tr w:rsidR="006737F5" w:rsidRPr="00ED4785" w:rsidTr="00E24117">
        <w:trPr>
          <w:trHeight w:val="117"/>
        </w:trPr>
        <w:tc>
          <w:tcPr>
            <w:tcW w:w="0" w:type="auto"/>
          </w:tcPr>
          <w:p w:rsidR="006737F5" w:rsidRPr="00ED4785" w:rsidRDefault="006737F5" w:rsidP="00E24117">
            <w:pPr>
              <w:spacing w:after="0"/>
              <w:jc w:val="center"/>
              <w:rPr>
                <w:b/>
                <w:sz w:val="20"/>
                <w:szCs w:val="24"/>
              </w:rPr>
            </w:pPr>
            <w:r w:rsidRPr="00ED4785">
              <w:rPr>
                <w:b/>
                <w:sz w:val="20"/>
                <w:szCs w:val="24"/>
              </w:rPr>
              <w:t>No.</w:t>
            </w:r>
          </w:p>
        </w:tc>
        <w:tc>
          <w:tcPr>
            <w:tcW w:w="0" w:type="auto"/>
          </w:tcPr>
          <w:p w:rsidR="006737F5" w:rsidRPr="00ED4785" w:rsidRDefault="006737F5" w:rsidP="00E24117">
            <w:pPr>
              <w:spacing w:after="0"/>
              <w:jc w:val="center"/>
              <w:rPr>
                <w:b/>
                <w:sz w:val="20"/>
                <w:szCs w:val="24"/>
              </w:rPr>
            </w:pPr>
            <w:r w:rsidRPr="00ED4785">
              <w:rPr>
                <w:b/>
                <w:sz w:val="20"/>
                <w:szCs w:val="24"/>
              </w:rPr>
              <w:t>RT</w:t>
            </w:r>
          </w:p>
        </w:tc>
        <w:tc>
          <w:tcPr>
            <w:tcW w:w="0" w:type="auto"/>
          </w:tcPr>
          <w:p w:rsidR="006737F5" w:rsidRPr="00ED4785" w:rsidRDefault="006737F5" w:rsidP="00E24117">
            <w:pPr>
              <w:spacing w:after="0"/>
              <w:jc w:val="center"/>
              <w:rPr>
                <w:b/>
                <w:sz w:val="20"/>
                <w:szCs w:val="24"/>
              </w:rPr>
            </w:pPr>
            <w:r w:rsidRPr="00ED4785">
              <w:rPr>
                <w:b/>
                <w:sz w:val="20"/>
                <w:szCs w:val="24"/>
              </w:rPr>
              <w:t>Área</w:t>
            </w:r>
          </w:p>
        </w:tc>
      </w:tr>
      <w:tr w:rsidR="006737F5" w:rsidRPr="00ED4785" w:rsidTr="00E24117">
        <w:trPr>
          <w:trHeight w:val="220"/>
        </w:trPr>
        <w:tc>
          <w:tcPr>
            <w:tcW w:w="0" w:type="auto"/>
            <w:shd w:val="clear" w:color="auto" w:fill="E36C0A" w:themeFill="accent6" w:themeFillShade="BF"/>
            <w:vAlign w:val="center"/>
          </w:tcPr>
          <w:p w:rsidR="006737F5" w:rsidRPr="00ED4785" w:rsidRDefault="006737F5" w:rsidP="00E24117">
            <w:pPr>
              <w:spacing w:after="0"/>
              <w:jc w:val="center"/>
              <w:rPr>
                <w:sz w:val="20"/>
                <w:szCs w:val="24"/>
              </w:rPr>
            </w:pPr>
            <w:r w:rsidRPr="00ED4785">
              <w:rPr>
                <w:sz w:val="20"/>
                <w:szCs w:val="24"/>
              </w:rPr>
              <w:t>1</w:t>
            </w:r>
          </w:p>
        </w:tc>
        <w:tc>
          <w:tcPr>
            <w:tcW w:w="0" w:type="auto"/>
            <w:shd w:val="clear" w:color="auto" w:fill="E36C0A" w:themeFill="accent6" w:themeFillShade="BF"/>
            <w:vAlign w:val="center"/>
          </w:tcPr>
          <w:p w:rsidR="006737F5" w:rsidRPr="00ED4785" w:rsidRDefault="006737F5" w:rsidP="00E24117">
            <w:pPr>
              <w:spacing w:after="0"/>
              <w:jc w:val="center"/>
              <w:rPr>
                <w:sz w:val="20"/>
                <w:szCs w:val="24"/>
              </w:rPr>
            </w:pPr>
            <w:r w:rsidRPr="00ED4785">
              <w:rPr>
                <w:sz w:val="20"/>
                <w:szCs w:val="24"/>
              </w:rPr>
              <w:t>8,28</w:t>
            </w:r>
          </w:p>
        </w:tc>
        <w:tc>
          <w:tcPr>
            <w:tcW w:w="0" w:type="auto"/>
            <w:shd w:val="clear" w:color="auto" w:fill="E36C0A" w:themeFill="accent6" w:themeFillShade="BF"/>
            <w:vAlign w:val="center"/>
          </w:tcPr>
          <w:p w:rsidR="006737F5" w:rsidRPr="00ED4785" w:rsidRDefault="006737F5" w:rsidP="00E24117">
            <w:pPr>
              <w:spacing w:after="0"/>
              <w:jc w:val="center"/>
              <w:rPr>
                <w:sz w:val="20"/>
                <w:szCs w:val="24"/>
              </w:rPr>
            </w:pPr>
            <w:r w:rsidRPr="00ED4785">
              <w:rPr>
                <w:sz w:val="20"/>
                <w:szCs w:val="24"/>
              </w:rPr>
              <w:t>2075124</w:t>
            </w:r>
          </w:p>
        </w:tc>
      </w:tr>
    </w:tbl>
    <w:p w:rsidR="006737F5" w:rsidRDefault="007B02FE" w:rsidP="00E24117">
      <w:pPr>
        <w:spacing w:after="0"/>
        <w:jc w:val="both"/>
        <w:rPr>
          <w:rFonts w:ascii="Times New Roman" w:hAnsi="Times New Roman"/>
          <w:sz w:val="24"/>
          <w:szCs w:val="24"/>
        </w:rPr>
      </w:pPr>
      <w:r>
        <w:rPr>
          <w:rFonts w:ascii="Times New Roman" w:hAnsi="Times New Roman"/>
          <w:noProof/>
          <w:sz w:val="24"/>
          <w:szCs w:val="24"/>
          <w:lang w:eastAsia="pt-PT"/>
        </w:rPr>
        <w:pict>
          <v:shape id="_x0000_s1134" type="#_x0000_t202" style="position:absolute;left:0;text-align:left;margin-left:263.75pt;margin-top:10.35pt;width:18.7pt;height:22.5pt;z-index:251790336;mso-position-horizontal-relative:text;mso-position-vertical-relative:text" filled="f" stroked="f">
            <v:textbox>
              <w:txbxContent>
                <w:p w:rsidR="00B766F9" w:rsidRPr="00F84D22" w:rsidRDefault="00B766F9" w:rsidP="00F84D22">
                  <w:pPr>
                    <w:rPr>
                      <w:b/>
                      <w:sz w:val="24"/>
                    </w:rPr>
                  </w:pPr>
                  <w:r>
                    <w:rPr>
                      <w:b/>
                      <w:sz w:val="24"/>
                    </w:rPr>
                    <w:t>D</w:t>
                  </w:r>
                </w:p>
              </w:txbxContent>
            </v:textbox>
          </v:shape>
        </w:pict>
      </w:r>
      <w:r>
        <w:rPr>
          <w:rFonts w:ascii="Times New Roman" w:hAnsi="Times New Roman"/>
          <w:noProof/>
          <w:sz w:val="24"/>
          <w:szCs w:val="24"/>
          <w:lang w:eastAsia="pt-PT"/>
        </w:rPr>
        <w:pict>
          <v:shape id="_x0000_s1133" type="#_x0000_t202" style="position:absolute;left:0;text-align:left;margin-left:17.65pt;margin-top:10.35pt;width:18.7pt;height:22.5pt;z-index:251789312;mso-position-horizontal-relative:text;mso-position-vertical-relative:text" filled="f" stroked="f">
            <v:textbox>
              <w:txbxContent>
                <w:p w:rsidR="00B766F9" w:rsidRPr="00F84D22" w:rsidRDefault="00B766F9" w:rsidP="00F84D22">
                  <w:pPr>
                    <w:rPr>
                      <w:b/>
                      <w:sz w:val="24"/>
                    </w:rPr>
                  </w:pPr>
                  <w:r>
                    <w:rPr>
                      <w:b/>
                      <w:sz w:val="24"/>
                    </w:rPr>
                    <w:t>C</w:t>
                  </w:r>
                </w:p>
              </w:txbxContent>
            </v:textbox>
          </v:shape>
        </w:pict>
      </w:r>
      <w:r>
        <w:rPr>
          <w:rFonts w:ascii="Times New Roman" w:hAnsi="Times New Roman"/>
          <w:noProof/>
          <w:sz w:val="24"/>
          <w:szCs w:val="24"/>
          <w:lang w:eastAsia="pt-PT"/>
        </w:rPr>
        <w:pict>
          <v:shape id="_x0000_s1075" type="#_x0000_t202" style="position:absolute;left:0;text-align:left;margin-left:379.95pt;margin-top:53.25pt;width:67.5pt;height:18.75pt;z-index:251723776;mso-position-horizontal-relative:text;mso-position-vertical-relative:text" filled="f" stroked="f">
            <v:textbox style="mso-next-textbox:#_x0000_s1075">
              <w:txbxContent>
                <w:p w:rsidR="00B766F9" w:rsidRDefault="00B766F9" w:rsidP="006737F5">
                  <w:r>
                    <w:t>λ=280nm</w:t>
                  </w:r>
                </w:p>
              </w:txbxContent>
            </v:textbox>
          </v:shape>
        </w:pict>
      </w:r>
      <w:r>
        <w:rPr>
          <w:rFonts w:ascii="Times New Roman" w:hAnsi="Times New Roman"/>
          <w:noProof/>
          <w:sz w:val="24"/>
          <w:szCs w:val="24"/>
          <w:lang w:eastAsia="pt-PT"/>
        </w:rPr>
        <w:pict>
          <v:shape id="_x0000_s1074" type="#_x0000_t202" style="position:absolute;left:0;text-align:left;margin-left:123.45pt;margin-top:46.15pt;width:69.3pt;height:25.85pt;z-index:251722752;mso-position-horizontal-relative:text;mso-position-vertical-relative:text" filled="f" stroked="f">
            <v:textbox style="mso-next-textbox:#_x0000_s1074">
              <w:txbxContent>
                <w:p w:rsidR="00B766F9" w:rsidRDefault="00B766F9" w:rsidP="006737F5">
                  <w:r>
                    <w:t>λ= 280nm</w:t>
                  </w:r>
                </w:p>
              </w:txbxContent>
            </v:textbox>
          </v:shape>
        </w:pict>
      </w:r>
      <w:r>
        <w:rPr>
          <w:rFonts w:ascii="Times New Roman" w:hAnsi="Times New Roman"/>
          <w:noProof/>
          <w:sz w:val="24"/>
          <w:szCs w:val="24"/>
          <w:lang w:eastAsia="pt-PT"/>
        </w:rPr>
        <w:pict>
          <v:oval id="_x0000_s1077" style="position:absolute;left:0;text-align:left;margin-left:293.7pt;margin-top:128.75pt;width:18pt;height:38.25pt;z-index:251725824;mso-position-horizontal-relative:text;mso-position-vertical-relative:text" filled="f" strokecolor="#0486a4">
            <v:stroke dashstyle="dash"/>
          </v:oval>
        </w:pict>
      </w:r>
      <w:r>
        <w:rPr>
          <w:rFonts w:ascii="Times New Roman" w:hAnsi="Times New Roman"/>
          <w:noProof/>
          <w:sz w:val="24"/>
          <w:szCs w:val="24"/>
          <w:lang w:eastAsia="pt-PT"/>
        </w:rPr>
        <w:pict>
          <v:shape id="_x0000_s1076" type="#_x0000_t202" style="position:absolute;left:0;text-align:left;margin-left:270.4pt;margin-top:24.75pt;width:203.3pt;height:28.5pt;z-index:251724800;mso-position-horizontal-relative:text;mso-position-vertical-relative:text" filled="f" stroked="f">
            <v:textbox style="mso-next-textbox:#_x0000_s1076">
              <w:txbxContent>
                <w:p w:rsidR="00B766F9" w:rsidRPr="00AB3BD6" w:rsidRDefault="00B766F9" w:rsidP="006737F5">
                  <w:pPr>
                    <w:rPr>
                      <w:b/>
                      <w:shadow/>
                      <w:color w:val="0486A4"/>
                    </w:rPr>
                  </w:pPr>
                  <w:r w:rsidRPr="00AB3BD6">
                    <w:rPr>
                      <w:b/>
                      <w:shadow/>
                      <w:color w:val="0486A4"/>
                    </w:rPr>
                    <w:t>Extracto Permeado Concentrado (EPC)</w:t>
                  </w:r>
                </w:p>
              </w:txbxContent>
            </v:textbox>
          </v:shape>
        </w:pict>
      </w:r>
      <w:r>
        <w:rPr>
          <w:rFonts w:ascii="Times New Roman" w:hAnsi="Times New Roman"/>
          <w:noProof/>
          <w:sz w:val="24"/>
          <w:szCs w:val="24"/>
          <w:lang w:eastAsia="pt-PT"/>
        </w:rPr>
        <w:pict>
          <v:oval id="_x0000_s1078" style="position:absolute;left:0;text-align:left;margin-left:43.9pt;margin-top:91.25pt;width:18pt;height:75.75pt;z-index:251726848;mso-position-horizontal-relative:text;mso-position-vertical-relative:text" filled="f" strokecolor="#002060">
            <v:stroke dashstyle="dash"/>
          </v:oval>
        </w:pict>
      </w:r>
      <w:r>
        <w:rPr>
          <w:rFonts w:ascii="Times New Roman" w:hAnsi="Times New Roman"/>
          <w:noProof/>
          <w:sz w:val="24"/>
          <w:szCs w:val="24"/>
          <w:lang w:eastAsia="pt-PT"/>
        </w:rPr>
        <w:pict>
          <v:shape id="_x0000_s1073" type="#_x0000_t202" style="position:absolute;left:0;text-align:left;margin-left:26.65pt;margin-top:24.75pt;width:176.3pt;height:28.5pt;z-index:251721728;mso-position-horizontal-relative:text;mso-position-vertical-relative:text" filled="f" stroked="f">
            <v:textbox style="mso-next-textbox:#_x0000_s1073">
              <w:txbxContent>
                <w:p w:rsidR="00B766F9" w:rsidRPr="009332D1" w:rsidRDefault="00B766F9" w:rsidP="006737F5">
                  <w:pPr>
                    <w:rPr>
                      <w:b/>
                      <w:shadow/>
                      <w:color w:val="002060"/>
                    </w:rPr>
                  </w:pPr>
                  <w:r w:rsidRPr="009332D1">
                    <w:rPr>
                      <w:b/>
                      <w:shadow/>
                      <w:color w:val="002060"/>
                    </w:rPr>
                    <w:t>Extracto Retido Concentrado (ERC)</w:t>
                  </w:r>
                </w:p>
              </w:txbxContent>
            </v:textbox>
          </v:shape>
        </w:pict>
      </w:r>
    </w:p>
    <w:p w:rsidR="006737F5" w:rsidRDefault="007B02FE" w:rsidP="00A02571">
      <w:pPr>
        <w:ind w:firstLine="708"/>
        <w:jc w:val="both"/>
        <w:rPr>
          <w:rFonts w:ascii="Times New Roman" w:hAnsi="Times New Roman"/>
          <w:sz w:val="24"/>
          <w:szCs w:val="24"/>
        </w:rPr>
      </w:pPr>
      <w:r w:rsidRPr="007B02FE">
        <w:rPr>
          <w:rFonts w:asciiTheme="minorHAnsi" w:hAnsiTheme="minorHAnsi"/>
          <w:noProof/>
        </w:rPr>
        <w:pict>
          <v:shape id="_x0000_s1079" type="#_x0000_t202" style="position:absolute;left:0;text-align:left;margin-left:2.65pt;margin-top:189.4pt;width:425.25pt;height:44.5pt;z-index:251727872" wrapcoords="-67 0 -67 20965 21600 20965 21600 0 -67 0" stroked="f">
            <v:textbox style="mso-next-textbox:#_x0000_s1079;mso-fit-shape-to-text:t" inset="0,0,0,0">
              <w:txbxContent>
                <w:p w:rsidR="00B766F9" w:rsidRPr="00DA210A" w:rsidRDefault="00B766F9" w:rsidP="006737F5">
                  <w:pPr>
                    <w:pStyle w:val="Legenda"/>
                    <w:tabs>
                      <w:tab w:val="left" w:pos="284"/>
                    </w:tabs>
                    <w:jc w:val="both"/>
                    <w:rPr>
                      <w:rFonts w:ascii="Times New Roman" w:hAnsi="Times New Roman"/>
                      <w:b w:val="0"/>
                      <w:noProof/>
                      <w:color w:val="auto"/>
                      <w:sz w:val="28"/>
                      <w:szCs w:val="24"/>
                    </w:rPr>
                  </w:pPr>
                  <w:r w:rsidRPr="00DA210A">
                    <w:rPr>
                      <w:rFonts w:ascii="Times New Roman" w:hAnsi="Times New Roman"/>
                      <w:sz w:val="20"/>
                    </w:rPr>
                    <w:t xml:space="preserve">Figura </w:t>
                  </w:r>
                  <w:r>
                    <w:rPr>
                      <w:rFonts w:ascii="Times New Roman" w:hAnsi="Times New Roman"/>
                      <w:sz w:val="20"/>
                    </w:rPr>
                    <w:t>18</w:t>
                  </w:r>
                  <w:r w:rsidRPr="00DA210A">
                    <w:rPr>
                      <w:rFonts w:ascii="Times New Roman" w:hAnsi="Times New Roman"/>
                      <w:sz w:val="20"/>
                    </w:rPr>
                    <w:t xml:space="preserve"> –</w:t>
                  </w:r>
                  <w:r>
                    <w:rPr>
                      <w:rFonts w:ascii="Times New Roman" w:hAnsi="Times New Roman"/>
                      <w:b w:val="0"/>
                      <w:color w:val="auto"/>
                      <w:sz w:val="20"/>
                    </w:rPr>
                    <w:t xml:space="preserve"> Q</w:t>
                  </w:r>
                  <w:r w:rsidRPr="00DA210A">
                    <w:rPr>
                      <w:rFonts w:ascii="Times New Roman" w:hAnsi="Times New Roman"/>
                      <w:b w:val="0"/>
                      <w:color w:val="auto"/>
                      <w:sz w:val="20"/>
                    </w:rPr>
                    <w:t>uantificação de Hidroxitirosol presente em cada um dos extractos</w:t>
                  </w:r>
                  <w:r>
                    <w:rPr>
                      <w:rFonts w:ascii="Times New Roman" w:hAnsi="Times New Roman"/>
                      <w:b w:val="0"/>
                      <w:color w:val="auto"/>
                      <w:sz w:val="20"/>
                    </w:rPr>
                    <w:t xml:space="preserve"> aquosos concentrados de BAE. </w:t>
                  </w:r>
                  <w:r w:rsidRPr="00DA210A">
                    <w:rPr>
                      <w:rFonts w:ascii="Times New Roman" w:hAnsi="Times New Roman"/>
                      <w:b w:val="0"/>
                      <w:color w:val="auto"/>
                      <w:sz w:val="20"/>
                    </w:rPr>
                    <w:t>Cromatogramas obtidos por HPLC do padrão Hidroxitirosol</w:t>
                  </w:r>
                  <w:r>
                    <w:rPr>
                      <w:rFonts w:ascii="Times New Roman" w:hAnsi="Times New Roman"/>
                      <w:b w:val="0"/>
                      <w:color w:val="auto"/>
                      <w:sz w:val="20"/>
                    </w:rPr>
                    <w:t xml:space="preserve"> à concentração de 0,2mg/mL (A)</w:t>
                  </w:r>
                  <w:r w:rsidRPr="00DA210A">
                    <w:rPr>
                      <w:rFonts w:ascii="Times New Roman" w:hAnsi="Times New Roman"/>
                      <w:b w:val="0"/>
                      <w:color w:val="auto"/>
                      <w:sz w:val="20"/>
                    </w:rPr>
                    <w:t>, e dos extractos EB</w:t>
                  </w:r>
                  <w:r>
                    <w:rPr>
                      <w:rFonts w:ascii="Times New Roman" w:hAnsi="Times New Roman"/>
                      <w:b w:val="0"/>
                      <w:color w:val="auto"/>
                      <w:sz w:val="20"/>
                    </w:rPr>
                    <w:t xml:space="preserve"> (B)</w:t>
                  </w:r>
                  <w:r w:rsidRPr="00DA210A">
                    <w:rPr>
                      <w:rFonts w:ascii="Times New Roman" w:hAnsi="Times New Roman"/>
                      <w:b w:val="0"/>
                      <w:color w:val="auto"/>
                      <w:sz w:val="20"/>
                    </w:rPr>
                    <w:t>, ERC</w:t>
                  </w:r>
                  <w:r>
                    <w:rPr>
                      <w:rFonts w:ascii="Times New Roman" w:hAnsi="Times New Roman"/>
                      <w:b w:val="0"/>
                      <w:color w:val="auto"/>
                      <w:sz w:val="20"/>
                    </w:rPr>
                    <w:t xml:space="preserve"> (C)</w:t>
                  </w:r>
                  <w:r w:rsidRPr="00DA210A">
                    <w:rPr>
                      <w:rFonts w:ascii="Times New Roman" w:hAnsi="Times New Roman"/>
                      <w:b w:val="0"/>
                      <w:color w:val="auto"/>
                      <w:sz w:val="20"/>
                    </w:rPr>
                    <w:t xml:space="preserve"> e EPC</w:t>
                  </w:r>
                  <w:r>
                    <w:rPr>
                      <w:rFonts w:ascii="Times New Roman" w:hAnsi="Times New Roman"/>
                      <w:b w:val="0"/>
                      <w:color w:val="auto"/>
                      <w:sz w:val="20"/>
                    </w:rPr>
                    <w:t xml:space="preserve"> (D). </w:t>
                  </w:r>
                </w:p>
              </w:txbxContent>
            </v:textbox>
            <w10:wrap type="tight"/>
          </v:shape>
        </w:pict>
      </w:r>
      <w:r w:rsidR="006737F5">
        <w:rPr>
          <w:rFonts w:ascii="Times New Roman" w:hAnsi="Times New Roman"/>
          <w:noProof/>
          <w:sz w:val="24"/>
          <w:szCs w:val="24"/>
          <w:lang w:eastAsia="pt-PT"/>
        </w:rPr>
        <w:drawing>
          <wp:anchor distT="0" distB="0" distL="114300" distR="114300" simplePos="0" relativeHeight="251705344" behindDoc="1" locked="0" layoutInCell="1" allowOverlap="1">
            <wp:simplePos x="0" y="0"/>
            <wp:positionH relativeFrom="column">
              <wp:posOffset>2634615</wp:posOffset>
            </wp:positionH>
            <wp:positionV relativeFrom="paragraph">
              <wp:posOffset>113665</wp:posOffset>
            </wp:positionV>
            <wp:extent cx="3067050" cy="2076450"/>
            <wp:effectExtent l="19050" t="0" r="0" b="0"/>
            <wp:wrapTight wrapText="bothSides">
              <wp:wrapPolygon edited="0">
                <wp:start x="-134" y="0"/>
                <wp:lineTo x="-134" y="21402"/>
                <wp:lineTo x="21600" y="21402"/>
                <wp:lineTo x="21600" y="0"/>
                <wp:lineTo x="-134" y="0"/>
              </wp:wrapPolygon>
            </wp:wrapTight>
            <wp:docPr id="2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lum contrast="10000"/>
                    </a:blip>
                    <a:srcRect l="2007" t="2622" r="33847" b="2247"/>
                    <a:stretch>
                      <a:fillRect/>
                    </a:stretch>
                  </pic:blipFill>
                  <pic:spPr bwMode="auto">
                    <a:xfrm>
                      <a:off x="0" y="0"/>
                      <a:ext cx="3067050" cy="2076450"/>
                    </a:xfrm>
                    <a:prstGeom prst="rect">
                      <a:avLst/>
                    </a:prstGeom>
                    <a:noFill/>
                    <a:ln w="9525">
                      <a:noFill/>
                      <a:miter lim="800000"/>
                      <a:headEnd/>
                      <a:tailEnd/>
                    </a:ln>
                  </pic:spPr>
                </pic:pic>
              </a:graphicData>
            </a:graphic>
          </wp:anchor>
        </w:drawing>
      </w:r>
      <w:r w:rsidR="006737F5">
        <w:rPr>
          <w:rFonts w:ascii="Times New Roman" w:hAnsi="Times New Roman"/>
          <w:noProof/>
          <w:sz w:val="24"/>
          <w:szCs w:val="24"/>
          <w:lang w:eastAsia="pt-PT"/>
        </w:rPr>
        <w:drawing>
          <wp:anchor distT="0" distB="0" distL="114300" distR="114300" simplePos="0" relativeHeight="251704320" behindDoc="1" locked="0" layoutInCell="1" allowOverlap="1">
            <wp:simplePos x="0" y="0"/>
            <wp:positionH relativeFrom="column">
              <wp:posOffset>-489585</wp:posOffset>
            </wp:positionH>
            <wp:positionV relativeFrom="paragraph">
              <wp:posOffset>113665</wp:posOffset>
            </wp:positionV>
            <wp:extent cx="3048000" cy="2076450"/>
            <wp:effectExtent l="19050" t="0" r="0" b="0"/>
            <wp:wrapTight wrapText="bothSides">
              <wp:wrapPolygon edited="0">
                <wp:start x="-135" y="0"/>
                <wp:lineTo x="-135" y="21402"/>
                <wp:lineTo x="21600" y="21402"/>
                <wp:lineTo x="21600" y="0"/>
                <wp:lineTo x="-135" y="0"/>
              </wp:wrapPolygon>
            </wp:wrapTight>
            <wp:docPr id="2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lum contrast="10000"/>
                    </a:blip>
                    <a:srcRect l="882" t="4386" r="28500"/>
                    <a:stretch>
                      <a:fillRect/>
                    </a:stretch>
                  </pic:blipFill>
                  <pic:spPr bwMode="auto">
                    <a:xfrm>
                      <a:off x="0" y="0"/>
                      <a:ext cx="3048000" cy="2076450"/>
                    </a:xfrm>
                    <a:prstGeom prst="rect">
                      <a:avLst/>
                    </a:prstGeom>
                    <a:noFill/>
                    <a:ln w="9525">
                      <a:noFill/>
                      <a:miter lim="800000"/>
                      <a:headEnd/>
                      <a:tailEnd/>
                    </a:ln>
                  </pic:spPr>
                </pic:pic>
              </a:graphicData>
            </a:graphic>
          </wp:anchor>
        </w:drawing>
      </w:r>
      <w:r w:rsidR="00A02571">
        <w:rPr>
          <w:rFonts w:ascii="Times New Roman" w:hAnsi="Times New Roman"/>
          <w:sz w:val="24"/>
          <w:szCs w:val="24"/>
        </w:rPr>
        <w:t>Através do cromatograma de BAE co-injectado com Hidroxitirosol</w:t>
      </w:r>
      <w:r w:rsidR="008D6F92">
        <w:rPr>
          <w:rFonts w:ascii="Times New Roman" w:hAnsi="Times New Roman"/>
          <w:sz w:val="24"/>
          <w:szCs w:val="24"/>
        </w:rPr>
        <w:t xml:space="preserve"> </w:t>
      </w:r>
      <w:r w:rsidR="00A02571">
        <w:rPr>
          <w:rFonts w:ascii="Times New Roman" w:hAnsi="Times New Roman"/>
          <w:sz w:val="24"/>
          <w:szCs w:val="24"/>
        </w:rPr>
        <w:t>(100</w:t>
      </w:r>
      <w:r w:rsidR="00A02571">
        <w:rPr>
          <w:sz w:val="24"/>
          <w:szCs w:val="24"/>
        </w:rPr>
        <w:t>µ</w:t>
      </w:r>
      <w:r w:rsidR="008D6F92">
        <w:rPr>
          <w:rFonts w:ascii="Times New Roman" w:hAnsi="Times New Roman"/>
          <w:sz w:val="24"/>
          <w:szCs w:val="24"/>
        </w:rPr>
        <w:t>g/mL) (F</w:t>
      </w:r>
      <w:r w:rsidR="00A02571">
        <w:rPr>
          <w:rFonts w:ascii="Times New Roman" w:hAnsi="Times New Roman"/>
          <w:sz w:val="24"/>
          <w:szCs w:val="24"/>
        </w:rPr>
        <w:t xml:space="preserve">igura 17 (B)), confirma-se a presença deste fenol de interesse neste subproduto da produção de azeite, verificada pelo aumento significativo do pico no tempo de retenção </w:t>
      </w:r>
      <w:r w:rsidR="008D6F92">
        <w:rPr>
          <w:rFonts w:ascii="Times New Roman" w:hAnsi="Times New Roman"/>
          <w:sz w:val="24"/>
          <w:szCs w:val="24"/>
        </w:rPr>
        <w:t>relativo</w:t>
      </w:r>
      <w:r w:rsidR="00A02571">
        <w:rPr>
          <w:rFonts w:ascii="Times New Roman" w:hAnsi="Times New Roman"/>
          <w:sz w:val="24"/>
          <w:szCs w:val="24"/>
        </w:rPr>
        <w:t xml:space="preserve"> ao composto fenólico em questão. </w:t>
      </w:r>
      <w:r w:rsidR="006737F5">
        <w:rPr>
          <w:rFonts w:ascii="Times New Roman" w:hAnsi="Times New Roman"/>
          <w:sz w:val="24"/>
          <w:szCs w:val="24"/>
        </w:rPr>
        <w:t xml:space="preserve">Na observação dos cromatogramas verifica-se que a identificação da presença do composto fenólico Hidroxitirosol em cada um dos extractos </w:t>
      </w:r>
      <w:r w:rsidR="00F84D22">
        <w:rPr>
          <w:rFonts w:ascii="Times New Roman" w:hAnsi="Times New Roman"/>
          <w:sz w:val="24"/>
          <w:szCs w:val="24"/>
        </w:rPr>
        <w:t>(</w:t>
      </w:r>
      <w:r w:rsidR="008D6F92">
        <w:rPr>
          <w:rFonts w:ascii="Times New Roman" w:hAnsi="Times New Roman"/>
          <w:sz w:val="24"/>
          <w:szCs w:val="24"/>
        </w:rPr>
        <w:t>Figura 18 (</w:t>
      </w:r>
      <w:r w:rsidR="00F84D22">
        <w:rPr>
          <w:rFonts w:ascii="Times New Roman" w:hAnsi="Times New Roman"/>
          <w:sz w:val="24"/>
          <w:szCs w:val="24"/>
        </w:rPr>
        <w:t>B, C e D)</w:t>
      </w:r>
      <w:r w:rsidR="008D6F92">
        <w:rPr>
          <w:rFonts w:ascii="Times New Roman" w:hAnsi="Times New Roman"/>
          <w:sz w:val="24"/>
          <w:szCs w:val="24"/>
        </w:rPr>
        <w:t>)</w:t>
      </w:r>
      <w:r w:rsidR="00F84D22">
        <w:rPr>
          <w:rFonts w:ascii="Times New Roman" w:hAnsi="Times New Roman"/>
          <w:sz w:val="24"/>
          <w:szCs w:val="24"/>
        </w:rPr>
        <w:t xml:space="preserve"> </w:t>
      </w:r>
      <w:r w:rsidR="006737F5">
        <w:rPr>
          <w:rFonts w:ascii="Times New Roman" w:hAnsi="Times New Roman"/>
          <w:sz w:val="24"/>
          <w:szCs w:val="24"/>
        </w:rPr>
        <w:t xml:space="preserve">é evidente pela semelhança dos valores de tempos de retenção (RT) </w:t>
      </w:r>
      <w:r w:rsidR="003F354F">
        <w:rPr>
          <w:rFonts w:ascii="Times New Roman" w:hAnsi="Times New Roman"/>
          <w:sz w:val="24"/>
          <w:szCs w:val="24"/>
        </w:rPr>
        <w:t xml:space="preserve">em cada cromatograma, </w:t>
      </w:r>
      <w:r w:rsidR="006737F5">
        <w:rPr>
          <w:rFonts w:ascii="Times New Roman" w:hAnsi="Times New Roman"/>
          <w:sz w:val="24"/>
          <w:szCs w:val="24"/>
        </w:rPr>
        <w:t>correspondendo ao fenol de interesse</w:t>
      </w:r>
      <w:r w:rsidR="00F84D22">
        <w:rPr>
          <w:rFonts w:ascii="Times New Roman" w:hAnsi="Times New Roman"/>
          <w:sz w:val="24"/>
          <w:szCs w:val="24"/>
        </w:rPr>
        <w:t xml:space="preserve"> (A)</w:t>
      </w:r>
      <w:r w:rsidR="006737F5">
        <w:rPr>
          <w:rFonts w:ascii="Times New Roman" w:hAnsi="Times New Roman"/>
          <w:sz w:val="24"/>
          <w:szCs w:val="24"/>
        </w:rPr>
        <w:t>, com diferenças nas áreas dos picos, que correspondem à diferente concentração deste fenol prese</w:t>
      </w:r>
      <w:r w:rsidR="008D6F92">
        <w:rPr>
          <w:rFonts w:ascii="Times New Roman" w:hAnsi="Times New Roman"/>
          <w:sz w:val="24"/>
          <w:szCs w:val="24"/>
        </w:rPr>
        <w:t>nte em cada extracto</w:t>
      </w:r>
      <w:r w:rsidR="006737F5">
        <w:rPr>
          <w:rFonts w:ascii="Times New Roman" w:hAnsi="Times New Roman"/>
          <w:sz w:val="24"/>
          <w:szCs w:val="24"/>
        </w:rPr>
        <w:t xml:space="preserve">. </w:t>
      </w:r>
      <w:r>
        <w:rPr>
          <w:rFonts w:ascii="Times New Roman" w:hAnsi="Times New Roman"/>
          <w:noProof/>
          <w:sz w:val="24"/>
          <w:szCs w:val="24"/>
          <w:lang w:eastAsia="pt-PT"/>
        </w:rPr>
        <w:pict>
          <v:oval id="_x0000_s1066" style="position:absolute;left:0;text-align:left;margin-left:-166.45pt;margin-top:13.8pt;width:19.45pt;height:73.35pt;z-index:251714560;mso-position-horizontal-relative:text;mso-position-vertical-relative:text" filled="f" strokecolor="#002060"/>
        </w:pict>
      </w:r>
    </w:p>
    <w:p w:rsidR="006737F5" w:rsidRDefault="006737F5" w:rsidP="006737F5">
      <w:pPr>
        <w:ind w:firstLine="708"/>
        <w:jc w:val="both"/>
        <w:rPr>
          <w:rFonts w:ascii="Times New Roman" w:hAnsi="Times New Roman"/>
          <w:sz w:val="24"/>
          <w:szCs w:val="24"/>
        </w:rPr>
      </w:pPr>
    </w:p>
    <w:p w:rsidR="006737F5" w:rsidRPr="00E60771" w:rsidRDefault="006737F5" w:rsidP="006737F5">
      <w:pPr>
        <w:ind w:firstLine="708"/>
        <w:jc w:val="both"/>
        <w:rPr>
          <w:rFonts w:ascii="Times New Roman" w:hAnsi="Times New Roman"/>
          <w:sz w:val="24"/>
          <w:szCs w:val="24"/>
        </w:rPr>
      </w:pPr>
    </w:p>
    <w:p w:rsidR="00C70395" w:rsidRPr="0044624B" w:rsidRDefault="007B02FE" w:rsidP="00C70395">
      <w:pPr>
        <w:jc w:val="center"/>
        <w:rPr>
          <w:rFonts w:ascii="Times New Roman" w:hAnsi="Times New Roman"/>
          <w:sz w:val="24"/>
          <w:szCs w:val="24"/>
        </w:rPr>
      </w:pPr>
      <w:r w:rsidRPr="007B02FE">
        <w:rPr>
          <w:rFonts w:ascii="Times New Roman" w:hAnsi="Times New Roman"/>
          <w:b/>
          <w:noProof/>
          <w:sz w:val="32"/>
          <w:szCs w:val="28"/>
          <w:lang w:eastAsia="pt-PT"/>
        </w:rPr>
        <w:pict>
          <v:shape id="_x0000_s1141" type="#_x0000_t202" style="position:absolute;left:0;text-align:left;margin-left:312.4pt;margin-top:90.85pt;width:33pt;height:22.5pt;z-index:251793408" filled="f" stroked="f">
            <v:textbox style="mso-next-textbox:#_x0000_s1141">
              <w:txbxContent>
                <w:p w:rsidR="00B766F9" w:rsidRPr="002511C2" w:rsidRDefault="00B766F9" w:rsidP="00C70395">
                  <w:pPr>
                    <w:rPr>
                      <w:rFonts w:ascii="Times New Roman" w:hAnsi="Times New Roman"/>
                    </w:rPr>
                  </w:pPr>
                  <w:r>
                    <w:rPr>
                      <w:rFonts w:ascii="Times New Roman" w:hAnsi="Times New Roman"/>
                    </w:rPr>
                    <w:t>c</w:t>
                  </w:r>
                </w:p>
              </w:txbxContent>
            </v:textbox>
          </v:shape>
        </w:pict>
      </w:r>
      <w:r w:rsidRPr="007B02FE">
        <w:rPr>
          <w:rFonts w:ascii="Times New Roman" w:hAnsi="Times New Roman"/>
          <w:b/>
          <w:noProof/>
          <w:sz w:val="32"/>
          <w:szCs w:val="28"/>
          <w:lang w:eastAsia="pt-PT"/>
        </w:rPr>
        <w:pict>
          <v:oval id="_x0000_s1140" style="position:absolute;left:0;text-align:left;margin-left:299.85pt;margin-top:113.2pt;width:46.5pt;height:68.15pt;z-index:251792384" filled="f" strokecolor="red" strokeweight="1pt">
            <v:stroke dashstyle="dash"/>
          </v:oval>
        </w:pict>
      </w:r>
      <w:r w:rsidRPr="007B02FE">
        <w:rPr>
          <w:rFonts w:ascii="Times New Roman" w:hAnsi="Times New Roman"/>
          <w:b/>
          <w:noProof/>
          <w:sz w:val="32"/>
          <w:szCs w:val="28"/>
          <w:lang w:eastAsia="pt-PT"/>
        </w:rPr>
        <w:pict>
          <v:shape id="_x0000_s1142" type="#_x0000_t202" style="position:absolute;left:0;text-align:left;margin-left:231.5pt;margin-top:-4.55pt;width:33pt;height:29.95pt;z-index:251794432" filled="f" stroked="f">
            <v:textbox style="mso-next-textbox:#_x0000_s1142">
              <w:txbxContent>
                <w:p w:rsidR="00B766F9" w:rsidRPr="002511C2" w:rsidRDefault="00B766F9" w:rsidP="00C70395">
                  <w:pPr>
                    <w:rPr>
                      <w:rFonts w:ascii="Times New Roman" w:hAnsi="Times New Roman"/>
                    </w:rPr>
                  </w:pPr>
                  <w:r>
                    <w:rPr>
                      <w:rFonts w:ascii="Times New Roman" w:hAnsi="Times New Roman"/>
                    </w:rPr>
                    <w:t>a</w:t>
                  </w:r>
                </w:p>
              </w:txbxContent>
            </v:textbox>
          </v:shape>
        </w:pict>
      </w:r>
      <w:r w:rsidRPr="007B02FE">
        <w:rPr>
          <w:rFonts w:ascii="Times New Roman" w:hAnsi="Times New Roman"/>
          <w:b/>
          <w:noProof/>
          <w:sz w:val="32"/>
          <w:szCs w:val="28"/>
          <w:lang w:eastAsia="pt-PT"/>
        </w:rPr>
        <w:pict>
          <v:shape id="_x0000_s1143" type="#_x0000_t202" style="position:absolute;left:0;text-align:left;margin-left:150.75pt;margin-top:9.5pt;width:24pt;height:23.95pt;z-index:251795456" filled="f" stroked="f">
            <v:textbox style="mso-next-textbox:#_x0000_s1143">
              <w:txbxContent>
                <w:p w:rsidR="00B766F9" w:rsidRPr="002511C2" w:rsidRDefault="00B766F9" w:rsidP="00C70395">
                  <w:pPr>
                    <w:rPr>
                      <w:rFonts w:ascii="Times New Roman" w:hAnsi="Times New Roman"/>
                    </w:rPr>
                  </w:pPr>
                  <w:r>
                    <w:rPr>
                      <w:rFonts w:ascii="Times New Roman" w:hAnsi="Times New Roman"/>
                    </w:rPr>
                    <w:t>b</w:t>
                  </w:r>
                </w:p>
              </w:txbxContent>
            </v:textbox>
          </v:shape>
        </w:pict>
      </w:r>
      <w:r>
        <w:rPr>
          <w:rFonts w:ascii="Times New Roman" w:hAnsi="Times New Roman"/>
          <w:noProof/>
          <w:sz w:val="24"/>
          <w:szCs w:val="24"/>
          <w:lang w:eastAsia="pt-PT"/>
        </w:rPr>
        <w:pict>
          <v:shape id="_x0000_s1146" type="#_x0000_t202" style="position:absolute;left:0;text-align:left;margin-left:139.15pt;margin-top:39.95pt;width:47.3pt;height:26.85pt;z-index:251798528;mso-width-relative:margin;mso-height-relative:margin" filled="f" stroked="f">
            <v:textbox style="mso-next-textbox:#_x0000_s1146">
              <w:txbxContent>
                <w:p w:rsidR="00B766F9" w:rsidRPr="0044624B" w:rsidRDefault="00B766F9" w:rsidP="00C70395">
                  <w:pPr>
                    <w:rPr>
                      <w:b/>
                    </w:rPr>
                  </w:pPr>
                  <w:r>
                    <w:rPr>
                      <w:b/>
                    </w:rPr>
                    <w:t>0,247</w:t>
                  </w:r>
                </w:p>
              </w:txbxContent>
            </v:textbox>
          </v:shape>
        </w:pict>
      </w:r>
      <w:r>
        <w:rPr>
          <w:rFonts w:ascii="Times New Roman" w:hAnsi="Times New Roman"/>
          <w:noProof/>
          <w:sz w:val="24"/>
          <w:szCs w:val="24"/>
          <w:lang w:eastAsia="pt-PT"/>
        </w:rPr>
        <w:pict>
          <v:shape id="_x0000_s1145" type="#_x0000_t202" style="position:absolute;left:0;text-align:left;margin-left:220.95pt;margin-top:29.95pt;width:47.3pt;height:26.85pt;z-index:251797504;mso-width-relative:margin;mso-height-relative:margin" filled="f" stroked="f">
            <v:textbox style="mso-next-textbox:#_x0000_s1145">
              <w:txbxContent>
                <w:p w:rsidR="00B766F9" w:rsidRPr="0044624B" w:rsidRDefault="00B766F9" w:rsidP="00C70395">
                  <w:pPr>
                    <w:rPr>
                      <w:b/>
                    </w:rPr>
                  </w:pPr>
                  <w:r>
                    <w:rPr>
                      <w:b/>
                    </w:rPr>
                    <w:t>0,271</w:t>
                  </w:r>
                </w:p>
              </w:txbxContent>
            </v:textbox>
          </v:shape>
        </w:pict>
      </w:r>
      <w:r w:rsidRPr="007B02FE">
        <w:rPr>
          <w:rFonts w:asciiTheme="minorHAnsi" w:hAnsiTheme="minorHAnsi"/>
          <w:noProof/>
        </w:rPr>
        <w:pict>
          <v:shape id="_x0000_s1144" type="#_x0000_t202" style="position:absolute;left:0;text-align:left;margin-left:301.15pt;margin-top:124.4pt;width:47.3pt;height:26.85pt;z-index:251796480;mso-width-relative:margin;mso-height-relative:margin" filled="f" stroked="f">
            <v:textbox style="mso-next-textbox:#_x0000_s1144">
              <w:txbxContent>
                <w:p w:rsidR="00B766F9" w:rsidRPr="0044624B" w:rsidRDefault="00B766F9" w:rsidP="00C70395">
                  <w:pPr>
                    <w:rPr>
                      <w:b/>
                    </w:rPr>
                  </w:pPr>
                  <w:r w:rsidRPr="0044624B">
                    <w:rPr>
                      <w:b/>
                    </w:rPr>
                    <w:t>0,070</w:t>
                  </w:r>
                </w:p>
              </w:txbxContent>
            </v:textbox>
          </v:shape>
        </w:pict>
      </w:r>
      <w:r w:rsidR="00C70395" w:rsidRPr="00033EAE">
        <w:rPr>
          <w:noProof/>
          <w:lang w:eastAsia="pt-PT"/>
        </w:rPr>
        <w:drawing>
          <wp:inline distT="0" distB="0" distL="0" distR="0">
            <wp:extent cx="4047214" cy="2305878"/>
            <wp:effectExtent l="0" t="0" r="0" b="0"/>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70395" w:rsidRDefault="00C70395" w:rsidP="00C70395">
      <w:pPr>
        <w:pStyle w:val="Legenda"/>
        <w:jc w:val="both"/>
        <w:rPr>
          <w:rFonts w:ascii="Times New Roman" w:hAnsi="Times New Roman"/>
          <w:b w:val="0"/>
          <w:color w:val="auto"/>
          <w:sz w:val="20"/>
        </w:rPr>
      </w:pPr>
      <w:r w:rsidRPr="00B06D6E">
        <w:rPr>
          <w:rFonts w:ascii="Times New Roman" w:hAnsi="Times New Roman"/>
          <w:sz w:val="20"/>
        </w:rPr>
        <w:t xml:space="preserve">Figura </w:t>
      </w:r>
      <w:r>
        <w:rPr>
          <w:rFonts w:ascii="Times New Roman" w:hAnsi="Times New Roman"/>
          <w:sz w:val="20"/>
        </w:rPr>
        <w:t>19</w:t>
      </w:r>
      <w:r w:rsidRPr="00B06D6E">
        <w:rPr>
          <w:rFonts w:ascii="Times New Roman" w:hAnsi="Times New Roman"/>
          <w:sz w:val="20"/>
        </w:rPr>
        <w:t xml:space="preserve"> - </w:t>
      </w:r>
      <w:r>
        <w:rPr>
          <w:rFonts w:ascii="Times New Roman" w:hAnsi="Times New Roman"/>
          <w:b w:val="0"/>
          <w:color w:val="auto"/>
          <w:sz w:val="20"/>
        </w:rPr>
        <w:t>C</w:t>
      </w:r>
      <w:r w:rsidRPr="00892653">
        <w:rPr>
          <w:rFonts w:ascii="Times New Roman" w:hAnsi="Times New Roman"/>
          <w:b w:val="0"/>
          <w:color w:val="auto"/>
          <w:sz w:val="20"/>
        </w:rPr>
        <w:t xml:space="preserve">oncentração de </w:t>
      </w:r>
      <w:r>
        <w:rPr>
          <w:rFonts w:ascii="Times New Roman" w:hAnsi="Times New Roman"/>
          <w:b w:val="0"/>
          <w:color w:val="auto"/>
          <w:sz w:val="20"/>
        </w:rPr>
        <w:t>Hidroxitirosol</w:t>
      </w:r>
      <w:r w:rsidRPr="00892653">
        <w:rPr>
          <w:rFonts w:ascii="Times New Roman" w:hAnsi="Times New Roman"/>
          <w:b w:val="0"/>
          <w:color w:val="auto"/>
          <w:sz w:val="20"/>
        </w:rPr>
        <w:t xml:space="preserve"> presente em cada um dos extractos</w:t>
      </w:r>
      <w:r>
        <w:rPr>
          <w:rFonts w:ascii="Times New Roman" w:hAnsi="Times New Roman"/>
          <w:b w:val="0"/>
          <w:color w:val="auto"/>
          <w:sz w:val="20"/>
        </w:rPr>
        <w:t xml:space="preserve"> aquosos concentrados</w:t>
      </w:r>
      <w:r w:rsidRPr="00892653">
        <w:rPr>
          <w:rFonts w:ascii="Times New Roman" w:hAnsi="Times New Roman"/>
          <w:b w:val="0"/>
          <w:color w:val="auto"/>
          <w:sz w:val="20"/>
        </w:rPr>
        <w:t xml:space="preserve"> </w:t>
      </w:r>
      <w:r>
        <w:rPr>
          <w:rFonts w:ascii="Times New Roman" w:hAnsi="Times New Roman"/>
          <w:b w:val="0"/>
          <w:color w:val="auto"/>
          <w:sz w:val="20"/>
        </w:rPr>
        <w:t xml:space="preserve">de </w:t>
      </w:r>
      <w:r w:rsidRPr="00892653">
        <w:rPr>
          <w:rFonts w:ascii="Times New Roman" w:hAnsi="Times New Roman"/>
          <w:b w:val="0"/>
          <w:color w:val="auto"/>
          <w:sz w:val="20"/>
        </w:rPr>
        <w:t>BAE: EPC, ERC e EB. Destaque para o ERC que demo</w:t>
      </w:r>
      <w:r>
        <w:rPr>
          <w:rFonts w:ascii="Times New Roman" w:hAnsi="Times New Roman"/>
          <w:b w:val="0"/>
          <w:color w:val="auto"/>
          <w:sz w:val="20"/>
        </w:rPr>
        <w:t>n</w:t>
      </w:r>
      <w:r w:rsidRPr="00892653">
        <w:rPr>
          <w:rFonts w:ascii="Times New Roman" w:hAnsi="Times New Roman"/>
          <w:b w:val="0"/>
          <w:color w:val="auto"/>
          <w:sz w:val="20"/>
        </w:rPr>
        <w:t>strou a maior con</w:t>
      </w:r>
      <w:r>
        <w:rPr>
          <w:rFonts w:ascii="Times New Roman" w:hAnsi="Times New Roman"/>
          <w:b w:val="0"/>
          <w:color w:val="auto"/>
          <w:sz w:val="20"/>
        </w:rPr>
        <w:t xml:space="preserve">centração em Hidroxitirosol de entre os três extractos, e para o EPC </w:t>
      </w:r>
      <w:r w:rsidRPr="00892653">
        <w:rPr>
          <w:rFonts w:ascii="Times New Roman" w:hAnsi="Times New Roman"/>
          <w:b w:val="0"/>
          <w:color w:val="auto"/>
          <w:sz w:val="20"/>
        </w:rPr>
        <w:t>que apresentou a menor concentração</w:t>
      </w:r>
      <w:r>
        <w:rPr>
          <w:rFonts w:ascii="Times New Roman" w:hAnsi="Times New Roman"/>
          <w:b w:val="0"/>
          <w:color w:val="auto"/>
          <w:sz w:val="20"/>
        </w:rPr>
        <w:t xml:space="preserve"> deste fenol</w:t>
      </w:r>
      <w:r w:rsidRPr="00892653">
        <w:rPr>
          <w:rFonts w:ascii="Times New Roman" w:hAnsi="Times New Roman"/>
          <w:b w:val="0"/>
          <w:color w:val="auto"/>
          <w:sz w:val="20"/>
        </w:rPr>
        <w:t>.</w:t>
      </w:r>
      <w:r>
        <w:rPr>
          <w:rFonts w:ascii="Times New Roman" w:hAnsi="Times New Roman"/>
          <w:b w:val="0"/>
          <w:color w:val="auto"/>
          <w:sz w:val="20"/>
        </w:rPr>
        <w:t xml:space="preserve"> </w:t>
      </w:r>
      <w:r w:rsidRPr="000B09CD">
        <w:rPr>
          <w:rFonts w:ascii="Times New Roman" w:hAnsi="Times New Roman"/>
          <w:b w:val="0"/>
          <w:color w:val="auto"/>
          <w:sz w:val="20"/>
        </w:rPr>
        <w:t>Os valores vêm afectados dos erros padrões médios, obtidos pelos triplicados efectuados</w:t>
      </w:r>
      <w:r>
        <w:rPr>
          <w:rFonts w:ascii="Times New Roman" w:hAnsi="Times New Roman"/>
          <w:b w:val="0"/>
          <w:color w:val="auto"/>
          <w:sz w:val="20"/>
        </w:rPr>
        <w:t xml:space="preserve"> de cada extracto independentemente. Grupos com</w:t>
      </w:r>
      <w:r w:rsidRPr="000B09CD">
        <w:rPr>
          <w:rFonts w:ascii="Times New Roman" w:hAnsi="Times New Roman"/>
          <w:b w:val="0"/>
          <w:color w:val="auto"/>
          <w:sz w:val="20"/>
        </w:rPr>
        <w:t xml:space="preserve"> letras </w:t>
      </w:r>
      <w:r>
        <w:rPr>
          <w:rFonts w:ascii="Times New Roman" w:hAnsi="Times New Roman"/>
          <w:b w:val="0"/>
          <w:color w:val="auto"/>
          <w:sz w:val="20"/>
        </w:rPr>
        <w:t xml:space="preserve">diferentes </w:t>
      </w:r>
      <w:r w:rsidRPr="000B09CD">
        <w:rPr>
          <w:rFonts w:ascii="Times New Roman" w:hAnsi="Times New Roman"/>
          <w:b w:val="0"/>
          <w:color w:val="auto"/>
          <w:sz w:val="20"/>
        </w:rPr>
        <w:t xml:space="preserve">são significativamente diferentes, </w:t>
      </w:r>
      <w:r w:rsidRPr="00C143CF">
        <w:rPr>
          <w:rFonts w:ascii="Times New Roman" w:hAnsi="Times New Roman"/>
          <w:b w:val="0"/>
          <w:i/>
          <w:color w:val="auto"/>
          <w:sz w:val="20"/>
        </w:rPr>
        <w:t>P</w:t>
      </w:r>
      <w:r w:rsidRPr="000B09CD">
        <w:rPr>
          <w:rFonts w:ascii="Times New Roman" w:hAnsi="Times New Roman"/>
          <w:b w:val="0"/>
          <w:color w:val="auto"/>
          <w:sz w:val="20"/>
        </w:rPr>
        <w:t xml:space="preserve"> &lt; 0,05.</w:t>
      </w:r>
    </w:p>
    <w:p w:rsidR="006737F5" w:rsidRPr="00BC504D" w:rsidRDefault="006737F5" w:rsidP="006737F5">
      <w:pPr>
        <w:jc w:val="both"/>
        <w:rPr>
          <w:rFonts w:ascii="Times New Roman" w:hAnsi="Times New Roman"/>
          <w:sz w:val="24"/>
          <w:szCs w:val="24"/>
        </w:rPr>
      </w:pPr>
    </w:p>
    <w:p w:rsidR="003F354F" w:rsidRDefault="006737F5" w:rsidP="006737F5">
      <w:pPr>
        <w:jc w:val="both"/>
        <w:rPr>
          <w:rFonts w:ascii="Times New Roman" w:hAnsi="Times New Roman"/>
          <w:sz w:val="24"/>
          <w:szCs w:val="24"/>
        </w:rPr>
      </w:pPr>
      <w:r w:rsidRPr="00BC504D">
        <w:rPr>
          <w:rFonts w:ascii="Times New Roman" w:hAnsi="Times New Roman"/>
          <w:sz w:val="24"/>
          <w:szCs w:val="24"/>
        </w:rPr>
        <w:tab/>
      </w:r>
      <w:r w:rsidR="003F354F">
        <w:rPr>
          <w:rFonts w:ascii="Times New Roman" w:hAnsi="Times New Roman"/>
          <w:sz w:val="24"/>
          <w:szCs w:val="24"/>
        </w:rPr>
        <w:t>De acordo com o</w:t>
      </w:r>
      <w:r w:rsidRPr="00BC504D">
        <w:rPr>
          <w:rFonts w:ascii="Times New Roman" w:hAnsi="Times New Roman"/>
          <w:sz w:val="24"/>
          <w:szCs w:val="24"/>
        </w:rPr>
        <w:t>s valores</w:t>
      </w:r>
      <w:r>
        <w:rPr>
          <w:rFonts w:ascii="Times New Roman" w:hAnsi="Times New Roman"/>
          <w:sz w:val="24"/>
          <w:szCs w:val="24"/>
        </w:rPr>
        <w:t xml:space="preserve"> </w:t>
      </w:r>
      <w:r w:rsidR="003F354F">
        <w:rPr>
          <w:rFonts w:ascii="Times New Roman" w:hAnsi="Times New Roman"/>
          <w:sz w:val="24"/>
          <w:szCs w:val="24"/>
        </w:rPr>
        <w:t xml:space="preserve">obtidos para a concentração </w:t>
      </w:r>
      <w:r>
        <w:rPr>
          <w:rFonts w:ascii="Times New Roman" w:hAnsi="Times New Roman"/>
          <w:sz w:val="24"/>
          <w:szCs w:val="24"/>
        </w:rPr>
        <w:t>de Hidroxitirosol apresentados o ERC</w:t>
      </w:r>
      <w:r w:rsidR="003F354F">
        <w:rPr>
          <w:rFonts w:ascii="Times New Roman" w:hAnsi="Times New Roman"/>
          <w:sz w:val="24"/>
          <w:szCs w:val="24"/>
        </w:rPr>
        <w:t xml:space="preserve"> (0,271mg/mL) é o mais concentrado</w:t>
      </w:r>
      <w:r>
        <w:rPr>
          <w:rFonts w:ascii="Times New Roman" w:hAnsi="Times New Roman"/>
          <w:sz w:val="24"/>
          <w:szCs w:val="24"/>
        </w:rPr>
        <w:t xml:space="preserve">, seguido do EB (0,247mg/mL), </w:t>
      </w:r>
      <w:r w:rsidR="006007E2">
        <w:rPr>
          <w:rFonts w:ascii="Times New Roman" w:hAnsi="Times New Roman"/>
          <w:sz w:val="24"/>
          <w:szCs w:val="24"/>
        </w:rPr>
        <w:t>e por fim do EPC (0,070mg/mL) (F</w:t>
      </w:r>
      <w:r>
        <w:rPr>
          <w:rFonts w:ascii="Times New Roman" w:hAnsi="Times New Roman"/>
          <w:sz w:val="24"/>
          <w:szCs w:val="24"/>
        </w:rPr>
        <w:t xml:space="preserve">igura 19). </w:t>
      </w:r>
      <w:r w:rsidR="003F354F" w:rsidRPr="000730D6">
        <w:rPr>
          <w:rFonts w:ascii="Times New Roman" w:hAnsi="Times New Roman"/>
          <w:sz w:val="24"/>
          <w:szCs w:val="24"/>
        </w:rPr>
        <w:t>A análise estatística mostra variações estatisticamente significativas (</w:t>
      </w:r>
      <w:r w:rsidR="003F354F" w:rsidRPr="000730D6">
        <w:rPr>
          <w:rFonts w:ascii="Times New Roman" w:hAnsi="Times New Roman"/>
          <w:i/>
          <w:sz w:val="24"/>
          <w:szCs w:val="24"/>
        </w:rPr>
        <w:t>P</w:t>
      </w:r>
      <w:r w:rsidR="003F354F" w:rsidRPr="000730D6">
        <w:rPr>
          <w:rFonts w:ascii="Times New Roman" w:hAnsi="Times New Roman"/>
          <w:sz w:val="24"/>
          <w:szCs w:val="24"/>
        </w:rPr>
        <w:t xml:space="preserve"> &lt; 0,05) para os três extractos em estudo, utilizando a comparação múltipla de médias, pelo teste de Tukey</w:t>
      </w:r>
      <w:r w:rsidR="006007E2">
        <w:rPr>
          <w:rFonts w:ascii="Times New Roman" w:hAnsi="Times New Roman"/>
          <w:sz w:val="24"/>
          <w:szCs w:val="24"/>
        </w:rPr>
        <w:t xml:space="preserve"> (Figura 19)</w:t>
      </w:r>
      <w:r w:rsidR="003F354F" w:rsidRPr="000730D6">
        <w:rPr>
          <w:rFonts w:ascii="Times New Roman" w:hAnsi="Times New Roman"/>
          <w:sz w:val="24"/>
          <w:szCs w:val="24"/>
        </w:rPr>
        <w:t>.</w:t>
      </w:r>
    </w:p>
    <w:p w:rsidR="006737F5" w:rsidRDefault="003F354F" w:rsidP="003F354F">
      <w:pPr>
        <w:ind w:firstLine="708"/>
        <w:jc w:val="both"/>
        <w:rPr>
          <w:rFonts w:ascii="Times New Roman" w:hAnsi="Times New Roman"/>
          <w:sz w:val="24"/>
          <w:szCs w:val="24"/>
        </w:rPr>
      </w:pPr>
      <w:r>
        <w:rPr>
          <w:rFonts w:ascii="Times New Roman" w:hAnsi="Times New Roman"/>
          <w:sz w:val="24"/>
          <w:szCs w:val="24"/>
        </w:rPr>
        <w:t xml:space="preserve">Com base na quantificação de Hidroxitirosol, foi possível determinar o rendimento do processo de </w:t>
      </w:r>
      <w:r w:rsidR="00171471">
        <w:rPr>
          <w:rFonts w:ascii="Times New Roman" w:hAnsi="Times New Roman"/>
          <w:sz w:val="24"/>
          <w:szCs w:val="24"/>
        </w:rPr>
        <w:t>separação por membranas</w:t>
      </w:r>
      <w:r w:rsidR="006737F5">
        <w:rPr>
          <w:rFonts w:ascii="Times New Roman" w:hAnsi="Times New Roman"/>
          <w:sz w:val="24"/>
          <w:szCs w:val="24"/>
        </w:rPr>
        <w:t xml:space="preserve">, </w:t>
      </w:r>
      <w:r w:rsidR="006737F5">
        <w:rPr>
          <w:rFonts w:ascii="Times New Roman" w:hAnsi="Times New Roman"/>
          <w:sz w:val="24"/>
          <w:lang w:eastAsia="pt-PT"/>
        </w:rPr>
        <w:t>pela seguinte equação:</w:t>
      </w:r>
    </w:p>
    <w:p w:rsidR="006737F5" w:rsidRPr="003D1E6C" w:rsidRDefault="006737F5" w:rsidP="006737F5">
      <w:pPr>
        <w:jc w:val="both"/>
        <w:rPr>
          <w:rFonts w:ascii="Times New Roman" w:hAnsi="Times New Roman"/>
          <w:sz w:val="24"/>
          <w:szCs w:val="24"/>
        </w:rPr>
      </w:pPr>
    </w:p>
    <w:p w:rsidR="006737F5" w:rsidRPr="00171471" w:rsidRDefault="006737F5" w:rsidP="006737F5">
      <w:pPr>
        <w:jc w:val="center"/>
        <w:rPr>
          <w:rFonts w:ascii="Times New Roman" w:hAnsi="Times New Roman"/>
          <w:lang w:eastAsia="pt-PT"/>
        </w:rPr>
      </w:pPr>
      <m:oMath>
        <m:r>
          <w:rPr>
            <w:rFonts w:ascii="Cambria Math" w:hAnsi="Cambria Math"/>
            <w:sz w:val="24"/>
          </w:rPr>
          <m:t xml:space="preserve">η </m:t>
        </m:r>
        <m:r>
          <m:rPr>
            <m:sty m:val="p"/>
          </m:rPr>
          <w:rPr>
            <w:rFonts w:ascii="Cambria Math" w:hAnsi="Cambria Math"/>
            <w:sz w:val="24"/>
          </w:rPr>
          <m:t xml:space="preserve">Processo de separação por membranas= </m:t>
        </m:r>
        <m:f>
          <m:fPr>
            <m:ctrlPr>
              <w:rPr>
                <w:rFonts w:ascii="Cambria Math" w:hAnsi="Cambria Math"/>
                <w:sz w:val="24"/>
              </w:rPr>
            </m:ctrlPr>
          </m:fPr>
          <m:num>
            <m:r>
              <m:rPr>
                <m:sty m:val="p"/>
              </m:rPr>
              <w:rPr>
                <w:rFonts w:ascii="Cambria Math" w:hAnsi="Cambria Math"/>
                <w:sz w:val="24"/>
              </w:rPr>
              <m:t xml:space="preserve">Concentração de Hidroxitirosol no EPC </m:t>
            </m:r>
          </m:num>
          <m:den>
            <m:r>
              <m:rPr>
                <m:sty m:val="p"/>
              </m:rPr>
              <w:rPr>
                <w:rFonts w:ascii="Cambria Math" w:hAnsi="Cambria Math"/>
                <w:sz w:val="24"/>
              </w:rPr>
              <m:t xml:space="preserve">Concentração de Hidroxitirosol no EB </m:t>
            </m:r>
          </m:den>
        </m:f>
        <m:r>
          <m:rPr>
            <m:sty m:val="p"/>
          </m:rPr>
          <w:rPr>
            <w:rFonts w:ascii="Cambria Math" w:hAnsi="Cambria Math"/>
            <w:sz w:val="24"/>
          </w:rPr>
          <m:t xml:space="preserve"> x 100</m:t>
        </m:r>
      </m:oMath>
      <w:r w:rsidRPr="00171471">
        <w:rPr>
          <w:rFonts w:ascii="Times New Roman" w:hAnsi="Times New Roman"/>
          <w:lang w:eastAsia="pt-PT"/>
        </w:rPr>
        <w:t xml:space="preserve"> </w:t>
      </w:r>
    </w:p>
    <w:p w:rsidR="006737F5" w:rsidRPr="00171471" w:rsidRDefault="006737F5" w:rsidP="006737F5">
      <w:pPr>
        <w:jc w:val="both"/>
        <w:rPr>
          <w:rFonts w:ascii="Times New Roman" w:hAnsi="Times New Roman"/>
          <w:szCs w:val="24"/>
        </w:rPr>
      </w:pPr>
    </w:p>
    <w:p w:rsidR="006737F5" w:rsidRDefault="006737F5" w:rsidP="006737F5">
      <w:pPr>
        <w:jc w:val="both"/>
        <w:rPr>
          <w:rFonts w:ascii="Times New Roman" w:hAnsi="Times New Roman"/>
          <w:sz w:val="24"/>
          <w:szCs w:val="24"/>
        </w:rPr>
      </w:pPr>
      <w:r>
        <w:rPr>
          <w:rFonts w:ascii="Times New Roman" w:hAnsi="Times New Roman"/>
          <w:sz w:val="24"/>
          <w:szCs w:val="24"/>
        </w:rPr>
        <w:t>O</w:t>
      </w:r>
      <w:r w:rsidR="003F354F" w:rsidRPr="003F354F">
        <w:rPr>
          <w:rFonts w:ascii="Times New Roman" w:hAnsi="Times New Roman"/>
          <w:sz w:val="24"/>
          <w:szCs w:val="24"/>
        </w:rPr>
        <w:t xml:space="preserve"> </w:t>
      </w:r>
      <w:r w:rsidR="003F354F">
        <w:rPr>
          <w:rFonts w:ascii="Times New Roman" w:hAnsi="Times New Roman"/>
          <w:sz w:val="24"/>
          <w:szCs w:val="24"/>
        </w:rPr>
        <w:t>valor de rendimento final do processo de nanofiltração foi de 28%</w:t>
      </w:r>
      <w:r>
        <w:rPr>
          <w:rFonts w:ascii="Times New Roman" w:hAnsi="Times New Roman"/>
          <w:sz w:val="24"/>
          <w:szCs w:val="24"/>
        </w:rPr>
        <w:t xml:space="preserve">. Seguidamente procedeu-se à avaliação do grau de pureza </w:t>
      </w:r>
      <w:r w:rsidR="003F354F">
        <w:rPr>
          <w:rFonts w:ascii="Times New Roman" w:hAnsi="Times New Roman"/>
          <w:sz w:val="24"/>
          <w:szCs w:val="24"/>
        </w:rPr>
        <w:t xml:space="preserve">em Hidroxitirosol para </w:t>
      </w:r>
      <w:r>
        <w:rPr>
          <w:rFonts w:ascii="Times New Roman" w:hAnsi="Times New Roman"/>
          <w:sz w:val="24"/>
          <w:szCs w:val="24"/>
        </w:rPr>
        <w:t xml:space="preserve">cada extracto, e a sua </w:t>
      </w:r>
      <w:r w:rsidR="003F354F">
        <w:rPr>
          <w:rFonts w:ascii="Times New Roman" w:hAnsi="Times New Roman"/>
          <w:sz w:val="24"/>
          <w:szCs w:val="24"/>
        </w:rPr>
        <w:t xml:space="preserve">respectiva </w:t>
      </w:r>
      <w:r>
        <w:rPr>
          <w:rFonts w:ascii="Times New Roman" w:hAnsi="Times New Roman"/>
          <w:sz w:val="24"/>
          <w:szCs w:val="24"/>
        </w:rPr>
        <w:t>percentagem presente na fracção fenólica, pelas seguintes equações:</w:t>
      </w:r>
    </w:p>
    <w:p w:rsidR="006737F5" w:rsidRDefault="006737F5" w:rsidP="006737F5">
      <w:pPr>
        <w:jc w:val="both"/>
        <w:rPr>
          <w:rFonts w:ascii="Times New Roman" w:hAnsi="Times New Roman"/>
          <w:sz w:val="24"/>
          <w:szCs w:val="24"/>
        </w:rPr>
      </w:pPr>
    </w:p>
    <w:p w:rsidR="006737F5" w:rsidRDefault="006737F5" w:rsidP="006737F5">
      <w:pPr>
        <w:jc w:val="center"/>
        <w:rPr>
          <w:rFonts w:ascii="Times New Roman" w:hAnsi="Times New Roman"/>
          <w:sz w:val="24"/>
          <w:szCs w:val="24"/>
        </w:rPr>
      </w:pPr>
      <m:oMathPara>
        <m:oMath>
          <m:r>
            <m:rPr>
              <m:sty m:val="p"/>
            </m:rPr>
            <w:rPr>
              <w:rFonts w:ascii="Cambria Math" w:hAnsi="Cambria Math"/>
            </w:rPr>
            <m:t>Grau de Pureza em HT=</m:t>
          </m:r>
          <m:f>
            <m:fPr>
              <m:ctrlPr>
                <w:rPr>
                  <w:rFonts w:ascii="Cambria Math" w:hAnsi="Cambria Math"/>
                </w:rPr>
              </m:ctrlPr>
            </m:fPr>
            <m:num>
              <m:r>
                <m:rPr>
                  <m:sty m:val="p"/>
                </m:rPr>
                <w:rPr>
                  <w:rFonts w:ascii="Cambria Math" w:hAnsi="Cambria Math"/>
                </w:rPr>
                <m:t>Concentração de Hidroxitirosol (</m:t>
              </m:r>
              <m:f>
                <m:fPr>
                  <m:type m:val="lin"/>
                  <m:ctrlPr>
                    <w:rPr>
                      <w:rFonts w:ascii="Cambria Math" w:hAnsi="Cambria Math"/>
                    </w:rPr>
                  </m:ctrlPr>
                </m:fPr>
                <m:num>
                  <m:r>
                    <m:rPr>
                      <m:sty m:val="p"/>
                    </m:rPr>
                    <w:rPr>
                      <w:rFonts w:ascii="Cambria Math" w:hAnsi="Cambria Math"/>
                    </w:rPr>
                    <m:t>mg</m:t>
                  </m:r>
                </m:num>
                <m:den>
                  <m:r>
                    <m:rPr>
                      <m:sty m:val="p"/>
                    </m:rPr>
                    <w:rPr>
                      <w:rFonts w:ascii="Cambria Math" w:hAnsi="Cambria Math"/>
                    </w:rPr>
                    <m:t>mL) na amostra</m:t>
                  </m:r>
                </m:den>
              </m:f>
            </m:num>
            <m:den>
              <m:r>
                <m:rPr>
                  <m:sty m:val="p"/>
                </m:rPr>
                <w:rPr>
                  <w:rFonts w:ascii="Cambria Math" w:hAnsi="Cambria Math"/>
                </w:rPr>
                <m:t>Concentração de extracto (</m:t>
              </m:r>
              <m:f>
                <m:fPr>
                  <m:type m:val="lin"/>
                  <m:ctrlPr>
                    <w:rPr>
                      <w:rFonts w:ascii="Cambria Math" w:hAnsi="Cambria Math"/>
                    </w:rPr>
                  </m:ctrlPr>
                </m:fPr>
                <m:num>
                  <m:r>
                    <m:rPr>
                      <m:sty m:val="p"/>
                    </m:rPr>
                    <w:rPr>
                      <w:rFonts w:ascii="Cambria Math" w:hAnsi="Cambria Math"/>
                    </w:rPr>
                    <m:t>mg</m:t>
                  </m:r>
                </m:num>
                <m:den>
                  <m:r>
                    <m:rPr>
                      <m:sty m:val="p"/>
                    </m:rPr>
                    <w:rPr>
                      <w:rFonts w:ascii="Cambria Math" w:hAnsi="Cambria Math"/>
                    </w:rPr>
                    <m:t>mL</m:t>
                  </m:r>
                </m:den>
              </m:f>
              <m:r>
                <m:rPr>
                  <m:sty m:val="p"/>
                </m:rPr>
                <w:rPr>
                  <w:rFonts w:ascii="Cambria Math" w:hAnsi="Cambria Math"/>
                </w:rPr>
                <m:t>)</m:t>
              </m:r>
            </m:den>
          </m:f>
          <m:r>
            <m:rPr>
              <m:sty m:val="p"/>
            </m:rPr>
            <w:rPr>
              <w:rFonts w:ascii="Cambria Math" w:hAnsi="Cambria Math"/>
            </w:rPr>
            <m:t xml:space="preserve"> ×100</m:t>
          </m:r>
        </m:oMath>
      </m:oMathPara>
    </w:p>
    <w:p w:rsidR="006737F5" w:rsidRDefault="006737F5" w:rsidP="006737F5">
      <w:pPr>
        <w:jc w:val="both"/>
        <w:rPr>
          <w:rFonts w:ascii="Times New Roman" w:hAnsi="Times New Roman"/>
          <w:sz w:val="24"/>
          <w:szCs w:val="24"/>
        </w:rPr>
      </w:pPr>
    </w:p>
    <w:p w:rsidR="006737F5" w:rsidRDefault="006737F5" w:rsidP="006737F5">
      <w:pPr>
        <w:jc w:val="both"/>
        <w:rPr>
          <w:rFonts w:ascii="Times New Roman" w:eastAsiaTheme="minorEastAsia" w:hAnsi="Times New Roman"/>
          <w:sz w:val="20"/>
        </w:rPr>
      </w:pPr>
      <m:oMathPara>
        <m:oMath>
          <m:r>
            <m:rPr>
              <m:sty m:val="p"/>
            </m:rPr>
            <w:rPr>
              <w:rFonts w:ascii="Cambria Math" w:hAnsi="Cambria Math"/>
              <w:sz w:val="20"/>
            </w:rPr>
            <w:lastRenderedPageBreak/>
            <m:t xml:space="preserve">Percentagem </m:t>
          </m:r>
          <m:d>
            <m:dPr>
              <m:ctrlPr>
                <w:rPr>
                  <w:rFonts w:ascii="Cambria Math" w:hAnsi="Cambria Math"/>
                  <w:sz w:val="20"/>
                </w:rPr>
              </m:ctrlPr>
            </m:dPr>
            <m:e>
              <m:r>
                <m:rPr>
                  <m:sty m:val="p"/>
                </m:rPr>
                <w:rPr>
                  <w:rFonts w:ascii="Cambria Math" w:hAnsi="Cambria Math"/>
                  <w:sz w:val="20"/>
                </w:rPr>
                <m:t>%</m:t>
              </m:r>
            </m:e>
          </m:d>
          <m:r>
            <m:rPr>
              <m:sty m:val="p"/>
            </m:rPr>
            <w:rPr>
              <w:rFonts w:ascii="Cambria Math" w:hAnsi="Cambria Math"/>
              <w:sz w:val="20"/>
            </w:rPr>
            <m:t xml:space="preserve"> em HT =</m:t>
          </m:r>
          <m:f>
            <m:fPr>
              <m:ctrlPr>
                <w:rPr>
                  <w:rFonts w:ascii="Cambria Math" w:hAnsi="Cambria Math"/>
                  <w:sz w:val="20"/>
                </w:rPr>
              </m:ctrlPr>
            </m:fPr>
            <m:num>
              <m:r>
                <m:rPr>
                  <m:sty m:val="p"/>
                </m:rPr>
                <w:rPr>
                  <w:rFonts w:ascii="Cambria Math" w:hAnsi="Cambria Math"/>
                  <w:sz w:val="20"/>
                </w:rPr>
                <m:t>Concentração de HT(</m:t>
              </m:r>
              <m:f>
                <m:fPr>
                  <m:type m:val="lin"/>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mL) na amostra</m:t>
                  </m:r>
                </m:den>
              </m:f>
            </m:num>
            <m:den>
              <m:r>
                <m:rPr>
                  <m:sty m:val="p"/>
                </m:rPr>
                <w:rPr>
                  <w:rFonts w:ascii="Cambria Math" w:hAnsi="Cambria Math"/>
                  <w:sz w:val="20"/>
                </w:rPr>
                <m:t>Concentração de fenóis totais em cada extracto(</m:t>
              </m:r>
              <m:f>
                <m:fPr>
                  <m:type m:val="lin"/>
                  <m:ctrlPr>
                    <w:rPr>
                      <w:rFonts w:ascii="Cambria Math" w:hAnsi="Cambria Math"/>
                      <w:sz w:val="20"/>
                    </w:rPr>
                  </m:ctrlPr>
                </m:fPr>
                <m:num>
                  <m:r>
                    <m:rPr>
                      <m:sty m:val="p"/>
                    </m:rPr>
                    <w:rPr>
                      <w:rFonts w:ascii="Cambria Math" w:hAnsi="Cambria Math"/>
                      <w:sz w:val="20"/>
                    </w:rPr>
                    <m:t>mg</m:t>
                  </m:r>
                </m:num>
                <m:den>
                  <m:r>
                    <m:rPr>
                      <m:sty m:val="p"/>
                    </m:rPr>
                    <w:rPr>
                      <w:rFonts w:ascii="Cambria Math" w:hAnsi="Cambria Math"/>
                      <w:sz w:val="20"/>
                    </w:rPr>
                    <m:t>mL</m:t>
                  </m:r>
                </m:den>
              </m:f>
              <m:r>
                <m:rPr>
                  <m:sty m:val="p"/>
                </m:rPr>
                <w:rPr>
                  <w:rFonts w:ascii="Cambria Math" w:hAnsi="Cambria Math"/>
                  <w:sz w:val="20"/>
                </w:rPr>
                <m:t>)</m:t>
              </m:r>
            </m:den>
          </m:f>
          <m:r>
            <m:rPr>
              <m:sty m:val="p"/>
            </m:rPr>
            <w:rPr>
              <w:rFonts w:ascii="Cambria Math" w:hAnsi="Cambria Math"/>
              <w:sz w:val="20"/>
            </w:rPr>
            <m:t xml:space="preserve"> ×100</m:t>
          </m:r>
        </m:oMath>
      </m:oMathPara>
    </w:p>
    <w:p w:rsidR="006737F5" w:rsidRPr="000C0FAA" w:rsidRDefault="006737F5" w:rsidP="006737F5">
      <w:pPr>
        <w:jc w:val="both"/>
        <w:rPr>
          <w:rFonts w:ascii="Times New Roman" w:hAnsi="Times New Roman"/>
          <w:sz w:val="24"/>
          <w:szCs w:val="24"/>
        </w:rPr>
      </w:pPr>
    </w:p>
    <w:p w:rsidR="006737F5" w:rsidRPr="00EF55C3" w:rsidRDefault="006737F5" w:rsidP="006737F5">
      <w:pPr>
        <w:pStyle w:val="Legenda"/>
        <w:keepNext/>
        <w:jc w:val="both"/>
        <w:rPr>
          <w:rFonts w:ascii="Times New Roman" w:hAnsi="Times New Roman"/>
          <w:sz w:val="20"/>
        </w:rPr>
      </w:pPr>
      <w:r w:rsidRPr="0063277D">
        <w:rPr>
          <w:rFonts w:ascii="Times New Roman" w:hAnsi="Times New Roman"/>
          <w:sz w:val="20"/>
        </w:rPr>
        <w:t>Tabela III -</w:t>
      </w:r>
      <w:r w:rsidRPr="0063277D">
        <w:rPr>
          <w:sz w:val="20"/>
        </w:rPr>
        <w:t xml:space="preserve"> </w:t>
      </w:r>
      <w:r w:rsidRPr="00EF55C3">
        <w:rPr>
          <w:rFonts w:ascii="Times New Roman" w:hAnsi="Times New Roman"/>
          <w:b w:val="0"/>
          <w:color w:val="auto"/>
          <w:sz w:val="20"/>
        </w:rPr>
        <w:t xml:space="preserve">Grau de pureza em </w:t>
      </w:r>
      <w:r>
        <w:rPr>
          <w:rFonts w:ascii="Times New Roman" w:hAnsi="Times New Roman"/>
          <w:b w:val="0"/>
          <w:color w:val="auto"/>
          <w:sz w:val="20"/>
        </w:rPr>
        <w:t>Hidroxitirosol</w:t>
      </w:r>
      <w:r w:rsidRPr="00EF55C3">
        <w:rPr>
          <w:rFonts w:ascii="Times New Roman" w:hAnsi="Times New Roman"/>
          <w:b w:val="0"/>
          <w:color w:val="auto"/>
          <w:sz w:val="20"/>
        </w:rPr>
        <w:t xml:space="preserve"> de cada</w:t>
      </w:r>
      <w:r>
        <w:rPr>
          <w:rFonts w:ascii="Times New Roman" w:hAnsi="Times New Roman"/>
          <w:b w:val="0"/>
          <w:color w:val="auto"/>
          <w:sz w:val="20"/>
        </w:rPr>
        <w:t xml:space="preserve"> um dos extractos aquosos concentrados de BAE: EB, ERC e EPC, expresso</w:t>
      </w:r>
      <w:r w:rsidRPr="00EF55C3">
        <w:rPr>
          <w:rFonts w:ascii="Times New Roman" w:hAnsi="Times New Roman"/>
          <w:b w:val="0"/>
          <w:color w:val="auto"/>
          <w:sz w:val="20"/>
        </w:rPr>
        <w:t xml:space="preserve"> em percentagem. Destaque </w:t>
      </w:r>
      <w:r>
        <w:rPr>
          <w:rFonts w:ascii="Times New Roman" w:hAnsi="Times New Roman"/>
          <w:b w:val="0"/>
          <w:color w:val="auto"/>
          <w:sz w:val="20"/>
        </w:rPr>
        <w:t>para o EPC que apresenta a ma</w:t>
      </w:r>
      <w:r w:rsidRPr="00EF55C3">
        <w:rPr>
          <w:rFonts w:ascii="Times New Roman" w:hAnsi="Times New Roman"/>
          <w:b w:val="0"/>
          <w:color w:val="auto"/>
          <w:sz w:val="20"/>
        </w:rPr>
        <w:t xml:space="preserve">ior percentagem de grau de pureza em </w:t>
      </w:r>
      <w:r>
        <w:rPr>
          <w:rFonts w:ascii="Times New Roman" w:hAnsi="Times New Roman"/>
          <w:b w:val="0"/>
          <w:color w:val="auto"/>
          <w:sz w:val="20"/>
        </w:rPr>
        <w:t>Hidroxitirosol de entre os três extractos em estudo</w:t>
      </w:r>
      <w:r w:rsidRPr="00EF55C3">
        <w:rPr>
          <w:rFonts w:ascii="Times New Roman" w:hAnsi="Times New Roman"/>
          <w:b w:val="0"/>
          <w:color w:val="auto"/>
          <w:sz w:val="20"/>
        </w:rPr>
        <w:t>.</w:t>
      </w:r>
      <w:r w:rsidRPr="00EF55C3">
        <w:rPr>
          <w:rFonts w:ascii="Times New Roman" w:hAnsi="Times New Roman"/>
          <w:sz w:val="20"/>
        </w:rPr>
        <w:t xml:space="preserve">   </w:t>
      </w:r>
    </w:p>
    <w:p w:rsidR="006737F5" w:rsidRDefault="006737F5" w:rsidP="006737F5">
      <w:pPr>
        <w:pStyle w:val="Legenda"/>
        <w:keepNext/>
      </w:pPr>
    </w:p>
    <w:tbl>
      <w:tblPr>
        <w:tblW w:w="6055" w:type="dxa"/>
        <w:jc w:val="center"/>
        <w:tblCellMar>
          <w:left w:w="0" w:type="dxa"/>
          <w:right w:w="0" w:type="dxa"/>
        </w:tblCellMar>
        <w:tblLook w:val="04A0"/>
      </w:tblPr>
      <w:tblGrid>
        <w:gridCol w:w="1438"/>
        <w:gridCol w:w="2033"/>
        <w:gridCol w:w="2584"/>
      </w:tblGrid>
      <w:tr w:rsidR="006737F5" w:rsidRPr="00052F99" w:rsidTr="006737F5">
        <w:trPr>
          <w:trHeight w:val="511"/>
          <w:jc w:val="center"/>
        </w:trPr>
        <w:tc>
          <w:tcPr>
            <w:tcW w:w="1438" w:type="dxa"/>
            <w:tcBorders>
              <w:top w:val="single" w:sz="8" w:space="0" w:color="FFFFFF"/>
              <w:left w:val="single" w:sz="8" w:space="0" w:color="FFFFFF"/>
              <w:bottom w:val="single" w:sz="24" w:space="0" w:color="FFFFFF"/>
              <w:right w:val="single" w:sz="8" w:space="0" w:color="FFFFFF"/>
            </w:tcBorders>
            <w:shd w:val="clear" w:color="auto" w:fill="215968"/>
            <w:tcMar>
              <w:top w:w="72" w:type="dxa"/>
              <w:left w:w="144" w:type="dxa"/>
              <w:bottom w:w="72" w:type="dxa"/>
              <w:right w:w="144" w:type="dxa"/>
            </w:tcMar>
            <w:vAlign w:val="center"/>
            <w:hideMark/>
          </w:tcPr>
          <w:p w:rsidR="006737F5" w:rsidRPr="00052F99" w:rsidRDefault="006737F5" w:rsidP="006737F5">
            <w:pPr>
              <w:spacing w:after="0" w:line="240" w:lineRule="auto"/>
              <w:jc w:val="center"/>
              <w:rPr>
                <w:b/>
                <w:shadow/>
                <w:color w:val="FFFFFF" w:themeColor="background1"/>
                <w:szCs w:val="28"/>
              </w:rPr>
            </w:pPr>
            <w:r w:rsidRPr="00052F99">
              <w:rPr>
                <w:b/>
                <w:bCs/>
                <w:shadow/>
                <w:color w:val="FFFFFF" w:themeColor="background1"/>
                <w:szCs w:val="28"/>
              </w:rPr>
              <w:t xml:space="preserve">Extracto </w:t>
            </w:r>
          </w:p>
        </w:tc>
        <w:tc>
          <w:tcPr>
            <w:tcW w:w="2033" w:type="dxa"/>
            <w:tcBorders>
              <w:top w:val="single" w:sz="8" w:space="0" w:color="FFFFFF"/>
              <w:left w:val="single" w:sz="8" w:space="0" w:color="FFFFFF"/>
              <w:bottom w:val="single" w:sz="24" w:space="0" w:color="FFFFFF"/>
              <w:right w:val="single" w:sz="8" w:space="0" w:color="FFFFFF"/>
            </w:tcBorders>
            <w:shd w:val="clear" w:color="auto" w:fill="215968"/>
            <w:tcMar>
              <w:top w:w="72" w:type="dxa"/>
              <w:left w:w="144" w:type="dxa"/>
              <w:bottom w:w="72" w:type="dxa"/>
              <w:right w:w="144" w:type="dxa"/>
            </w:tcMar>
            <w:vAlign w:val="center"/>
            <w:hideMark/>
          </w:tcPr>
          <w:p w:rsidR="006737F5" w:rsidRPr="00052F99" w:rsidRDefault="006737F5" w:rsidP="006737F5">
            <w:pPr>
              <w:spacing w:after="0" w:line="240" w:lineRule="auto"/>
              <w:jc w:val="center"/>
              <w:rPr>
                <w:b/>
                <w:shadow/>
                <w:color w:val="FFFFFF" w:themeColor="background1"/>
                <w:szCs w:val="28"/>
              </w:rPr>
            </w:pPr>
            <w:r w:rsidRPr="00052F99">
              <w:rPr>
                <w:b/>
                <w:bCs/>
                <w:shadow/>
                <w:color w:val="FFFFFF" w:themeColor="background1"/>
                <w:szCs w:val="28"/>
              </w:rPr>
              <w:t>Grau de Pureza em H</w:t>
            </w:r>
            <w:r>
              <w:rPr>
                <w:b/>
                <w:bCs/>
                <w:shadow/>
                <w:color w:val="FFFFFF" w:themeColor="background1"/>
                <w:szCs w:val="28"/>
              </w:rPr>
              <w:t>idroxitirosol</w:t>
            </w:r>
            <w:r w:rsidRPr="00052F99">
              <w:rPr>
                <w:b/>
                <w:bCs/>
                <w:shadow/>
                <w:color w:val="FFFFFF" w:themeColor="background1"/>
                <w:szCs w:val="28"/>
              </w:rPr>
              <w:t xml:space="preserve"> </w:t>
            </w:r>
          </w:p>
        </w:tc>
        <w:tc>
          <w:tcPr>
            <w:tcW w:w="2584" w:type="dxa"/>
            <w:tcBorders>
              <w:top w:val="single" w:sz="8" w:space="0" w:color="FFFFFF"/>
              <w:left w:val="single" w:sz="8" w:space="0" w:color="FFFFFF"/>
              <w:bottom w:val="single" w:sz="24" w:space="0" w:color="FFFFFF"/>
              <w:right w:val="single" w:sz="8" w:space="0" w:color="FFFFFF"/>
            </w:tcBorders>
            <w:shd w:val="clear" w:color="auto" w:fill="215968"/>
          </w:tcPr>
          <w:p w:rsidR="006737F5" w:rsidRPr="00052F99" w:rsidRDefault="006737F5" w:rsidP="006737F5">
            <w:pPr>
              <w:spacing w:after="0" w:line="240" w:lineRule="auto"/>
              <w:jc w:val="center"/>
              <w:rPr>
                <w:b/>
                <w:bCs/>
                <w:shadow/>
                <w:color w:val="FFFFFF" w:themeColor="background1"/>
                <w:szCs w:val="28"/>
              </w:rPr>
            </w:pPr>
            <w:r>
              <w:rPr>
                <w:b/>
                <w:bCs/>
                <w:shadow/>
                <w:color w:val="FFFFFF" w:themeColor="background1"/>
                <w:szCs w:val="28"/>
              </w:rPr>
              <w:t xml:space="preserve">Percentagem de Hidroxitirosol presente na fracção fenólica </w:t>
            </w:r>
          </w:p>
        </w:tc>
      </w:tr>
      <w:tr w:rsidR="006737F5" w:rsidRPr="0092423D" w:rsidTr="006737F5">
        <w:trPr>
          <w:trHeight w:val="300"/>
          <w:jc w:val="center"/>
        </w:trPr>
        <w:tc>
          <w:tcPr>
            <w:tcW w:w="143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737F5" w:rsidRPr="0092423D" w:rsidRDefault="006737F5" w:rsidP="006737F5">
            <w:pPr>
              <w:spacing w:after="0" w:line="240" w:lineRule="auto"/>
              <w:jc w:val="center"/>
              <w:rPr>
                <w:shadow/>
                <w:sz w:val="24"/>
                <w:szCs w:val="28"/>
              </w:rPr>
            </w:pPr>
            <w:r w:rsidRPr="0092423D">
              <w:rPr>
                <w:bCs/>
                <w:shadow/>
                <w:sz w:val="24"/>
                <w:szCs w:val="28"/>
              </w:rPr>
              <w:t xml:space="preserve">EB </w:t>
            </w:r>
          </w:p>
        </w:tc>
        <w:tc>
          <w:tcPr>
            <w:tcW w:w="20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6737F5" w:rsidRPr="0092423D" w:rsidRDefault="006737F5" w:rsidP="006737F5">
            <w:pPr>
              <w:spacing w:after="0" w:line="240" w:lineRule="auto"/>
              <w:jc w:val="center"/>
              <w:rPr>
                <w:shadow/>
                <w:sz w:val="24"/>
                <w:szCs w:val="28"/>
              </w:rPr>
            </w:pPr>
            <w:r w:rsidRPr="0092423D">
              <w:rPr>
                <w:bCs/>
                <w:shadow/>
                <w:sz w:val="24"/>
                <w:szCs w:val="28"/>
              </w:rPr>
              <w:t xml:space="preserve">1,88% </w:t>
            </w:r>
          </w:p>
        </w:tc>
        <w:tc>
          <w:tcPr>
            <w:tcW w:w="2584" w:type="dxa"/>
            <w:tcBorders>
              <w:top w:val="single" w:sz="24" w:space="0" w:color="FFFFFF"/>
              <w:left w:val="single" w:sz="8" w:space="0" w:color="FFFFFF"/>
              <w:bottom w:val="single" w:sz="8" w:space="0" w:color="FFFFFF"/>
              <w:right w:val="single" w:sz="8" w:space="0" w:color="FFFFFF"/>
            </w:tcBorders>
            <w:shd w:val="clear" w:color="auto" w:fill="D0D8E8"/>
            <w:vAlign w:val="center"/>
          </w:tcPr>
          <w:p w:rsidR="006737F5" w:rsidRPr="0092423D" w:rsidRDefault="006737F5" w:rsidP="006737F5">
            <w:pPr>
              <w:spacing w:after="0" w:line="240" w:lineRule="auto"/>
              <w:jc w:val="center"/>
              <w:rPr>
                <w:shadow/>
                <w:color w:val="000000"/>
                <w:sz w:val="24"/>
              </w:rPr>
            </w:pPr>
            <w:r w:rsidRPr="0092423D">
              <w:rPr>
                <w:shadow/>
                <w:color w:val="000000"/>
                <w:sz w:val="24"/>
              </w:rPr>
              <w:t>33,66%</w:t>
            </w:r>
          </w:p>
        </w:tc>
      </w:tr>
      <w:tr w:rsidR="006737F5" w:rsidRPr="0092423D" w:rsidTr="006737F5">
        <w:trPr>
          <w:trHeight w:val="300"/>
          <w:jc w:val="center"/>
        </w:trPr>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6737F5" w:rsidRPr="0092423D" w:rsidRDefault="006737F5" w:rsidP="006737F5">
            <w:pPr>
              <w:spacing w:after="0" w:line="240" w:lineRule="auto"/>
              <w:jc w:val="center"/>
              <w:rPr>
                <w:shadow/>
                <w:sz w:val="24"/>
                <w:szCs w:val="28"/>
              </w:rPr>
            </w:pPr>
            <w:r w:rsidRPr="0092423D">
              <w:rPr>
                <w:bCs/>
                <w:shadow/>
                <w:sz w:val="24"/>
                <w:szCs w:val="28"/>
              </w:rPr>
              <w:t xml:space="preserve">ERC </w:t>
            </w:r>
          </w:p>
        </w:tc>
        <w:tc>
          <w:tcPr>
            <w:tcW w:w="20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6737F5" w:rsidRPr="0092423D" w:rsidRDefault="006737F5" w:rsidP="006737F5">
            <w:pPr>
              <w:spacing w:after="0" w:line="240" w:lineRule="auto"/>
              <w:jc w:val="center"/>
              <w:rPr>
                <w:shadow/>
                <w:sz w:val="24"/>
                <w:szCs w:val="28"/>
              </w:rPr>
            </w:pPr>
            <w:r w:rsidRPr="0092423D">
              <w:rPr>
                <w:bCs/>
                <w:shadow/>
                <w:sz w:val="24"/>
                <w:szCs w:val="28"/>
              </w:rPr>
              <w:t xml:space="preserve">2,48% </w:t>
            </w:r>
          </w:p>
        </w:tc>
        <w:tc>
          <w:tcPr>
            <w:tcW w:w="2584"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6737F5" w:rsidRPr="0092423D" w:rsidRDefault="006737F5" w:rsidP="006737F5">
            <w:pPr>
              <w:spacing w:after="0" w:line="240" w:lineRule="auto"/>
              <w:jc w:val="center"/>
              <w:rPr>
                <w:shadow/>
                <w:color w:val="000000"/>
                <w:sz w:val="24"/>
              </w:rPr>
            </w:pPr>
            <w:r w:rsidRPr="0092423D">
              <w:rPr>
                <w:shadow/>
                <w:color w:val="000000"/>
                <w:sz w:val="24"/>
              </w:rPr>
              <w:t>28,82%</w:t>
            </w:r>
          </w:p>
        </w:tc>
      </w:tr>
      <w:tr w:rsidR="006737F5" w:rsidRPr="0092423D" w:rsidTr="006737F5">
        <w:trPr>
          <w:trHeight w:val="343"/>
          <w:jc w:val="center"/>
        </w:trPr>
        <w:tc>
          <w:tcPr>
            <w:tcW w:w="1438" w:type="dxa"/>
            <w:tcBorders>
              <w:top w:val="single" w:sz="8" w:space="0" w:color="FFFFFF"/>
              <w:left w:val="single" w:sz="8" w:space="0" w:color="FFFFFF"/>
              <w:bottom w:val="single" w:sz="8" w:space="0" w:color="FFFFFF"/>
              <w:right w:val="single" w:sz="8" w:space="0" w:color="FFFFFF"/>
            </w:tcBorders>
            <w:shd w:val="clear" w:color="auto" w:fill="FE7854"/>
            <w:tcMar>
              <w:top w:w="72" w:type="dxa"/>
              <w:left w:w="144" w:type="dxa"/>
              <w:bottom w:w="72" w:type="dxa"/>
              <w:right w:w="144" w:type="dxa"/>
            </w:tcMar>
            <w:vAlign w:val="center"/>
            <w:hideMark/>
          </w:tcPr>
          <w:p w:rsidR="006737F5" w:rsidRPr="0092423D" w:rsidRDefault="006737F5" w:rsidP="006737F5">
            <w:pPr>
              <w:spacing w:after="0" w:line="240" w:lineRule="auto"/>
              <w:jc w:val="center"/>
              <w:rPr>
                <w:shadow/>
                <w:sz w:val="24"/>
                <w:szCs w:val="28"/>
              </w:rPr>
            </w:pPr>
            <w:r w:rsidRPr="0092423D">
              <w:rPr>
                <w:bCs/>
                <w:shadow/>
                <w:sz w:val="24"/>
                <w:szCs w:val="28"/>
              </w:rPr>
              <w:t xml:space="preserve">EPC </w:t>
            </w:r>
          </w:p>
        </w:tc>
        <w:tc>
          <w:tcPr>
            <w:tcW w:w="2033" w:type="dxa"/>
            <w:tcBorders>
              <w:top w:val="single" w:sz="8" w:space="0" w:color="FFFFFF"/>
              <w:left w:val="single" w:sz="8" w:space="0" w:color="FFFFFF"/>
              <w:bottom w:val="single" w:sz="8" w:space="0" w:color="FFFFFF"/>
              <w:right w:val="single" w:sz="8" w:space="0" w:color="FFFFFF"/>
            </w:tcBorders>
            <w:shd w:val="clear" w:color="auto" w:fill="FE7854"/>
            <w:tcMar>
              <w:top w:w="72" w:type="dxa"/>
              <w:left w:w="144" w:type="dxa"/>
              <w:bottom w:w="72" w:type="dxa"/>
              <w:right w:w="144" w:type="dxa"/>
            </w:tcMar>
            <w:vAlign w:val="center"/>
            <w:hideMark/>
          </w:tcPr>
          <w:p w:rsidR="006737F5" w:rsidRPr="0092423D" w:rsidRDefault="006737F5" w:rsidP="006737F5">
            <w:pPr>
              <w:spacing w:after="0" w:line="240" w:lineRule="auto"/>
              <w:jc w:val="center"/>
              <w:rPr>
                <w:shadow/>
                <w:sz w:val="24"/>
                <w:szCs w:val="28"/>
              </w:rPr>
            </w:pPr>
            <w:r w:rsidRPr="0092423D">
              <w:rPr>
                <w:bCs/>
                <w:shadow/>
                <w:sz w:val="24"/>
                <w:szCs w:val="28"/>
              </w:rPr>
              <w:t xml:space="preserve">10,77% </w:t>
            </w:r>
          </w:p>
        </w:tc>
        <w:tc>
          <w:tcPr>
            <w:tcW w:w="2584" w:type="dxa"/>
            <w:tcBorders>
              <w:top w:val="single" w:sz="8" w:space="0" w:color="FFFFFF"/>
              <w:left w:val="single" w:sz="8" w:space="0" w:color="FFFFFF"/>
              <w:bottom w:val="single" w:sz="8" w:space="0" w:color="FFFFFF"/>
              <w:right w:val="single" w:sz="8" w:space="0" w:color="FFFFFF"/>
            </w:tcBorders>
            <w:shd w:val="clear" w:color="auto" w:fill="FE7854"/>
            <w:vAlign w:val="center"/>
          </w:tcPr>
          <w:p w:rsidR="006737F5" w:rsidRPr="0092423D" w:rsidRDefault="006737F5" w:rsidP="006737F5">
            <w:pPr>
              <w:spacing w:after="0" w:line="240" w:lineRule="auto"/>
              <w:jc w:val="center"/>
              <w:rPr>
                <w:shadow/>
                <w:color w:val="000000"/>
                <w:sz w:val="24"/>
              </w:rPr>
            </w:pPr>
            <w:r w:rsidRPr="0092423D">
              <w:rPr>
                <w:shadow/>
                <w:color w:val="000000"/>
                <w:sz w:val="24"/>
              </w:rPr>
              <w:t>53,03%</w:t>
            </w:r>
          </w:p>
        </w:tc>
      </w:tr>
    </w:tbl>
    <w:p w:rsidR="006737F5" w:rsidRPr="0092423D" w:rsidRDefault="006737F5" w:rsidP="006737F5">
      <w:pPr>
        <w:spacing w:after="0"/>
        <w:jc w:val="center"/>
        <w:rPr>
          <w:rFonts w:ascii="Times New Roman" w:hAnsi="Times New Roman"/>
          <w:sz w:val="36"/>
          <w:szCs w:val="28"/>
        </w:rPr>
      </w:pPr>
    </w:p>
    <w:p w:rsidR="006737F5" w:rsidRDefault="00512B96" w:rsidP="006007E2">
      <w:pPr>
        <w:ind w:firstLine="708"/>
        <w:jc w:val="both"/>
        <w:rPr>
          <w:rFonts w:ascii="Times New Roman" w:hAnsi="Times New Roman"/>
          <w:sz w:val="24"/>
          <w:szCs w:val="24"/>
        </w:rPr>
      </w:pPr>
      <w:r>
        <w:rPr>
          <w:rFonts w:ascii="Times New Roman" w:hAnsi="Times New Roman"/>
          <w:sz w:val="24"/>
          <w:szCs w:val="24"/>
        </w:rPr>
        <w:t>De acordo com os resultados anteriormente expressos na tabela II, o EPC apresentava o maior grau de pureza em fenóis totais de entre os três extractos. A</w:t>
      </w:r>
      <w:r w:rsidR="006737F5">
        <w:rPr>
          <w:rFonts w:ascii="Times New Roman" w:hAnsi="Times New Roman"/>
          <w:sz w:val="24"/>
          <w:szCs w:val="24"/>
        </w:rPr>
        <w:t xml:space="preserve">pesar </w:t>
      </w:r>
      <w:r w:rsidR="006007E2">
        <w:rPr>
          <w:rFonts w:ascii="Times New Roman" w:hAnsi="Times New Roman"/>
          <w:sz w:val="24"/>
          <w:szCs w:val="24"/>
        </w:rPr>
        <w:t>da concentração do fenol Hidroxitirosol no EPC ser apenas de 0,07 (F</w:t>
      </w:r>
      <w:r>
        <w:rPr>
          <w:rFonts w:ascii="Times New Roman" w:hAnsi="Times New Roman"/>
          <w:sz w:val="24"/>
          <w:szCs w:val="24"/>
        </w:rPr>
        <w:t>igura 19)</w:t>
      </w:r>
      <w:r w:rsidR="006737F5">
        <w:rPr>
          <w:rFonts w:ascii="Times New Roman" w:hAnsi="Times New Roman"/>
          <w:sz w:val="24"/>
          <w:szCs w:val="24"/>
        </w:rPr>
        <w:t xml:space="preserve">, este </w:t>
      </w:r>
      <w:r>
        <w:rPr>
          <w:rFonts w:ascii="Times New Roman" w:hAnsi="Times New Roman"/>
          <w:sz w:val="24"/>
          <w:szCs w:val="24"/>
        </w:rPr>
        <w:t xml:space="preserve">extracto possui o maior grau de pureza </w:t>
      </w:r>
      <w:r w:rsidR="006737F5">
        <w:rPr>
          <w:rFonts w:ascii="Times New Roman" w:hAnsi="Times New Roman"/>
          <w:sz w:val="24"/>
          <w:szCs w:val="24"/>
        </w:rPr>
        <w:t>(10,77%) em relação aos restantes extractos</w:t>
      </w:r>
      <w:r w:rsidR="006007E2">
        <w:rPr>
          <w:rFonts w:ascii="Times New Roman" w:hAnsi="Times New Roman"/>
          <w:sz w:val="24"/>
          <w:szCs w:val="24"/>
        </w:rPr>
        <w:t xml:space="preserve"> (Tabela III)</w:t>
      </w:r>
      <w:r w:rsidR="006737F5">
        <w:rPr>
          <w:rFonts w:ascii="Times New Roman" w:hAnsi="Times New Roman"/>
          <w:sz w:val="24"/>
          <w:szCs w:val="24"/>
        </w:rPr>
        <w:t xml:space="preserve">. Examinando a percentagem de HT </w:t>
      </w:r>
      <w:r>
        <w:rPr>
          <w:rFonts w:ascii="Times New Roman" w:hAnsi="Times New Roman"/>
          <w:sz w:val="24"/>
          <w:szCs w:val="24"/>
        </w:rPr>
        <w:t>presente na fracção fenólica</w:t>
      </w:r>
      <w:r w:rsidR="006007E2">
        <w:rPr>
          <w:rFonts w:ascii="Times New Roman" w:hAnsi="Times New Roman"/>
          <w:sz w:val="24"/>
          <w:szCs w:val="24"/>
        </w:rPr>
        <w:t xml:space="preserve"> </w:t>
      </w:r>
      <w:r>
        <w:rPr>
          <w:rFonts w:ascii="Times New Roman" w:hAnsi="Times New Roman"/>
          <w:sz w:val="24"/>
          <w:szCs w:val="24"/>
        </w:rPr>
        <w:t>, com base na quantifi</w:t>
      </w:r>
      <w:r w:rsidR="006007E2">
        <w:rPr>
          <w:rFonts w:ascii="Times New Roman" w:hAnsi="Times New Roman"/>
          <w:sz w:val="24"/>
          <w:szCs w:val="24"/>
        </w:rPr>
        <w:t>cação anteriormente realizada (F</w:t>
      </w:r>
      <w:r>
        <w:rPr>
          <w:rFonts w:ascii="Times New Roman" w:hAnsi="Times New Roman"/>
          <w:sz w:val="24"/>
          <w:szCs w:val="24"/>
        </w:rPr>
        <w:t>igura 5)</w:t>
      </w:r>
      <w:r w:rsidR="006737F5">
        <w:rPr>
          <w:rFonts w:ascii="Times New Roman" w:hAnsi="Times New Roman"/>
          <w:sz w:val="24"/>
          <w:szCs w:val="24"/>
        </w:rPr>
        <w:t>, verifica-se que no EPC 53,03% da sua fracção fenólica é composta por este composto fenólico</w:t>
      </w:r>
      <w:r>
        <w:rPr>
          <w:rFonts w:ascii="Times New Roman" w:hAnsi="Times New Roman"/>
          <w:sz w:val="24"/>
          <w:szCs w:val="24"/>
        </w:rPr>
        <w:t xml:space="preserve"> de interesse</w:t>
      </w:r>
      <w:r w:rsidR="006007E2">
        <w:rPr>
          <w:rFonts w:ascii="Times New Roman" w:hAnsi="Times New Roman"/>
          <w:sz w:val="24"/>
          <w:szCs w:val="24"/>
        </w:rPr>
        <w:t xml:space="preserve"> (Tabela III)</w:t>
      </w:r>
      <w:r w:rsidR="006737F5">
        <w:rPr>
          <w:rFonts w:ascii="Times New Roman" w:hAnsi="Times New Roman"/>
          <w:sz w:val="24"/>
          <w:szCs w:val="24"/>
        </w:rPr>
        <w:t xml:space="preserve">. Os valores obtidos permitiram a apreciação mais clara do sucesso do processo de nanofiltração no seccionamento do extracto bruto e selecção de compostos fenólicos de interesse no EPC, nomeadamente do composto Hidroxitirosol. </w:t>
      </w:r>
    </w:p>
    <w:p w:rsidR="00F62818" w:rsidRPr="006A6870" w:rsidRDefault="004A7091" w:rsidP="00F62818">
      <w:pPr>
        <w:ind w:firstLine="708"/>
        <w:jc w:val="both"/>
        <w:rPr>
          <w:rFonts w:ascii="Times New Roman" w:hAnsi="Times New Roman"/>
          <w:sz w:val="24"/>
          <w:szCs w:val="24"/>
        </w:rPr>
      </w:pPr>
      <w:r w:rsidRPr="00171C66">
        <w:rPr>
          <w:rFonts w:ascii="Times New Roman" w:hAnsi="Times New Roman"/>
          <w:sz w:val="24"/>
          <w:lang w:eastAsia="pt-PT"/>
        </w:rPr>
        <w:t xml:space="preserve">O valor de rendimento final </w:t>
      </w:r>
      <w:r>
        <w:rPr>
          <w:rFonts w:ascii="Times New Roman" w:hAnsi="Times New Roman"/>
          <w:sz w:val="24"/>
          <w:lang w:eastAsia="pt-PT"/>
        </w:rPr>
        <w:t>do</w:t>
      </w:r>
      <w:r w:rsidRPr="00171C66">
        <w:rPr>
          <w:rFonts w:ascii="Times New Roman" w:hAnsi="Times New Roman"/>
          <w:sz w:val="24"/>
          <w:lang w:eastAsia="pt-PT"/>
        </w:rPr>
        <w:t xml:space="preserve"> processo</w:t>
      </w:r>
      <w:r>
        <w:rPr>
          <w:rFonts w:ascii="Times New Roman" w:hAnsi="Times New Roman"/>
          <w:sz w:val="24"/>
          <w:lang w:eastAsia="pt-PT"/>
        </w:rPr>
        <w:t xml:space="preserve"> de separação por membranas, nanofiltração e osmose inversa,</w:t>
      </w:r>
      <w:r w:rsidRPr="00171C66">
        <w:rPr>
          <w:rFonts w:ascii="Times New Roman" w:hAnsi="Times New Roman"/>
          <w:sz w:val="24"/>
          <w:lang w:eastAsia="pt-PT"/>
        </w:rPr>
        <w:t xml:space="preserve"> </w:t>
      </w:r>
      <w:r>
        <w:rPr>
          <w:rFonts w:ascii="Times New Roman" w:hAnsi="Times New Roman"/>
          <w:sz w:val="24"/>
          <w:lang w:eastAsia="pt-PT"/>
        </w:rPr>
        <w:t xml:space="preserve">não é comparável com o valor apresentado por Nunes da Ponte </w:t>
      </w:r>
      <w:r w:rsidRPr="003E6873">
        <w:rPr>
          <w:rFonts w:ascii="Times New Roman" w:hAnsi="Times New Roman"/>
          <w:i/>
          <w:sz w:val="24"/>
          <w:lang w:eastAsia="pt-PT"/>
        </w:rPr>
        <w:t>et al</w:t>
      </w:r>
      <w:r>
        <w:rPr>
          <w:rFonts w:ascii="Times New Roman" w:hAnsi="Times New Roman"/>
          <w:sz w:val="24"/>
          <w:lang w:eastAsia="pt-PT"/>
        </w:rPr>
        <w:t>., 2007 que obteve uma recuperação de Hidroxitirosol permeado, de 70%, a partir do resíduo da produção de azeite, resultante do sistema de três fases, as águas russas.</w:t>
      </w:r>
      <w:r w:rsidR="003E6873">
        <w:rPr>
          <w:rFonts w:ascii="Times New Roman" w:hAnsi="Times New Roman"/>
          <w:sz w:val="24"/>
          <w:lang w:eastAsia="pt-PT"/>
        </w:rPr>
        <w:t xml:space="preserve"> </w:t>
      </w:r>
      <w:r>
        <w:rPr>
          <w:rFonts w:ascii="Times New Roman" w:hAnsi="Times New Roman"/>
          <w:sz w:val="24"/>
          <w:lang w:eastAsia="pt-PT"/>
        </w:rPr>
        <w:t xml:space="preserve">Contudo o processo de separação por membranas revelou ser eficiente na obtenção de um extracto limpo de compostos de maior massa molecular, com um enriquecimento da sua composição em compostos fenólicos de interesse, designadamente o fenol Hidroxitirosol, bem como outros fenóis de tamanho molecular semelhante a este composto (154,16Da). A optimização do processo, com </w:t>
      </w:r>
      <w:r>
        <w:rPr>
          <w:rFonts w:ascii="Times New Roman" w:hAnsi="Times New Roman"/>
          <w:sz w:val="24"/>
          <w:szCs w:val="24"/>
        </w:rPr>
        <w:t xml:space="preserve">consequente melhoramento do rendimento final, reflectindo-se no aumento da concentração de Hidroxitirosol permeado no EPC, passaria pela optimização </w:t>
      </w:r>
      <w:r>
        <w:rPr>
          <w:rFonts w:ascii="Times New Roman" w:hAnsi="Times New Roman"/>
          <w:sz w:val="24"/>
          <w:lang w:eastAsia="pt-PT"/>
        </w:rPr>
        <w:t xml:space="preserve">das </w:t>
      </w:r>
      <w:r>
        <w:rPr>
          <w:rFonts w:ascii="Times New Roman" w:hAnsi="Times New Roman"/>
          <w:sz w:val="24"/>
          <w:szCs w:val="24"/>
        </w:rPr>
        <w:t xml:space="preserve">condições impostas ao sistema no processo de separação por membranas, avaliando as possíveis interacções existentes entre a membrana e o soluto EB, ou passaria por uma possível substituição da membrana utilizada, optando por membranas com poros maiores ou mais pequenos, ou ainda a operação do sistema a diferente pressão, caudal e temperatura. </w:t>
      </w:r>
      <w:r w:rsidR="00643818" w:rsidRPr="00763849">
        <w:rPr>
          <w:rFonts w:ascii="Times New Roman" w:hAnsi="Times New Roman"/>
          <w:sz w:val="24"/>
          <w:szCs w:val="24"/>
        </w:rPr>
        <w:t xml:space="preserve">As membranas </w:t>
      </w:r>
      <w:r w:rsidR="00643818" w:rsidRPr="00763849">
        <w:rPr>
          <w:rFonts w:ascii="Times New Roman" w:hAnsi="Times New Roman"/>
          <w:sz w:val="24"/>
          <w:szCs w:val="24"/>
        </w:rPr>
        <w:lastRenderedPageBreak/>
        <w:t>podem ser definidas como barreiras selectivas, semi-permeáveis, que separam duas fases. Os mecanismos pelos quais uma membrana permite a permeação selectiva de uma espécie química em detrimento de outra são variados</w:t>
      </w:r>
      <w:r w:rsidR="00763849">
        <w:rPr>
          <w:rFonts w:ascii="Times New Roman" w:hAnsi="Times New Roman"/>
          <w:sz w:val="24"/>
          <w:szCs w:val="24"/>
        </w:rPr>
        <w:t>,</w:t>
      </w:r>
      <w:r w:rsidR="00643818" w:rsidRPr="00763849">
        <w:rPr>
          <w:rFonts w:ascii="Times New Roman" w:hAnsi="Times New Roman"/>
          <w:sz w:val="24"/>
          <w:szCs w:val="24"/>
        </w:rPr>
        <w:t xml:space="preserve"> e dependem da natureza da membrana usada e da força motriz que é utilizada para promover o processo de permeação.</w:t>
      </w:r>
      <w:r w:rsidR="00763849">
        <w:rPr>
          <w:rFonts w:ascii="Times New Roman" w:hAnsi="Times New Roman"/>
          <w:sz w:val="24"/>
          <w:szCs w:val="24"/>
        </w:rPr>
        <w:t xml:space="preserve"> </w:t>
      </w:r>
    </w:p>
    <w:p w:rsidR="006737F5" w:rsidRPr="001B1113" w:rsidRDefault="001B1113" w:rsidP="001B1113">
      <w:pPr>
        <w:ind w:firstLine="708"/>
        <w:jc w:val="both"/>
        <w:rPr>
          <w:rFonts w:ascii="Times New Roman" w:hAnsi="Times New Roman"/>
          <w:sz w:val="24"/>
          <w:lang w:eastAsia="pt-PT"/>
        </w:rPr>
      </w:pPr>
      <w:r>
        <w:rPr>
          <w:rFonts w:ascii="Times New Roman" w:hAnsi="Times New Roman"/>
          <w:sz w:val="24"/>
          <w:szCs w:val="24"/>
        </w:rPr>
        <w:t xml:space="preserve">Com base nos resultados até agora apresentados, é possível aferir que o processo de membranas permitiu a obtenção de um extracto concentrado em compostos com elevado potencial biológico, entre eles o Hidroxitirosol. A próxima secção de resultados apresentará e discutirá a actividade biológica de todos os extractos, tentando comprovar </w:t>
      </w:r>
      <w:r>
        <w:rPr>
          <w:rFonts w:ascii="Times New Roman" w:hAnsi="Times New Roman"/>
          <w:sz w:val="24"/>
          <w:lang w:eastAsia="pt-PT"/>
        </w:rPr>
        <w:t>a eficiência da aplicação da tecnologia limpa de membranas, como um método indirecto de incremento da actividade biológica de extractos de BAE, particularmente do EPC.</w:t>
      </w:r>
    </w:p>
    <w:p w:rsidR="006737F5" w:rsidRDefault="006737F5" w:rsidP="006737F5">
      <w:pPr>
        <w:jc w:val="both"/>
        <w:rPr>
          <w:rFonts w:ascii="Times New Roman" w:hAnsi="Times New Roman"/>
          <w:sz w:val="24"/>
          <w:lang w:eastAsia="pt-PT"/>
        </w:rPr>
      </w:pPr>
    </w:p>
    <w:p w:rsidR="001B1113" w:rsidRPr="001B1113" w:rsidRDefault="001B1113" w:rsidP="001B1113">
      <w:pPr>
        <w:pStyle w:val="PargrafodaLista"/>
        <w:numPr>
          <w:ilvl w:val="0"/>
          <w:numId w:val="32"/>
        </w:numPr>
        <w:jc w:val="both"/>
        <w:rPr>
          <w:rFonts w:ascii="Times New Roman" w:hAnsi="Times New Roman"/>
          <w:b/>
          <w:sz w:val="28"/>
          <w:szCs w:val="28"/>
        </w:rPr>
      </w:pPr>
      <w:r>
        <w:rPr>
          <w:rFonts w:ascii="Times New Roman" w:hAnsi="Times New Roman"/>
          <w:b/>
          <w:sz w:val="28"/>
        </w:rPr>
        <w:t>Avaliação da actividade biol</w:t>
      </w:r>
      <w:r w:rsidR="00F62818">
        <w:rPr>
          <w:rFonts w:ascii="Times New Roman" w:hAnsi="Times New Roman"/>
          <w:b/>
          <w:sz w:val="28"/>
        </w:rPr>
        <w:t>ógica dos extractos derivados do</w:t>
      </w:r>
      <w:r>
        <w:rPr>
          <w:rFonts w:ascii="Times New Roman" w:hAnsi="Times New Roman"/>
          <w:b/>
          <w:sz w:val="28"/>
        </w:rPr>
        <w:t xml:space="preserve"> BAE: </w:t>
      </w:r>
      <w:r w:rsidRPr="001B1113">
        <w:rPr>
          <w:rFonts w:ascii="Times New Roman" w:hAnsi="Times New Roman"/>
          <w:b/>
          <w:sz w:val="28"/>
        </w:rPr>
        <w:t>EB, EPC e ERC</w:t>
      </w:r>
    </w:p>
    <w:p w:rsidR="001B1113" w:rsidRPr="001B1113" w:rsidRDefault="001B1113" w:rsidP="001B1113">
      <w:pPr>
        <w:pStyle w:val="PargrafodaLista"/>
        <w:ind w:left="450"/>
        <w:jc w:val="both"/>
        <w:rPr>
          <w:rFonts w:ascii="Times New Roman" w:hAnsi="Times New Roman"/>
          <w:b/>
          <w:sz w:val="28"/>
          <w:szCs w:val="28"/>
        </w:rPr>
      </w:pPr>
    </w:p>
    <w:p w:rsidR="006737F5" w:rsidRPr="001B1113" w:rsidRDefault="006737F5" w:rsidP="001B1113">
      <w:pPr>
        <w:pStyle w:val="PargrafodaLista"/>
        <w:numPr>
          <w:ilvl w:val="1"/>
          <w:numId w:val="32"/>
        </w:numPr>
        <w:jc w:val="both"/>
        <w:rPr>
          <w:rFonts w:ascii="Times New Roman" w:hAnsi="Times New Roman"/>
          <w:b/>
          <w:sz w:val="28"/>
          <w:szCs w:val="28"/>
        </w:rPr>
      </w:pPr>
      <w:r w:rsidRPr="001B1113">
        <w:rPr>
          <w:rFonts w:ascii="Times New Roman" w:hAnsi="Times New Roman"/>
          <w:b/>
          <w:sz w:val="28"/>
        </w:rPr>
        <w:t xml:space="preserve">Determinação da capacidade antioxidante dos extractos de </w:t>
      </w:r>
      <w:r w:rsidR="00EE2658">
        <w:rPr>
          <w:rFonts w:ascii="Times New Roman" w:hAnsi="Times New Roman"/>
          <w:b/>
          <w:sz w:val="28"/>
        </w:rPr>
        <w:t>BAE</w:t>
      </w:r>
      <w:r w:rsidRPr="001B1113">
        <w:rPr>
          <w:rFonts w:ascii="Times New Roman" w:hAnsi="Times New Roman"/>
          <w:b/>
          <w:sz w:val="28"/>
        </w:rPr>
        <w:t xml:space="preserve"> pelos métodos DPPH </w:t>
      </w:r>
      <w:r w:rsidRPr="001B1113">
        <w:rPr>
          <w:rStyle w:val="apple-style-span"/>
          <w:rFonts w:ascii="Times New Roman" w:hAnsi="Times New Roman"/>
          <w:b/>
          <w:color w:val="000000"/>
          <w:sz w:val="28"/>
        </w:rPr>
        <w:t xml:space="preserve">(2,2-difenil-1-picrilhidrazilo) </w:t>
      </w:r>
      <w:r w:rsidRPr="001B1113">
        <w:rPr>
          <w:rFonts w:ascii="Times New Roman" w:hAnsi="Times New Roman"/>
          <w:b/>
          <w:sz w:val="28"/>
        </w:rPr>
        <w:t>e Poder Redutor</w:t>
      </w:r>
    </w:p>
    <w:p w:rsidR="006737F5" w:rsidRPr="007E0FBA" w:rsidRDefault="006737F5" w:rsidP="006737F5">
      <w:pPr>
        <w:pStyle w:val="PargrafodaLista"/>
        <w:ind w:left="360"/>
        <w:jc w:val="both"/>
        <w:rPr>
          <w:rFonts w:ascii="Times New Roman" w:hAnsi="Times New Roman"/>
          <w:sz w:val="24"/>
          <w:szCs w:val="24"/>
        </w:rPr>
      </w:pPr>
    </w:p>
    <w:p w:rsidR="006737F5" w:rsidRPr="00F62818" w:rsidRDefault="006737F5" w:rsidP="00B047A4">
      <w:pPr>
        <w:autoSpaceDE w:val="0"/>
        <w:autoSpaceDN w:val="0"/>
        <w:adjustRightInd w:val="0"/>
        <w:ind w:firstLine="708"/>
        <w:jc w:val="both"/>
        <w:rPr>
          <w:rFonts w:ascii="Times New Roman" w:hAnsi="Times New Roman"/>
          <w:sz w:val="24"/>
        </w:rPr>
      </w:pPr>
      <w:r>
        <w:rPr>
          <w:rFonts w:ascii="Times New Roman" w:hAnsi="Times New Roman"/>
          <w:sz w:val="24"/>
          <w:szCs w:val="24"/>
        </w:rPr>
        <w:t xml:space="preserve">A determinação </w:t>
      </w:r>
      <w:r w:rsidRPr="007B4B1D">
        <w:rPr>
          <w:rFonts w:ascii="Times New Roman" w:hAnsi="Times New Roman"/>
          <w:sz w:val="24"/>
          <w:szCs w:val="24"/>
        </w:rPr>
        <w:t>da actividade antioxidante pela capacidade de neutralização de radicais livres DPPH pelos extracto</w:t>
      </w:r>
      <w:r>
        <w:rPr>
          <w:rFonts w:ascii="Times New Roman" w:hAnsi="Times New Roman"/>
          <w:sz w:val="24"/>
          <w:szCs w:val="24"/>
        </w:rPr>
        <w:t>s</w:t>
      </w:r>
      <w:r w:rsidRPr="007B4B1D">
        <w:rPr>
          <w:rFonts w:ascii="Times New Roman" w:hAnsi="Times New Roman"/>
          <w:sz w:val="24"/>
          <w:szCs w:val="24"/>
        </w:rPr>
        <w:t xml:space="preserve"> de BAE é avali</w:t>
      </w:r>
      <w:r>
        <w:rPr>
          <w:rFonts w:ascii="Times New Roman" w:hAnsi="Times New Roman"/>
          <w:sz w:val="24"/>
          <w:szCs w:val="24"/>
        </w:rPr>
        <w:t>ada</w:t>
      </w:r>
      <w:r w:rsidRPr="007B4B1D">
        <w:rPr>
          <w:rFonts w:ascii="Times New Roman" w:hAnsi="Times New Roman"/>
          <w:sz w:val="24"/>
          <w:szCs w:val="24"/>
        </w:rPr>
        <w:t xml:space="preserve"> neste ensaio. </w:t>
      </w:r>
      <w:r>
        <w:rPr>
          <w:rFonts w:ascii="Times New Roman" w:hAnsi="Times New Roman"/>
          <w:sz w:val="24"/>
          <w:szCs w:val="24"/>
        </w:rPr>
        <w:t>Neste método espectrofotométrico</w:t>
      </w:r>
      <w:r>
        <w:rPr>
          <w:rFonts w:ascii="Times New Roman" w:hAnsi="Times New Roman"/>
          <w:sz w:val="24"/>
        </w:rPr>
        <w:t xml:space="preserve"> a </w:t>
      </w:r>
      <w:r w:rsidR="00F62818">
        <w:rPr>
          <w:rFonts w:ascii="Times New Roman" w:hAnsi="Times New Roman"/>
          <w:sz w:val="24"/>
        </w:rPr>
        <w:t>redu</w:t>
      </w:r>
      <w:r>
        <w:rPr>
          <w:rFonts w:ascii="Times New Roman" w:hAnsi="Times New Roman"/>
          <w:sz w:val="24"/>
        </w:rPr>
        <w:t xml:space="preserve">ção da </w:t>
      </w:r>
      <w:r w:rsidRPr="007B4B1D">
        <w:rPr>
          <w:rFonts w:ascii="Times New Roman" w:hAnsi="Times New Roman"/>
          <w:sz w:val="24"/>
        </w:rPr>
        <w:t>absorvância registada</w:t>
      </w:r>
      <w:r>
        <w:rPr>
          <w:rFonts w:ascii="Times New Roman" w:hAnsi="Times New Roman"/>
          <w:sz w:val="24"/>
        </w:rPr>
        <w:t xml:space="preserve"> a </w:t>
      </w:r>
      <w:r>
        <w:rPr>
          <w:rFonts w:ascii="Times New Roman" w:hAnsi="Times New Roman"/>
          <w:sz w:val="24"/>
          <w:szCs w:val="24"/>
          <w:lang w:eastAsia="pt-PT"/>
        </w:rPr>
        <w:t>517nm</w:t>
      </w:r>
      <w:r w:rsidRPr="007B4B1D">
        <w:rPr>
          <w:rFonts w:ascii="Times New Roman" w:hAnsi="Times New Roman"/>
          <w:sz w:val="24"/>
        </w:rPr>
        <w:t xml:space="preserve">, </w:t>
      </w:r>
      <w:r>
        <w:rPr>
          <w:rFonts w:ascii="Times New Roman" w:hAnsi="Times New Roman"/>
          <w:sz w:val="24"/>
        </w:rPr>
        <w:t xml:space="preserve">traduz a </w:t>
      </w:r>
      <w:r w:rsidR="00F62818">
        <w:rPr>
          <w:rFonts w:ascii="Times New Roman" w:hAnsi="Times New Roman"/>
          <w:sz w:val="24"/>
          <w:szCs w:val="24"/>
          <w:lang w:eastAsia="pt-PT"/>
        </w:rPr>
        <w:t>diminuição da concentração de</w:t>
      </w:r>
      <w:r w:rsidRPr="00C82740">
        <w:rPr>
          <w:rFonts w:ascii="Times New Roman" w:hAnsi="Times New Roman"/>
          <w:sz w:val="24"/>
          <w:szCs w:val="24"/>
          <w:lang w:eastAsia="pt-PT"/>
        </w:rPr>
        <w:t xml:space="preserve"> radicais </w:t>
      </w:r>
      <w:r>
        <w:rPr>
          <w:rFonts w:ascii="Times New Roman" w:hAnsi="Times New Roman"/>
          <w:sz w:val="24"/>
          <w:szCs w:val="24"/>
          <w:lang w:eastAsia="pt-PT"/>
        </w:rPr>
        <w:t xml:space="preserve">livres </w:t>
      </w:r>
      <w:r w:rsidR="00F62818" w:rsidRPr="00F62818">
        <w:rPr>
          <w:rFonts w:ascii="Times New Roman" w:hAnsi="Times New Roman"/>
          <w:sz w:val="24"/>
        </w:rPr>
        <w:t>2,2-difenil-1-picrilhidrazilo</w:t>
      </w:r>
      <w:r w:rsidR="00F62818">
        <w:rPr>
          <w:rFonts w:ascii="Times New Roman" w:hAnsi="Times New Roman"/>
          <w:sz w:val="24"/>
        </w:rPr>
        <w:t xml:space="preserve"> em</w:t>
      </w:r>
      <w:r>
        <w:rPr>
          <w:rFonts w:ascii="Times New Roman" w:hAnsi="Times New Roman"/>
          <w:sz w:val="24"/>
        </w:rPr>
        <w:t xml:space="preserve"> solução, </w:t>
      </w:r>
      <w:r w:rsidR="00F62818">
        <w:rPr>
          <w:rFonts w:ascii="Times New Roman" w:hAnsi="Times New Roman"/>
          <w:sz w:val="24"/>
        </w:rPr>
        <w:t xml:space="preserve">assim </w:t>
      </w:r>
      <w:r>
        <w:rPr>
          <w:rFonts w:ascii="Times New Roman" w:hAnsi="Times New Roman"/>
          <w:sz w:val="24"/>
        </w:rPr>
        <w:t xml:space="preserve">quanto menor a absorvância da amostra </w:t>
      </w:r>
      <w:r w:rsidRPr="007B4B1D">
        <w:rPr>
          <w:rFonts w:ascii="Times New Roman" w:hAnsi="Times New Roman"/>
          <w:sz w:val="24"/>
        </w:rPr>
        <w:t xml:space="preserve">maior </w:t>
      </w:r>
      <w:r w:rsidR="00F62818">
        <w:rPr>
          <w:rFonts w:ascii="Times New Roman" w:hAnsi="Times New Roman"/>
          <w:sz w:val="24"/>
        </w:rPr>
        <w:t>será a</w:t>
      </w:r>
      <w:r w:rsidRPr="007B4B1D">
        <w:rPr>
          <w:rFonts w:ascii="Times New Roman" w:hAnsi="Times New Roman"/>
          <w:sz w:val="24"/>
        </w:rPr>
        <w:t xml:space="preserve"> cap</w:t>
      </w:r>
      <w:r>
        <w:rPr>
          <w:rFonts w:ascii="Times New Roman" w:hAnsi="Times New Roman"/>
          <w:sz w:val="24"/>
        </w:rPr>
        <w:t xml:space="preserve">acidade antioxidante. </w:t>
      </w:r>
      <w:r w:rsidR="00F62818">
        <w:rPr>
          <w:rFonts w:ascii="Times New Roman" w:hAnsi="Times New Roman"/>
          <w:sz w:val="24"/>
        </w:rPr>
        <w:t xml:space="preserve">A </w:t>
      </w:r>
      <w:r w:rsidR="00F62818">
        <w:rPr>
          <w:rFonts w:ascii="Times New Roman" w:hAnsi="Times New Roman"/>
          <w:sz w:val="24"/>
          <w:szCs w:val="24"/>
          <w:lang w:eastAsia="pt-PT"/>
        </w:rPr>
        <w:t>transformação de</w:t>
      </w:r>
      <w:r w:rsidR="00F62818" w:rsidRPr="00C82740">
        <w:rPr>
          <w:rFonts w:ascii="Times New Roman" w:hAnsi="Times New Roman"/>
          <w:sz w:val="24"/>
          <w:szCs w:val="24"/>
          <w:lang w:eastAsia="pt-PT"/>
        </w:rPr>
        <w:t xml:space="preserve"> radicais livres </w:t>
      </w:r>
      <w:r w:rsidR="00F62818">
        <w:rPr>
          <w:rFonts w:ascii="Times New Roman" w:hAnsi="Times New Roman"/>
          <w:sz w:val="24"/>
          <w:szCs w:val="24"/>
          <w:lang w:eastAsia="pt-PT"/>
        </w:rPr>
        <w:t>de DPPH (</w:t>
      </w:r>
      <w:r w:rsidR="00F62818" w:rsidRPr="00C82740">
        <w:rPr>
          <w:rFonts w:ascii="Times New Roman" w:hAnsi="Times New Roman"/>
          <w:sz w:val="24"/>
          <w:szCs w:val="24"/>
          <w:lang w:eastAsia="pt-PT"/>
        </w:rPr>
        <w:t>cor púrpura</w:t>
      </w:r>
      <w:r w:rsidR="00F62818">
        <w:rPr>
          <w:rFonts w:ascii="Times New Roman" w:hAnsi="Times New Roman"/>
          <w:sz w:val="24"/>
          <w:szCs w:val="24"/>
          <w:lang w:eastAsia="pt-PT"/>
        </w:rPr>
        <w:t xml:space="preserve">) para </w:t>
      </w:r>
      <w:r w:rsidR="00F62818" w:rsidRPr="00C82740">
        <w:rPr>
          <w:rFonts w:ascii="Times New Roman" w:hAnsi="Times New Roman"/>
          <w:sz w:val="24"/>
          <w:szCs w:val="24"/>
          <w:lang w:eastAsia="pt-PT"/>
        </w:rPr>
        <w:t>a forma não-radical DPPH-</w:t>
      </w:r>
      <w:r w:rsidR="00F62818">
        <w:rPr>
          <w:rFonts w:ascii="Times New Roman" w:hAnsi="Times New Roman"/>
          <w:sz w:val="24"/>
          <w:szCs w:val="24"/>
          <w:lang w:eastAsia="pt-PT"/>
        </w:rPr>
        <w:t>H (cor amarela) (Figura 20</w:t>
      </w:r>
      <w:r w:rsidR="001C7B83">
        <w:rPr>
          <w:rFonts w:ascii="Times New Roman" w:hAnsi="Times New Roman"/>
          <w:sz w:val="24"/>
          <w:szCs w:val="24"/>
          <w:lang w:eastAsia="pt-PT"/>
        </w:rPr>
        <w:t xml:space="preserve"> (A)</w:t>
      </w:r>
      <w:r w:rsidR="00F62818">
        <w:rPr>
          <w:rFonts w:ascii="Times New Roman" w:hAnsi="Times New Roman"/>
          <w:sz w:val="24"/>
          <w:szCs w:val="24"/>
          <w:lang w:eastAsia="pt-PT"/>
        </w:rPr>
        <w:t xml:space="preserve">), foi seguida espectrofotometricamente a </w:t>
      </w:r>
      <w:r w:rsidR="00F62818" w:rsidRPr="007B4B1D">
        <w:rPr>
          <w:rFonts w:ascii="Times New Roman" w:hAnsi="Times New Roman"/>
          <w:sz w:val="24"/>
        </w:rPr>
        <w:t>517nm</w:t>
      </w:r>
      <w:r w:rsidR="00F62818">
        <w:rPr>
          <w:rFonts w:ascii="Times New Roman" w:hAnsi="Times New Roman"/>
          <w:sz w:val="24"/>
          <w:szCs w:val="24"/>
          <w:lang w:eastAsia="pt-PT"/>
        </w:rPr>
        <w:t>, para cada um dos extractos dadores de átomos de hidrogénio.</w:t>
      </w:r>
      <w:r w:rsidR="00F62818">
        <w:rPr>
          <w:rFonts w:ascii="Times New Roman" w:hAnsi="Times New Roman"/>
          <w:sz w:val="24"/>
        </w:rPr>
        <w:t xml:space="preserve"> </w:t>
      </w:r>
      <w:r>
        <w:rPr>
          <w:rFonts w:ascii="Times New Roman" w:hAnsi="Times New Roman"/>
          <w:sz w:val="24"/>
          <w:szCs w:val="24"/>
        </w:rPr>
        <w:t>A</w:t>
      </w:r>
      <w:r w:rsidRPr="00FF77DE">
        <w:rPr>
          <w:rFonts w:ascii="Times New Roman" w:hAnsi="Times New Roman"/>
          <w:sz w:val="24"/>
          <w:szCs w:val="24"/>
        </w:rPr>
        <w:t xml:space="preserve"> capacidade </w:t>
      </w:r>
      <w:r>
        <w:rPr>
          <w:rFonts w:ascii="Times New Roman" w:hAnsi="Times New Roman"/>
          <w:sz w:val="24"/>
          <w:szCs w:val="24"/>
        </w:rPr>
        <w:t>de resgate de radicais livres pô</w:t>
      </w:r>
      <w:r w:rsidRPr="00FF77DE">
        <w:rPr>
          <w:rFonts w:ascii="Times New Roman" w:hAnsi="Times New Roman"/>
          <w:sz w:val="24"/>
          <w:szCs w:val="24"/>
        </w:rPr>
        <w:t>de ser quantificada através do parâmetro IC</w:t>
      </w:r>
      <w:r w:rsidRPr="00FF77DE">
        <w:rPr>
          <w:rFonts w:ascii="Times New Roman" w:hAnsi="Times New Roman"/>
          <w:sz w:val="24"/>
          <w:szCs w:val="24"/>
          <w:vertAlign w:val="subscript"/>
        </w:rPr>
        <w:t>50</w:t>
      </w:r>
      <w:r w:rsidRPr="006337E1">
        <w:rPr>
          <w:rFonts w:ascii="Times New Roman" w:hAnsi="Times New Roman"/>
          <w:sz w:val="24"/>
          <w:szCs w:val="24"/>
        </w:rPr>
        <w:t>,</w:t>
      </w:r>
      <w:r w:rsidRPr="00FF77DE">
        <w:rPr>
          <w:rFonts w:ascii="Times New Roman" w:hAnsi="Times New Roman"/>
          <w:sz w:val="24"/>
          <w:szCs w:val="24"/>
        </w:rPr>
        <w:t xml:space="preserve"> que representa a concentração </w:t>
      </w:r>
      <w:r w:rsidR="00F62818">
        <w:rPr>
          <w:rFonts w:ascii="Times New Roman" w:hAnsi="Times New Roman"/>
          <w:sz w:val="24"/>
          <w:szCs w:val="24"/>
        </w:rPr>
        <w:t>a que uma determinada</w:t>
      </w:r>
      <w:r>
        <w:rPr>
          <w:rFonts w:ascii="Times New Roman" w:hAnsi="Times New Roman"/>
          <w:sz w:val="24"/>
          <w:szCs w:val="24"/>
        </w:rPr>
        <w:t xml:space="preserve"> amostra</w:t>
      </w:r>
      <w:r w:rsidRPr="00FF77DE">
        <w:rPr>
          <w:rFonts w:ascii="Times New Roman" w:hAnsi="Times New Roman"/>
          <w:sz w:val="24"/>
          <w:szCs w:val="24"/>
        </w:rPr>
        <w:t xml:space="preserve"> </w:t>
      </w:r>
      <w:r w:rsidR="00F62818">
        <w:rPr>
          <w:rFonts w:ascii="Times New Roman" w:hAnsi="Times New Roman"/>
          <w:sz w:val="24"/>
          <w:szCs w:val="24"/>
        </w:rPr>
        <w:t>é capaz de inibir 50% dos</w:t>
      </w:r>
      <w:r w:rsidRPr="00FF77DE">
        <w:rPr>
          <w:rFonts w:ascii="Times New Roman" w:hAnsi="Times New Roman"/>
          <w:sz w:val="24"/>
          <w:szCs w:val="24"/>
        </w:rPr>
        <w:t xml:space="preserve"> radicais livres</w:t>
      </w:r>
      <w:r>
        <w:rPr>
          <w:rFonts w:ascii="Times New Roman" w:hAnsi="Times New Roman"/>
          <w:sz w:val="24"/>
        </w:rPr>
        <w:t xml:space="preserve">, tendo sido </w:t>
      </w:r>
      <w:r w:rsidRPr="00290FF2">
        <w:rPr>
          <w:rFonts w:ascii="Times New Roman" w:hAnsi="Times New Roman"/>
          <w:sz w:val="24"/>
        </w:rPr>
        <w:t xml:space="preserve">calculado através </w:t>
      </w:r>
      <w:r w:rsidR="00B047A4">
        <w:rPr>
          <w:rFonts w:ascii="Times New Roman" w:hAnsi="Times New Roman"/>
          <w:sz w:val="24"/>
        </w:rPr>
        <w:t xml:space="preserve">do </w:t>
      </w:r>
      <w:r w:rsidRPr="006F1F99">
        <w:rPr>
          <w:rFonts w:ascii="Times New Roman" w:hAnsi="Times New Roman"/>
          <w:i/>
          <w:sz w:val="24"/>
        </w:rPr>
        <w:t>software</w:t>
      </w:r>
      <w:r>
        <w:rPr>
          <w:rFonts w:ascii="Times New Roman" w:hAnsi="Times New Roman"/>
          <w:sz w:val="24"/>
        </w:rPr>
        <w:t xml:space="preserve"> </w:t>
      </w:r>
      <w:r w:rsidRPr="00290FF2">
        <w:rPr>
          <w:rFonts w:ascii="Times New Roman" w:hAnsi="Times New Roman"/>
          <w:i/>
          <w:sz w:val="24"/>
        </w:rPr>
        <w:t>Sigma Plot 11.0</w:t>
      </w:r>
      <w:r>
        <w:rPr>
          <w:rFonts w:ascii="Times New Roman" w:hAnsi="Times New Roman"/>
          <w:sz w:val="24"/>
          <w:szCs w:val="24"/>
        </w:rPr>
        <w:t xml:space="preserve">. </w:t>
      </w:r>
      <w:r w:rsidR="00B047A4">
        <w:rPr>
          <w:rFonts w:ascii="Times New Roman" w:hAnsi="Times New Roman"/>
          <w:sz w:val="24"/>
          <w:szCs w:val="24"/>
        </w:rPr>
        <w:t>tal com referido anteriormente, n</w:t>
      </w:r>
      <w:r>
        <w:rPr>
          <w:rFonts w:ascii="Times New Roman" w:hAnsi="Times New Roman"/>
          <w:sz w:val="24"/>
          <w:szCs w:val="24"/>
        </w:rPr>
        <w:t>a avaliação deste parâmetro sabe-se que q</w:t>
      </w:r>
      <w:r w:rsidRPr="00FF77DE">
        <w:rPr>
          <w:rFonts w:ascii="Times New Roman" w:hAnsi="Times New Roman"/>
          <w:sz w:val="24"/>
          <w:szCs w:val="24"/>
        </w:rPr>
        <w:t>uanto mais elevado o valor de IC</w:t>
      </w:r>
      <w:r w:rsidRPr="00FF77DE">
        <w:rPr>
          <w:rFonts w:ascii="Times New Roman" w:hAnsi="Times New Roman"/>
          <w:sz w:val="24"/>
          <w:szCs w:val="24"/>
          <w:vertAlign w:val="subscript"/>
        </w:rPr>
        <w:t>50</w:t>
      </w:r>
      <w:r w:rsidRPr="00FF77DE">
        <w:rPr>
          <w:rFonts w:ascii="Times New Roman" w:hAnsi="Times New Roman"/>
          <w:sz w:val="24"/>
          <w:szCs w:val="24"/>
        </w:rPr>
        <w:t xml:space="preserve"> menor </w:t>
      </w:r>
      <w:r w:rsidR="00B047A4">
        <w:rPr>
          <w:rFonts w:ascii="Times New Roman" w:hAnsi="Times New Roman"/>
          <w:sz w:val="24"/>
          <w:szCs w:val="24"/>
        </w:rPr>
        <w:t xml:space="preserve">é </w:t>
      </w:r>
      <w:r w:rsidRPr="00FF77DE">
        <w:rPr>
          <w:rFonts w:ascii="Times New Roman" w:hAnsi="Times New Roman"/>
          <w:sz w:val="24"/>
          <w:szCs w:val="24"/>
        </w:rPr>
        <w:t>a capacidade da amostra para neutralizar os radicais de DPPH</w:t>
      </w:r>
      <w:r w:rsidR="00B047A4">
        <w:rPr>
          <w:rFonts w:ascii="Times New Roman" w:hAnsi="Times New Roman"/>
          <w:sz w:val="24"/>
          <w:szCs w:val="24"/>
        </w:rPr>
        <w:t xml:space="preserve">, e consequentemente melhor </w:t>
      </w:r>
      <w:r w:rsidR="001C7B83">
        <w:rPr>
          <w:rFonts w:ascii="Times New Roman" w:hAnsi="Times New Roman"/>
          <w:sz w:val="24"/>
          <w:szCs w:val="24"/>
        </w:rPr>
        <w:t>é</w:t>
      </w:r>
      <w:r w:rsidR="00B047A4">
        <w:rPr>
          <w:rFonts w:ascii="Times New Roman" w:hAnsi="Times New Roman"/>
          <w:sz w:val="24"/>
          <w:szCs w:val="24"/>
        </w:rPr>
        <w:t xml:space="preserve"> a sua capacidade antioxi</w:t>
      </w:r>
      <w:r w:rsidR="001C7B83">
        <w:rPr>
          <w:rFonts w:ascii="Times New Roman" w:hAnsi="Times New Roman"/>
          <w:sz w:val="24"/>
          <w:szCs w:val="24"/>
        </w:rPr>
        <w:t>dante</w:t>
      </w:r>
      <w:r w:rsidRPr="00FF77DE">
        <w:rPr>
          <w:rFonts w:ascii="Times New Roman" w:hAnsi="Times New Roman"/>
          <w:sz w:val="24"/>
          <w:szCs w:val="24"/>
        </w:rPr>
        <w:t xml:space="preserve">. </w:t>
      </w:r>
    </w:p>
    <w:p w:rsidR="006737F5" w:rsidRPr="00FF76B7" w:rsidRDefault="006737F5" w:rsidP="006737F5">
      <w:pPr>
        <w:autoSpaceDE w:val="0"/>
        <w:autoSpaceDN w:val="0"/>
        <w:adjustRightInd w:val="0"/>
        <w:ind w:firstLine="708"/>
        <w:jc w:val="both"/>
        <w:rPr>
          <w:rFonts w:ascii="Times New Roman" w:hAnsi="Times New Roman"/>
          <w:sz w:val="24"/>
          <w:szCs w:val="24"/>
        </w:rPr>
      </w:pPr>
      <w:r>
        <w:rPr>
          <w:rFonts w:ascii="Times New Roman" w:hAnsi="Times New Roman"/>
          <w:sz w:val="24"/>
        </w:rPr>
        <w:t>O poder redutor dos extractos de</w:t>
      </w:r>
      <w:r w:rsidR="001C7B83">
        <w:rPr>
          <w:rFonts w:ascii="Times New Roman" w:hAnsi="Times New Roman"/>
          <w:sz w:val="24"/>
        </w:rPr>
        <w:t>rivados do</w:t>
      </w:r>
      <w:r>
        <w:rPr>
          <w:rFonts w:ascii="Times New Roman" w:hAnsi="Times New Roman"/>
          <w:sz w:val="24"/>
        </w:rPr>
        <w:t xml:space="preserve"> BAE </w:t>
      </w:r>
      <w:r w:rsidR="001C7B83">
        <w:rPr>
          <w:rFonts w:ascii="Times New Roman" w:hAnsi="Times New Roman"/>
          <w:sz w:val="24"/>
        </w:rPr>
        <w:t xml:space="preserve">foi </w:t>
      </w:r>
      <w:r>
        <w:rPr>
          <w:rFonts w:ascii="Times New Roman" w:hAnsi="Times New Roman"/>
          <w:sz w:val="24"/>
        </w:rPr>
        <w:t xml:space="preserve">também </w:t>
      </w:r>
      <w:r w:rsidR="001C7B83">
        <w:rPr>
          <w:rFonts w:ascii="Times New Roman" w:hAnsi="Times New Roman"/>
          <w:sz w:val="24"/>
        </w:rPr>
        <w:t>estudado,</w:t>
      </w:r>
      <w:r>
        <w:rPr>
          <w:rFonts w:ascii="Times New Roman" w:hAnsi="Times New Roman"/>
          <w:sz w:val="24"/>
        </w:rPr>
        <w:t xml:space="preserve"> como um indicador adicional da existência de uma potencial actividade antioxidante deste subproduto da indústria do azeite. Este também é um método espectrofotométrico onde quanto maior a </w:t>
      </w:r>
      <w:r w:rsidRPr="00290FF2">
        <w:rPr>
          <w:rFonts w:ascii="Times New Roman" w:hAnsi="Times New Roman"/>
          <w:sz w:val="24"/>
        </w:rPr>
        <w:t>absorvância</w:t>
      </w:r>
      <w:r>
        <w:rPr>
          <w:rFonts w:ascii="Times New Roman" w:hAnsi="Times New Roman"/>
          <w:sz w:val="24"/>
        </w:rPr>
        <w:t xml:space="preserve"> das amostras a 700nm, maior é a capacidade redutora da amostra e por conseguinte maior é a sua actividade antioxidante, observável pela alteração da cor da solução de amarela para tons verde/azulado</w:t>
      </w:r>
      <w:r w:rsidR="001C7B83">
        <w:rPr>
          <w:rFonts w:ascii="Times New Roman" w:hAnsi="Times New Roman"/>
          <w:sz w:val="24"/>
        </w:rPr>
        <w:t xml:space="preserve"> (Figura 20 (B))</w:t>
      </w:r>
      <w:r>
        <w:rPr>
          <w:rFonts w:ascii="Times New Roman" w:hAnsi="Times New Roman"/>
          <w:sz w:val="24"/>
        </w:rPr>
        <w:t xml:space="preserve">. </w:t>
      </w:r>
      <w:r w:rsidRPr="00290FF2">
        <w:rPr>
          <w:rFonts w:ascii="Times New Roman" w:hAnsi="Times New Roman"/>
          <w:sz w:val="24"/>
        </w:rPr>
        <w:t xml:space="preserve">A </w:t>
      </w:r>
      <w:r w:rsidRPr="00290FF2">
        <w:rPr>
          <w:rFonts w:ascii="Times New Roman" w:hAnsi="Times New Roman"/>
          <w:sz w:val="24"/>
        </w:rPr>
        <w:lastRenderedPageBreak/>
        <w:t>concentração de extracto correspondente a 0,500 de absorvância (EC</w:t>
      </w:r>
      <w:r w:rsidRPr="00290FF2">
        <w:rPr>
          <w:rFonts w:ascii="Times New Roman" w:hAnsi="Times New Roman"/>
          <w:sz w:val="24"/>
          <w:vertAlign w:val="subscript"/>
        </w:rPr>
        <w:t>50</w:t>
      </w:r>
      <w:r w:rsidRPr="00290FF2">
        <w:rPr>
          <w:rFonts w:ascii="Times New Roman" w:hAnsi="Times New Roman"/>
          <w:sz w:val="24"/>
        </w:rPr>
        <w:t>) foi calculada a partir da equação do gráfico da absorvância a 700nm</w:t>
      </w:r>
      <w:r>
        <w:rPr>
          <w:rFonts w:ascii="Times New Roman" w:hAnsi="Times New Roman"/>
          <w:sz w:val="24"/>
        </w:rPr>
        <w:t>,</w:t>
      </w:r>
      <w:r w:rsidRPr="00290FF2">
        <w:rPr>
          <w:rFonts w:ascii="Times New Roman" w:hAnsi="Times New Roman"/>
          <w:sz w:val="24"/>
        </w:rPr>
        <w:t xml:space="preserve"> </w:t>
      </w:r>
      <w:r>
        <w:rPr>
          <w:rFonts w:ascii="Times New Roman" w:hAnsi="Times New Roman"/>
          <w:sz w:val="24"/>
        </w:rPr>
        <w:t>de cada uma das réplicas dos triplicados de cada extracto,</w:t>
      </w:r>
      <w:r w:rsidRPr="00290FF2">
        <w:rPr>
          <w:rFonts w:ascii="Times New Roman" w:hAnsi="Times New Roman"/>
          <w:sz w:val="24"/>
        </w:rPr>
        <w:t xml:space="preserve"> em função da concentração do extracto. </w:t>
      </w:r>
      <w:r>
        <w:rPr>
          <w:rFonts w:ascii="Times New Roman" w:hAnsi="Times New Roman"/>
          <w:sz w:val="24"/>
          <w:szCs w:val="24"/>
        </w:rPr>
        <w:t>Na avaliação deste parâmetro sabe-se que q</w:t>
      </w:r>
      <w:r w:rsidRPr="00FF77DE">
        <w:rPr>
          <w:rFonts w:ascii="Times New Roman" w:hAnsi="Times New Roman"/>
          <w:sz w:val="24"/>
          <w:szCs w:val="24"/>
        </w:rPr>
        <w:t xml:space="preserve">uanto mais elevado </w:t>
      </w:r>
      <w:r>
        <w:rPr>
          <w:rFonts w:ascii="Times New Roman" w:hAnsi="Times New Roman"/>
          <w:sz w:val="24"/>
          <w:szCs w:val="24"/>
        </w:rPr>
        <w:t>se apresenta o valor de E</w:t>
      </w:r>
      <w:r w:rsidRPr="00FF77DE">
        <w:rPr>
          <w:rFonts w:ascii="Times New Roman" w:hAnsi="Times New Roman"/>
          <w:sz w:val="24"/>
          <w:szCs w:val="24"/>
        </w:rPr>
        <w:t>C</w:t>
      </w:r>
      <w:r w:rsidRPr="00FF77DE">
        <w:rPr>
          <w:rFonts w:ascii="Times New Roman" w:hAnsi="Times New Roman"/>
          <w:sz w:val="24"/>
          <w:szCs w:val="24"/>
          <w:vertAlign w:val="subscript"/>
        </w:rPr>
        <w:t>50</w:t>
      </w:r>
      <w:r w:rsidRPr="00FF77DE">
        <w:rPr>
          <w:rFonts w:ascii="Times New Roman" w:hAnsi="Times New Roman"/>
          <w:sz w:val="24"/>
          <w:szCs w:val="24"/>
        </w:rPr>
        <w:t xml:space="preserve"> menor será a capacidade </w:t>
      </w:r>
      <w:r>
        <w:rPr>
          <w:rFonts w:ascii="Times New Roman" w:hAnsi="Times New Roman"/>
          <w:sz w:val="24"/>
          <w:szCs w:val="24"/>
        </w:rPr>
        <w:t xml:space="preserve">de redução </w:t>
      </w:r>
      <w:r w:rsidRPr="00FF77DE">
        <w:rPr>
          <w:rFonts w:ascii="Times New Roman" w:hAnsi="Times New Roman"/>
          <w:sz w:val="24"/>
          <w:szCs w:val="24"/>
        </w:rPr>
        <w:t>da amostra</w:t>
      </w:r>
      <w:r>
        <w:rPr>
          <w:rFonts w:ascii="Times New Roman" w:hAnsi="Times New Roman"/>
          <w:sz w:val="24"/>
          <w:szCs w:val="24"/>
        </w:rPr>
        <w:t>, e menor será a sua actividade antioxidante</w:t>
      </w:r>
      <w:r w:rsidRPr="00FF77DE">
        <w:rPr>
          <w:rFonts w:ascii="Times New Roman" w:hAnsi="Times New Roman"/>
          <w:sz w:val="24"/>
          <w:szCs w:val="24"/>
        </w:rPr>
        <w:t xml:space="preserve">. </w:t>
      </w:r>
    </w:p>
    <w:p w:rsidR="006737F5" w:rsidRDefault="006737F5" w:rsidP="00133165">
      <w:pPr>
        <w:autoSpaceDE w:val="0"/>
        <w:autoSpaceDN w:val="0"/>
        <w:adjustRightInd w:val="0"/>
        <w:spacing w:after="0"/>
        <w:ind w:firstLine="708"/>
        <w:jc w:val="both"/>
        <w:rPr>
          <w:rFonts w:ascii="Times New Roman" w:hAnsi="Times New Roman"/>
          <w:sz w:val="24"/>
        </w:rPr>
      </w:pPr>
      <w:r>
        <w:rPr>
          <w:rFonts w:ascii="Times New Roman" w:hAnsi="Times New Roman"/>
          <w:sz w:val="24"/>
        </w:rPr>
        <w:t>Os valores de IC</w:t>
      </w:r>
      <w:r w:rsidRPr="00290FF2">
        <w:rPr>
          <w:rFonts w:ascii="Times New Roman" w:hAnsi="Times New Roman"/>
          <w:sz w:val="24"/>
          <w:vertAlign w:val="subscript"/>
        </w:rPr>
        <w:t>50</w:t>
      </w:r>
      <w:r>
        <w:rPr>
          <w:rFonts w:ascii="Times New Roman" w:hAnsi="Times New Roman"/>
          <w:sz w:val="24"/>
          <w:vertAlign w:val="subscript"/>
        </w:rPr>
        <w:t xml:space="preserve"> </w:t>
      </w:r>
      <w:r>
        <w:rPr>
          <w:rFonts w:ascii="Times New Roman" w:hAnsi="Times New Roman"/>
          <w:sz w:val="24"/>
        </w:rPr>
        <w:t xml:space="preserve">(ensaio DPPH) e de </w:t>
      </w:r>
      <w:r w:rsidRPr="00290FF2">
        <w:rPr>
          <w:rFonts w:ascii="Times New Roman" w:hAnsi="Times New Roman"/>
          <w:sz w:val="24"/>
        </w:rPr>
        <w:t>EC</w:t>
      </w:r>
      <w:r w:rsidRPr="00290FF2">
        <w:rPr>
          <w:rFonts w:ascii="Times New Roman" w:hAnsi="Times New Roman"/>
          <w:sz w:val="24"/>
          <w:vertAlign w:val="subscript"/>
        </w:rPr>
        <w:t>50</w:t>
      </w:r>
      <w:r>
        <w:rPr>
          <w:rFonts w:ascii="Times New Roman" w:hAnsi="Times New Roman"/>
          <w:sz w:val="24"/>
        </w:rPr>
        <w:t xml:space="preserve"> (ensaio do poder redutor) calculados apresentam-se em </w:t>
      </w:r>
      <w:r w:rsidR="007F32BE">
        <w:rPr>
          <w:rFonts w:ascii="Times New Roman" w:hAnsi="Times New Roman"/>
          <w:sz w:val="24"/>
        </w:rPr>
        <w:t xml:space="preserve">unidades </w:t>
      </w:r>
      <w:r w:rsidR="00A33698">
        <w:rPr>
          <w:rFonts w:ascii="Times New Roman" w:hAnsi="Times New Roman"/>
          <w:sz w:val="24"/>
        </w:rPr>
        <w:t>equivalentes de ácido gálico (</w:t>
      </w:r>
      <w:r w:rsidR="007F32BE">
        <w:rPr>
          <w:rFonts w:ascii="Times New Roman" w:hAnsi="Times New Roman"/>
          <w:sz w:val="24"/>
        </w:rPr>
        <w:t>EAG</w:t>
      </w:r>
      <w:r w:rsidR="00A33698">
        <w:rPr>
          <w:rFonts w:ascii="Times New Roman" w:hAnsi="Times New Roman"/>
          <w:sz w:val="24"/>
        </w:rPr>
        <w:t>)</w:t>
      </w:r>
      <w:r>
        <w:rPr>
          <w:rFonts w:ascii="Times New Roman" w:hAnsi="Times New Roman"/>
          <w:sz w:val="24"/>
        </w:rPr>
        <w:t>, uma vez que as concentrações dos três extractos testadas foram preparadas de acordo com o seu conteúdo em fenóis totais. No entanto, os resultados apresentados deste ensaio serão expostos em unidad</w:t>
      </w:r>
      <w:r w:rsidR="00383A0A">
        <w:rPr>
          <w:rFonts w:ascii="Times New Roman" w:hAnsi="Times New Roman"/>
          <w:sz w:val="24"/>
        </w:rPr>
        <w:t>es mássicas (µg/mL de extracto), determinadas pela equação:</w:t>
      </w:r>
    </w:p>
    <w:p w:rsidR="00133165" w:rsidRDefault="00133165" w:rsidP="00133165">
      <w:pPr>
        <w:autoSpaceDE w:val="0"/>
        <w:autoSpaceDN w:val="0"/>
        <w:adjustRightInd w:val="0"/>
        <w:spacing w:after="0"/>
        <w:ind w:firstLine="708"/>
        <w:jc w:val="both"/>
        <w:rPr>
          <w:rFonts w:ascii="Times New Roman" w:hAnsi="Times New Roman"/>
          <w:sz w:val="24"/>
        </w:rPr>
      </w:pPr>
    </w:p>
    <w:p w:rsidR="00383A0A" w:rsidRDefault="007B02FE" w:rsidP="00133165">
      <w:pPr>
        <w:autoSpaceDE w:val="0"/>
        <w:autoSpaceDN w:val="0"/>
        <w:adjustRightInd w:val="0"/>
        <w:spacing w:after="0"/>
        <w:ind w:firstLine="708"/>
        <w:jc w:val="both"/>
        <w:rPr>
          <w:rFonts w:ascii="Times New Roman" w:hAnsi="Times New Roman"/>
          <w:sz w:val="20"/>
        </w:rPr>
      </w:pPr>
      <m:oMathPara>
        <m:oMath>
          <m:sSub>
            <m:sSubPr>
              <m:ctrlPr>
                <w:rPr>
                  <w:rFonts w:ascii="Cambria Math" w:hAnsi="Cambria Math"/>
                  <w:i/>
                  <w:sz w:val="20"/>
                </w:rPr>
              </m:ctrlPr>
            </m:sSubPr>
            <m:e>
              <m:r>
                <w:rPr>
                  <w:rFonts w:ascii="Cambria Math" w:hAnsi="Cambria Math"/>
                  <w:sz w:val="20"/>
                </w:rPr>
                <m:t>IC</m:t>
              </m:r>
            </m:e>
            <m:sub>
              <m:r>
                <w:rPr>
                  <w:rFonts w:ascii="Cambria Math" w:hAnsi="Cambria Math"/>
                  <w:sz w:val="20"/>
                </w:rPr>
                <m:t>50</m:t>
              </m:r>
            </m:sub>
          </m:sSub>
          <m:d>
            <m:dPr>
              <m:ctrlPr>
                <w:rPr>
                  <w:rFonts w:ascii="Cambria Math" w:hAnsi="Cambria Math"/>
                  <w:i/>
                  <w:sz w:val="20"/>
                </w:rPr>
              </m:ctrlPr>
            </m:dPr>
            <m:e>
              <m:f>
                <m:fPr>
                  <m:type m:val="lin"/>
                  <m:ctrlPr>
                    <w:rPr>
                      <w:rFonts w:ascii="Cambria Math" w:hAnsi="Cambria Math"/>
                      <w:i/>
                      <w:sz w:val="20"/>
                    </w:rPr>
                  </m:ctrlPr>
                </m:fPr>
                <m:num>
                  <m:r>
                    <w:rPr>
                      <w:rFonts w:ascii="Cambria Math" w:hAnsi="Cambria Math"/>
                      <w:sz w:val="20"/>
                    </w:rPr>
                    <m:t>µg</m:t>
                  </m:r>
                </m:num>
                <m:den>
                  <m:r>
                    <w:rPr>
                      <w:rFonts w:ascii="Cambria Math" w:hAnsi="Cambria Math"/>
                      <w:sz w:val="20"/>
                    </w:rPr>
                    <m:t>mL</m:t>
                  </m:r>
                </m:den>
              </m:f>
              <m:r>
                <w:rPr>
                  <w:rFonts w:ascii="Cambria Math" w:hAnsi="Cambria Math"/>
                  <w:sz w:val="20"/>
                </w:rPr>
                <m:t xml:space="preserve"> de extracto</m:t>
              </m:r>
            </m:e>
          </m:d>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IC</m:t>
                  </m:r>
                </m:e>
                <m:sub>
                  <m:r>
                    <w:rPr>
                      <w:rFonts w:ascii="Cambria Math" w:hAnsi="Cambria Math"/>
                      <w:sz w:val="20"/>
                    </w:rPr>
                    <m:t>50</m:t>
                  </m:r>
                </m:sub>
              </m:sSub>
              <m:r>
                <w:rPr>
                  <w:rFonts w:ascii="Cambria Math" w:hAnsi="Cambria Math"/>
                  <w:sz w:val="20"/>
                </w:rPr>
                <m:t xml:space="preserve"> </m:t>
              </m:r>
              <m:d>
                <m:dPr>
                  <m:ctrlPr>
                    <w:rPr>
                      <w:rFonts w:ascii="Cambria Math" w:hAnsi="Cambria Math"/>
                      <w:i/>
                      <w:sz w:val="20"/>
                    </w:rPr>
                  </m:ctrlPr>
                </m:dPr>
                <m:e>
                  <m:r>
                    <w:rPr>
                      <w:rFonts w:ascii="Cambria Math" w:hAnsi="Cambria Math"/>
                      <w:sz w:val="20"/>
                    </w:rPr>
                    <m:t>EAG</m:t>
                  </m:r>
                </m:e>
              </m:d>
              <m:r>
                <w:rPr>
                  <w:rFonts w:ascii="Cambria Math" w:hAnsi="Cambria Math"/>
                  <w:sz w:val="20"/>
                </w:rPr>
                <m:t>×Concentração de extra</m:t>
              </m:r>
              <m:r>
                <w:rPr>
                  <w:rFonts w:ascii="Cambria Math" w:hAnsi="Cambria Math"/>
                  <w:sz w:val="20"/>
                </w:rPr>
                <m:t>cto inicial</m:t>
              </m:r>
            </m:num>
            <m:den>
              <m:r>
                <w:rPr>
                  <w:rFonts w:ascii="Cambria Math" w:hAnsi="Cambria Math"/>
                  <w:sz w:val="20"/>
                </w:rPr>
                <m:t>Concentração de fenóis totais (</m:t>
              </m:r>
              <m:f>
                <m:fPr>
                  <m:type m:val="lin"/>
                  <m:ctrlPr>
                    <w:rPr>
                      <w:rFonts w:ascii="Cambria Math" w:hAnsi="Cambria Math"/>
                      <w:i/>
                      <w:sz w:val="20"/>
                    </w:rPr>
                  </m:ctrlPr>
                </m:fPr>
                <m:num>
                  <m:r>
                    <w:rPr>
                      <w:rFonts w:ascii="Cambria Math" w:hAnsi="Cambria Math"/>
                      <w:sz w:val="20"/>
                    </w:rPr>
                    <m:t>µg</m:t>
                  </m:r>
                </m:num>
                <m:den>
                  <m:r>
                    <w:rPr>
                      <w:rFonts w:ascii="Cambria Math" w:hAnsi="Cambria Math"/>
                      <w:sz w:val="20"/>
                    </w:rPr>
                    <m:t>mL)</m:t>
                  </m:r>
                </m:den>
              </m:f>
            </m:den>
          </m:f>
          <m:r>
            <w:rPr>
              <w:rFonts w:ascii="Cambria Math" w:hAnsi="Cambria Math"/>
              <w:sz w:val="20"/>
            </w:rPr>
            <m:t xml:space="preserve"> </m:t>
          </m:r>
        </m:oMath>
      </m:oMathPara>
    </w:p>
    <w:p w:rsidR="00133165" w:rsidRPr="001E0074" w:rsidRDefault="00133165" w:rsidP="009A189F">
      <w:pPr>
        <w:autoSpaceDE w:val="0"/>
        <w:autoSpaceDN w:val="0"/>
        <w:adjustRightInd w:val="0"/>
        <w:ind w:firstLine="708"/>
        <w:jc w:val="both"/>
        <w:rPr>
          <w:rFonts w:ascii="Times New Roman" w:hAnsi="Times New Roman"/>
          <w:sz w:val="24"/>
        </w:rPr>
      </w:pPr>
    </w:p>
    <w:p w:rsidR="006737F5" w:rsidRDefault="006737F5" w:rsidP="006737F5">
      <w:pPr>
        <w:autoSpaceDE w:val="0"/>
        <w:autoSpaceDN w:val="0"/>
        <w:adjustRightInd w:val="0"/>
        <w:spacing w:after="0"/>
        <w:ind w:firstLine="708"/>
        <w:jc w:val="both"/>
        <w:rPr>
          <w:rFonts w:ascii="Times New Roman" w:hAnsi="Times New Roman"/>
          <w:sz w:val="24"/>
        </w:rPr>
      </w:pPr>
      <w:r>
        <w:rPr>
          <w:rFonts w:ascii="Times New Roman" w:hAnsi="Times New Roman"/>
          <w:sz w:val="24"/>
          <w:szCs w:val="24"/>
        </w:rPr>
        <w:t xml:space="preserve">O composto fenólico </w:t>
      </w:r>
      <w:r w:rsidRPr="00290FF2">
        <w:rPr>
          <w:rFonts w:ascii="Times New Roman" w:hAnsi="Times New Roman"/>
          <w:sz w:val="24"/>
        </w:rPr>
        <w:t>Hidroxitirosol</w:t>
      </w:r>
      <w:r>
        <w:rPr>
          <w:rFonts w:ascii="Times New Roman" w:hAnsi="Times New Roman"/>
          <w:sz w:val="24"/>
        </w:rPr>
        <w:t xml:space="preserve"> (HT), reconhecido como um potente antioxidante, foi </w:t>
      </w:r>
      <w:r w:rsidRPr="00290FF2">
        <w:rPr>
          <w:rFonts w:ascii="Times New Roman" w:hAnsi="Times New Roman"/>
          <w:sz w:val="24"/>
        </w:rPr>
        <w:t xml:space="preserve">utilizado como padrão de referência para as amostras de cada extracto, bem como outros dois padrões de referência o α-tocoferol, e o hidroxianisolo butilado (BHA), </w:t>
      </w:r>
      <w:r w:rsidR="009A189F">
        <w:rPr>
          <w:rFonts w:ascii="Times New Roman" w:hAnsi="Times New Roman"/>
          <w:sz w:val="24"/>
        </w:rPr>
        <w:t xml:space="preserve">respectivamente, como antioxidante natural e </w:t>
      </w:r>
      <w:r w:rsidRPr="00290FF2">
        <w:rPr>
          <w:rFonts w:ascii="Times New Roman" w:hAnsi="Times New Roman"/>
          <w:sz w:val="24"/>
        </w:rPr>
        <w:t>sintético.</w:t>
      </w:r>
    </w:p>
    <w:p w:rsidR="00133165" w:rsidRDefault="00133165" w:rsidP="006737F5">
      <w:pPr>
        <w:autoSpaceDE w:val="0"/>
        <w:autoSpaceDN w:val="0"/>
        <w:adjustRightInd w:val="0"/>
        <w:spacing w:after="0"/>
        <w:ind w:firstLine="708"/>
        <w:jc w:val="both"/>
        <w:rPr>
          <w:rFonts w:ascii="Times New Roman" w:hAnsi="Times New Roman"/>
          <w:sz w:val="24"/>
        </w:rPr>
      </w:pPr>
    </w:p>
    <w:p w:rsidR="006737F5" w:rsidRDefault="006737F5" w:rsidP="00F90C40">
      <w:pPr>
        <w:autoSpaceDE w:val="0"/>
        <w:autoSpaceDN w:val="0"/>
        <w:adjustRightInd w:val="0"/>
        <w:spacing w:after="0"/>
        <w:jc w:val="both"/>
        <w:rPr>
          <w:rFonts w:ascii="Times New Roman" w:hAnsi="Times New Roman"/>
          <w:sz w:val="24"/>
        </w:rPr>
      </w:pPr>
    </w:p>
    <w:p w:rsidR="006737F5" w:rsidRDefault="00133165" w:rsidP="006737F5">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07392" behindDoc="1" locked="0" layoutInCell="1" allowOverlap="1">
            <wp:simplePos x="0" y="0"/>
            <wp:positionH relativeFrom="column">
              <wp:posOffset>414020</wp:posOffset>
            </wp:positionH>
            <wp:positionV relativeFrom="paragraph">
              <wp:posOffset>128270</wp:posOffset>
            </wp:positionV>
            <wp:extent cx="2193925" cy="1510665"/>
            <wp:effectExtent l="190500" t="152400" r="168275" b="127635"/>
            <wp:wrapTight wrapText="bothSides">
              <wp:wrapPolygon edited="0">
                <wp:start x="0" y="-2179"/>
                <wp:lineTo x="-1125" y="-1362"/>
                <wp:lineTo x="-1876" y="272"/>
                <wp:lineTo x="-1876" y="20701"/>
                <wp:lineTo x="-563" y="23425"/>
                <wp:lineTo x="0" y="23425"/>
                <wp:lineTo x="21381" y="23425"/>
                <wp:lineTo x="21944" y="23425"/>
                <wp:lineTo x="23257" y="20701"/>
                <wp:lineTo x="23257" y="817"/>
                <wp:lineTo x="22319" y="-1634"/>
                <wp:lineTo x="21381" y="-2179"/>
                <wp:lineTo x="0" y="-2179"/>
              </wp:wrapPolygon>
            </wp:wrapTight>
            <wp:docPr id="31" name="Imagem 1" descr="C:\Users\laura\Desktop\TESE\DPPH\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esktop\TESE\DPPH\003.JPG"/>
                    <pic:cNvPicPr>
                      <a:picLocks noChangeAspect="1" noChangeArrowheads="1"/>
                    </pic:cNvPicPr>
                  </pic:nvPicPr>
                  <pic:blipFill>
                    <a:blip r:embed="rId46" cstate="print">
                      <a:lum contrast="10000"/>
                    </a:blip>
                    <a:srcRect l="9265" t="10213" r="2556" b="8936"/>
                    <a:stretch>
                      <a:fillRect/>
                    </a:stretch>
                  </pic:blipFill>
                  <pic:spPr bwMode="auto">
                    <a:xfrm>
                      <a:off x="0" y="0"/>
                      <a:ext cx="2193925" cy="1510665"/>
                    </a:xfrm>
                    <a:prstGeom prst="rect">
                      <a:avLst/>
                    </a:prstGeom>
                    <a:ln>
                      <a:noFill/>
                    </a:ln>
                    <a:effectLst>
                      <a:outerShdw blurRad="190500" algn="tl" rotWithShape="0">
                        <a:srgbClr val="000000">
                          <a:alpha val="70000"/>
                        </a:srgbClr>
                      </a:outerShdw>
                    </a:effectLst>
                  </pic:spPr>
                </pic:pic>
              </a:graphicData>
            </a:graphic>
          </wp:anchor>
        </w:drawing>
      </w:r>
      <w:r w:rsidR="007B02FE">
        <w:rPr>
          <w:rFonts w:ascii="Times New Roman" w:hAnsi="Times New Roman"/>
          <w:noProof/>
          <w:sz w:val="24"/>
          <w:szCs w:val="24"/>
          <w:lang w:eastAsia="pt-PT"/>
        </w:rPr>
        <w:pict>
          <v:shape id="_x0000_s1080" type="#_x0000_t202" style="position:absolute;left:0;text-align:left;margin-left:-365.95pt;margin-top:9.05pt;width:27.75pt;height:24pt;z-index:251728896;mso-position-horizontal-relative:text;mso-position-vertical-relative:text" filled="f" stroked="f" strokecolor="#002060">
            <v:textbox style="mso-next-textbox:#_x0000_s1080">
              <w:txbxContent>
                <w:p w:rsidR="00B766F9" w:rsidRPr="00C5291A" w:rsidRDefault="00B766F9" w:rsidP="006737F5">
                  <w:pPr>
                    <w:rPr>
                      <w:b/>
                      <w:sz w:val="32"/>
                    </w:rPr>
                  </w:pPr>
                  <w:r w:rsidRPr="00C5291A">
                    <w:rPr>
                      <w:b/>
                      <w:sz w:val="32"/>
                    </w:rPr>
                    <w:t>A</w:t>
                  </w:r>
                </w:p>
              </w:txbxContent>
            </v:textbox>
          </v:shape>
        </w:pict>
      </w:r>
      <w:r w:rsidR="007B02FE" w:rsidRPr="007B02FE">
        <w:rPr>
          <w:rFonts w:ascii="Times New Roman" w:hAnsi="Times New Roman" w:cstheme="minorBidi"/>
          <w:noProof/>
          <w:sz w:val="24"/>
          <w:szCs w:val="24"/>
          <w:lang w:eastAsia="pt-PT"/>
        </w:rPr>
        <w:pict>
          <v:shape id="_x0000_s1081" type="#_x0000_t202" style="position:absolute;left:0;text-align:left;margin-left:-166.75pt;margin-top:5.4pt;width:27.75pt;height:24pt;z-index:251729920;mso-position-horizontal-relative:text;mso-position-vertical-relative:text" filled="f" stroked="f" strokecolor="#002060">
            <v:textbox style="mso-next-textbox:#_x0000_s1081">
              <w:txbxContent>
                <w:p w:rsidR="00B766F9" w:rsidRPr="00C5291A" w:rsidRDefault="00B766F9" w:rsidP="006737F5">
                  <w:pPr>
                    <w:rPr>
                      <w:b/>
                      <w:sz w:val="32"/>
                    </w:rPr>
                  </w:pPr>
                  <w:r w:rsidRPr="00C5291A">
                    <w:rPr>
                      <w:b/>
                      <w:sz w:val="32"/>
                    </w:rPr>
                    <w:t>B</w:t>
                  </w:r>
                </w:p>
              </w:txbxContent>
            </v:textbox>
          </v:shape>
        </w:pict>
      </w:r>
      <w:r w:rsidR="009A189F">
        <w:rPr>
          <w:rFonts w:ascii="Times New Roman" w:hAnsi="Times New Roman" w:cstheme="minorBidi"/>
          <w:noProof/>
          <w:sz w:val="24"/>
          <w:szCs w:val="24"/>
          <w:lang w:eastAsia="pt-PT"/>
        </w:rPr>
        <w:drawing>
          <wp:anchor distT="0" distB="0" distL="114300" distR="114300" simplePos="0" relativeHeight="251708416" behindDoc="1" locked="0" layoutInCell="1" allowOverlap="1">
            <wp:simplePos x="0" y="0"/>
            <wp:positionH relativeFrom="column">
              <wp:posOffset>2974340</wp:posOffset>
            </wp:positionH>
            <wp:positionV relativeFrom="paragraph">
              <wp:posOffset>22225</wp:posOffset>
            </wp:positionV>
            <wp:extent cx="1828800" cy="1634490"/>
            <wp:effectExtent l="190500" t="152400" r="171450" b="137160"/>
            <wp:wrapTight wrapText="bothSides">
              <wp:wrapPolygon edited="0">
                <wp:start x="0" y="-2014"/>
                <wp:lineTo x="-1350" y="-1259"/>
                <wp:lineTo x="-2250" y="252"/>
                <wp:lineTo x="-1800" y="22154"/>
                <wp:lineTo x="-225" y="23413"/>
                <wp:lineTo x="0" y="23413"/>
                <wp:lineTo x="21375" y="23413"/>
                <wp:lineTo x="21600" y="23413"/>
                <wp:lineTo x="23175" y="22154"/>
                <wp:lineTo x="23625" y="18378"/>
                <wp:lineTo x="23625" y="755"/>
                <wp:lineTo x="22500" y="-1510"/>
                <wp:lineTo x="21375" y="-2014"/>
                <wp:lineTo x="0" y="-2014"/>
              </wp:wrapPolygon>
            </wp:wrapTight>
            <wp:docPr id="30" name="Imagem 2" descr="C:\Users\laura\Desktop\TESE\Poder Redutor\DSCF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TESE\Poder Redutor\DSCF4417.JPG"/>
                    <pic:cNvPicPr>
                      <a:picLocks noChangeAspect="1" noChangeArrowheads="1"/>
                    </pic:cNvPicPr>
                  </pic:nvPicPr>
                  <pic:blipFill>
                    <a:blip r:embed="rId47" cstate="print"/>
                    <a:srcRect l="15889" r="16847" b="19906"/>
                    <a:stretch>
                      <a:fillRect/>
                    </a:stretch>
                  </pic:blipFill>
                  <pic:spPr bwMode="auto">
                    <a:xfrm>
                      <a:off x="0" y="0"/>
                      <a:ext cx="1828800" cy="1634490"/>
                    </a:xfrm>
                    <a:prstGeom prst="rect">
                      <a:avLst/>
                    </a:prstGeom>
                    <a:ln>
                      <a:noFill/>
                    </a:ln>
                    <a:effectLst>
                      <a:outerShdw blurRad="190500" algn="tl" rotWithShape="0">
                        <a:srgbClr val="000000">
                          <a:alpha val="70000"/>
                        </a:srgbClr>
                      </a:outerShdw>
                    </a:effectLst>
                  </pic:spPr>
                </pic:pic>
              </a:graphicData>
            </a:graphic>
          </wp:anchor>
        </w:drawing>
      </w:r>
    </w:p>
    <w:p w:rsidR="006737F5" w:rsidRPr="00186550" w:rsidRDefault="006737F5" w:rsidP="006737F5">
      <w:pPr>
        <w:jc w:val="center"/>
        <w:rPr>
          <w:rFonts w:ascii="Times New Roman" w:hAnsi="Times New Roman"/>
          <w:sz w:val="24"/>
          <w:szCs w:val="24"/>
        </w:rPr>
      </w:pPr>
    </w:p>
    <w:p w:rsidR="006737F5" w:rsidRPr="00186550" w:rsidRDefault="006737F5" w:rsidP="006737F5">
      <w:pPr>
        <w:jc w:val="center"/>
        <w:rPr>
          <w:rFonts w:ascii="Times New Roman" w:hAnsi="Times New Roman"/>
          <w:sz w:val="24"/>
          <w:szCs w:val="24"/>
        </w:rPr>
      </w:pPr>
    </w:p>
    <w:p w:rsidR="006737F5" w:rsidRPr="00186550" w:rsidRDefault="006737F5" w:rsidP="006737F5">
      <w:pPr>
        <w:jc w:val="center"/>
        <w:rPr>
          <w:rFonts w:ascii="Times New Roman" w:hAnsi="Times New Roman"/>
          <w:sz w:val="24"/>
          <w:szCs w:val="24"/>
        </w:rPr>
      </w:pPr>
    </w:p>
    <w:p w:rsidR="006737F5" w:rsidRPr="00186550" w:rsidRDefault="006737F5" w:rsidP="006737F5">
      <w:pPr>
        <w:jc w:val="center"/>
        <w:rPr>
          <w:rFonts w:ascii="Times New Roman" w:hAnsi="Times New Roman"/>
          <w:sz w:val="24"/>
          <w:szCs w:val="24"/>
        </w:rPr>
      </w:pPr>
    </w:p>
    <w:p w:rsidR="006737F5" w:rsidRPr="00F90C40" w:rsidRDefault="007B02FE" w:rsidP="00F90C40">
      <w:pPr>
        <w:spacing w:after="0" w:line="240" w:lineRule="auto"/>
        <w:jc w:val="center"/>
        <w:rPr>
          <w:rFonts w:ascii="Times New Roman" w:hAnsi="Times New Roman"/>
          <w:sz w:val="14"/>
          <w:szCs w:val="24"/>
        </w:rPr>
      </w:pPr>
      <w:r w:rsidRPr="007B02FE">
        <w:rPr>
          <w:rFonts w:asciiTheme="minorHAnsi" w:hAnsiTheme="minorHAnsi"/>
          <w:noProof/>
          <w:sz w:val="12"/>
        </w:rPr>
        <w:pict>
          <v:shape id="_x0000_s1082" type="#_x0000_t202" style="position:absolute;left:0;text-align:left;margin-left:-392.6pt;margin-top:34.65pt;width:419.25pt;height:51pt;z-index:251730944" wrapcoords="0 0" filled="f" stroked="f">
            <v:textbox style="mso-next-textbox:#_x0000_s1082" inset="0,0,0,0">
              <w:txbxContent>
                <w:p w:rsidR="00B766F9" w:rsidRPr="00FB3775" w:rsidRDefault="00B766F9" w:rsidP="006737F5">
                  <w:pPr>
                    <w:pStyle w:val="Legenda"/>
                    <w:jc w:val="both"/>
                    <w:rPr>
                      <w:rFonts w:ascii="Times New Roman" w:hAnsi="Times New Roman"/>
                      <w:b w:val="0"/>
                      <w:noProof/>
                      <w:color w:val="auto"/>
                      <w:sz w:val="28"/>
                      <w:szCs w:val="24"/>
                    </w:rPr>
                  </w:pPr>
                  <w:r w:rsidRPr="00FB3775">
                    <w:rPr>
                      <w:rFonts w:ascii="Times New Roman" w:hAnsi="Times New Roman"/>
                      <w:sz w:val="20"/>
                    </w:rPr>
                    <w:t xml:space="preserve">Figura </w:t>
                  </w:r>
                  <w:r>
                    <w:rPr>
                      <w:rFonts w:ascii="Times New Roman" w:hAnsi="Times New Roman"/>
                      <w:sz w:val="20"/>
                    </w:rPr>
                    <w:t>20</w:t>
                  </w:r>
                  <w:r w:rsidRPr="00FB3775">
                    <w:rPr>
                      <w:rFonts w:ascii="Times New Roman" w:hAnsi="Times New Roman"/>
                      <w:sz w:val="20"/>
                    </w:rPr>
                    <w:t xml:space="preserve"> – </w:t>
                  </w:r>
                  <w:r w:rsidRPr="00FB3775">
                    <w:rPr>
                      <w:rFonts w:ascii="Times New Roman" w:hAnsi="Times New Roman"/>
                      <w:b w:val="0"/>
                      <w:color w:val="auto"/>
                      <w:sz w:val="20"/>
                    </w:rPr>
                    <w:t>Ilustrações de uma das réplicas dos ensaios de (</w:t>
                  </w:r>
                  <w:r w:rsidRPr="00FB3775">
                    <w:rPr>
                      <w:rFonts w:ascii="Times New Roman" w:hAnsi="Times New Roman"/>
                      <w:color w:val="auto"/>
                      <w:sz w:val="20"/>
                    </w:rPr>
                    <w:t>A</w:t>
                  </w:r>
                  <w:r w:rsidRPr="00FB3775">
                    <w:rPr>
                      <w:rFonts w:ascii="Times New Roman" w:hAnsi="Times New Roman"/>
                      <w:b w:val="0"/>
                      <w:color w:val="auto"/>
                      <w:sz w:val="20"/>
                    </w:rPr>
                    <w:t>) DPPH e de (</w:t>
                  </w:r>
                  <w:r w:rsidRPr="00FB3775">
                    <w:rPr>
                      <w:rFonts w:ascii="Times New Roman" w:hAnsi="Times New Roman"/>
                      <w:color w:val="auto"/>
                      <w:sz w:val="20"/>
                    </w:rPr>
                    <w:t>B</w:t>
                  </w:r>
                  <w:r w:rsidRPr="00FB3775">
                    <w:rPr>
                      <w:rFonts w:ascii="Times New Roman" w:hAnsi="Times New Roman"/>
                      <w:b w:val="0"/>
                      <w:color w:val="auto"/>
                      <w:sz w:val="20"/>
                    </w:rPr>
                    <w:t>) poder redutor</w:t>
                  </w:r>
                  <w:r>
                    <w:rPr>
                      <w:rFonts w:ascii="Times New Roman" w:hAnsi="Times New Roman"/>
                      <w:b w:val="0"/>
                      <w:color w:val="auto"/>
                      <w:sz w:val="20"/>
                    </w:rPr>
                    <w:t xml:space="preserve"> realizados com os extractos aquosos concentrados de BAE</w:t>
                  </w:r>
                  <w:r w:rsidRPr="00FB3775">
                    <w:rPr>
                      <w:rFonts w:ascii="Times New Roman" w:hAnsi="Times New Roman"/>
                      <w:b w:val="0"/>
                      <w:color w:val="auto"/>
                      <w:sz w:val="20"/>
                    </w:rPr>
                    <w:t>. Da esquerda para a direita encontram-se concentrações crescentes testadas para cada extracto, verificando-se a alteração de cor da solução como consequência da actividade an</w:t>
                  </w:r>
                  <w:r>
                    <w:rPr>
                      <w:rFonts w:ascii="Times New Roman" w:hAnsi="Times New Roman"/>
                      <w:b w:val="0"/>
                      <w:color w:val="auto"/>
                      <w:sz w:val="20"/>
                    </w:rPr>
                    <w:t>tioxidante exercida pela</w:t>
                  </w:r>
                  <w:r w:rsidRPr="00FB3775">
                    <w:rPr>
                      <w:rFonts w:ascii="Times New Roman" w:hAnsi="Times New Roman"/>
                      <w:b w:val="0"/>
                      <w:color w:val="auto"/>
                      <w:sz w:val="20"/>
                    </w:rPr>
                    <w:t xml:space="preserve">s </w:t>
                  </w:r>
                  <w:r>
                    <w:rPr>
                      <w:rFonts w:ascii="Times New Roman" w:hAnsi="Times New Roman"/>
                      <w:b w:val="0"/>
                      <w:color w:val="auto"/>
                      <w:sz w:val="20"/>
                    </w:rPr>
                    <w:t>diferentes concentrações testadas (fonte própria)</w:t>
                  </w:r>
                  <w:r w:rsidRPr="00FB3775">
                    <w:rPr>
                      <w:rFonts w:ascii="Times New Roman" w:hAnsi="Times New Roman"/>
                      <w:b w:val="0"/>
                      <w:color w:val="auto"/>
                      <w:sz w:val="20"/>
                    </w:rPr>
                    <w:t>.</w:t>
                  </w:r>
                </w:p>
              </w:txbxContent>
            </v:textbox>
            <w10:wrap type="tight"/>
          </v:shape>
        </w:pict>
      </w:r>
    </w:p>
    <w:p w:rsidR="00C70395" w:rsidRDefault="00BA6DB1" w:rsidP="00C70395">
      <w:pPr>
        <w:tabs>
          <w:tab w:val="left" w:pos="284"/>
        </w:tabs>
        <w:jc w:val="center"/>
        <w:rPr>
          <w:rFonts w:ascii="Times New Roman" w:hAnsi="Times New Roman"/>
        </w:rPr>
      </w:pPr>
      <w:r>
        <w:rPr>
          <w:rFonts w:ascii="Times New Roman" w:hAnsi="Times New Roman"/>
          <w:noProof/>
          <w:sz w:val="24"/>
          <w:szCs w:val="24"/>
          <w:lang w:eastAsia="pt-PT"/>
        </w:rPr>
        <w:lastRenderedPageBreak/>
        <w:pict>
          <v:shape id="_x0000_s1158" type="#_x0000_t202" style="position:absolute;left:0;text-align:left;margin-left:310.15pt;margin-top:167.4pt;width:33pt;height:35.25pt;z-index:251805696" filled="f" stroked="f">
            <v:textbox style="mso-next-textbox:#_x0000_s1158">
              <w:txbxContent>
                <w:p w:rsidR="00BA6DB1" w:rsidRPr="002511C2" w:rsidRDefault="00BA6DB1" w:rsidP="00BA6DB1">
                  <w:pPr>
                    <w:rPr>
                      <w:rFonts w:ascii="Times New Roman" w:hAnsi="Times New Roman"/>
                    </w:rPr>
                  </w:pPr>
                  <w:r>
                    <w:rPr>
                      <w:rFonts w:ascii="Times New Roman" w:hAnsi="Times New Roman"/>
                    </w:rPr>
                    <w:t>e</w:t>
                  </w:r>
                </w:p>
              </w:txbxContent>
            </v:textbox>
          </v:shape>
        </w:pict>
      </w:r>
      <w:r>
        <w:rPr>
          <w:rFonts w:ascii="Times New Roman" w:hAnsi="Times New Roman"/>
          <w:noProof/>
          <w:sz w:val="24"/>
          <w:szCs w:val="24"/>
          <w:lang w:eastAsia="pt-PT"/>
        </w:rPr>
        <w:pict>
          <v:shape id="_x0000_s1157" type="#_x0000_t202" style="position:absolute;left:0;text-align:left;margin-left:268.6pt;margin-top:166.1pt;width:33pt;height:35.25pt;z-index:251804672" filled="f" stroked="f">
            <v:textbox style="mso-next-textbox:#_x0000_s1157">
              <w:txbxContent>
                <w:p w:rsidR="00BA6DB1" w:rsidRPr="002511C2" w:rsidRDefault="00BA6DB1" w:rsidP="00BA6DB1">
                  <w:pPr>
                    <w:rPr>
                      <w:rFonts w:ascii="Times New Roman" w:hAnsi="Times New Roman"/>
                    </w:rPr>
                  </w:pPr>
                  <w:r>
                    <w:rPr>
                      <w:rFonts w:ascii="Times New Roman" w:hAnsi="Times New Roman"/>
                    </w:rPr>
                    <w:t>e</w:t>
                  </w:r>
                </w:p>
              </w:txbxContent>
            </v:textbox>
          </v:shape>
        </w:pict>
      </w:r>
      <w:r>
        <w:rPr>
          <w:rFonts w:ascii="Times New Roman" w:hAnsi="Times New Roman"/>
          <w:noProof/>
          <w:sz w:val="24"/>
          <w:szCs w:val="24"/>
          <w:lang w:eastAsia="pt-PT"/>
        </w:rPr>
        <w:pict>
          <v:shape id="_x0000_s1156" type="#_x0000_t202" style="position:absolute;left:0;text-align:left;margin-left:225.9pt;margin-top:152.8pt;width:33pt;height:35.25pt;z-index:251803648" filled="f" stroked="f">
            <v:textbox style="mso-next-textbox:#_x0000_s1156">
              <w:txbxContent>
                <w:p w:rsidR="00BA6DB1" w:rsidRPr="002511C2" w:rsidRDefault="00BA6DB1" w:rsidP="00BA6DB1">
                  <w:pPr>
                    <w:rPr>
                      <w:rFonts w:ascii="Times New Roman" w:hAnsi="Times New Roman"/>
                    </w:rPr>
                  </w:pPr>
                  <w:r>
                    <w:rPr>
                      <w:rFonts w:ascii="Times New Roman" w:hAnsi="Times New Roman"/>
                    </w:rPr>
                    <w:t>d</w:t>
                  </w:r>
                </w:p>
              </w:txbxContent>
            </v:textbox>
          </v:shape>
        </w:pict>
      </w:r>
      <w:r>
        <w:rPr>
          <w:rFonts w:ascii="Times New Roman" w:hAnsi="Times New Roman"/>
          <w:noProof/>
          <w:sz w:val="24"/>
          <w:szCs w:val="24"/>
          <w:lang w:eastAsia="pt-PT"/>
        </w:rPr>
        <w:pict>
          <v:shape id="_x0000_s1155" type="#_x0000_t202" style="position:absolute;left:0;text-align:left;margin-left:184.15pt;margin-top:121.45pt;width:33pt;height:35.25pt;z-index:251802624" filled="f" stroked="f">
            <v:textbox style="mso-next-textbox:#_x0000_s1155">
              <w:txbxContent>
                <w:p w:rsidR="00BA6DB1" w:rsidRPr="002511C2" w:rsidRDefault="00BA6DB1" w:rsidP="00BA6DB1">
                  <w:pPr>
                    <w:rPr>
                      <w:rFonts w:ascii="Times New Roman" w:hAnsi="Times New Roman"/>
                    </w:rPr>
                  </w:pPr>
                  <w:r>
                    <w:rPr>
                      <w:rFonts w:ascii="Times New Roman" w:hAnsi="Times New Roman"/>
                    </w:rPr>
                    <w:t>c</w:t>
                  </w:r>
                </w:p>
              </w:txbxContent>
            </v:textbox>
          </v:shape>
        </w:pict>
      </w:r>
      <w:r>
        <w:rPr>
          <w:rFonts w:ascii="Times New Roman" w:hAnsi="Times New Roman"/>
          <w:noProof/>
          <w:sz w:val="24"/>
          <w:szCs w:val="24"/>
          <w:lang w:eastAsia="pt-PT"/>
        </w:rPr>
        <w:pict>
          <v:shape id="_x0000_s1154" type="#_x0000_t202" style="position:absolute;left:0;text-align:left;margin-left:140.75pt;margin-top:75.25pt;width:33pt;height:35.25pt;z-index:251801600" filled="f" stroked="f">
            <v:textbox style="mso-next-textbox:#_x0000_s1154">
              <w:txbxContent>
                <w:p w:rsidR="00BA6DB1" w:rsidRPr="002511C2" w:rsidRDefault="00BA6DB1" w:rsidP="00BA6DB1">
                  <w:pPr>
                    <w:rPr>
                      <w:rFonts w:ascii="Times New Roman" w:hAnsi="Times New Roman"/>
                    </w:rPr>
                  </w:pPr>
                  <w:r>
                    <w:rPr>
                      <w:rFonts w:ascii="Times New Roman" w:hAnsi="Times New Roman"/>
                    </w:rPr>
                    <w:t>b</w:t>
                  </w:r>
                </w:p>
              </w:txbxContent>
            </v:textbox>
          </v:shape>
        </w:pict>
      </w:r>
      <w:r w:rsidR="00B766F9">
        <w:rPr>
          <w:rFonts w:ascii="Times New Roman" w:hAnsi="Times New Roman"/>
          <w:noProof/>
          <w:sz w:val="24"/>
          <w:szCs w:val="24"/>
          <w:lang w:eastAsia="pt-PT"/>
        </w:rPr>
        <w:pict>
          <v:shape id="_x0000_s1153" type="#_x0000_t202" style="position:absolute;left:0;text-align:left;margin-left:99.65pt;margin-top:-2.05pt;width:33pt;height:35.25pt;z-index:251800576" filled="f" stroked="f">
            <v:textbox style="mso-next-textbox:#_x0000_s1153">
              <w:txbxContent>
                <w:p w:rsidR="00B766F9" w:rsidRPr="002511C2" w:rsidRDefault="00B766F9" w:rsidP="00B766F9">
                  <w:pPr>
                    <w:rPr>
                      <w:rFonts w:ascii="Times New Roman" w:hAnsi="Times New Roman"/>
                    </w:rPr>
                  </w:pPr>
                  <w:r w:rsidRPr="002511C2">
                    <w:rPr>
                      <w:rFonts w:ascii="Times New Roman" w:hAnsi="Times New Roman"/>
                    </w:rPr>
                    <w:t>a</w:t>
                  </w:r>
                </w:p>
              </w:txbxContent>
            </v:textbox>
          </v:shape>
        </w:pict>
      </w:r>
      <w:r w:rsidR="007B02FE" w:rsidRPr="007B02FE">
        <w:rPr>
          <w:rFonts w:ascii="Times New Roman" w:hAnsi="Times New Roman"/>
          <w:noProof/>
          <w:sz w:val="24"/>
          <w:szCs w:val="24"/>
          <w:lang w:eastAsia="pt-PT"/>
        </w:rPr>
        <w:pict>
          <v:shape id="_x0000_s1147" type="#_x0000_t202" style="position:absolute;left:0;text-align:left;margin-left:163.5pt;margin-top:24.55pt;width:227.25pt;height:28.5pt;z-index:251799552" fillcolor="white [3212]" stroked="f">
            <v:textbox style="mso-next-textbox:#_x0000_s1147">
              <w:txbxContent>
                <w:p w:rsidR="00B766F9" w:rsidRPr="00C76B59" w:rsidRDefault="00B766F9" w:rsidP="00C70395">
                  <w:pPr>
                    <w:rPr>
                      <w:b/>
                      <w:sz w:val="20"/>
                      <w:lang w:val="en-US"/>
                    </w:rPr>
                  </w:pPr>
                  <w:r w:rsidRPr="00C76B59">
                    <w:rPr>
                      <w:b/>
                      <w:sz w:val="20"/>
                      <w:lang w:val="en-US"/>
                    </w:rPr>
                    <w:t>IC</w:t>
                  </w:r>
                  <w:r w:rsidRPr="00C76B59">
                    <w:rPr>
                      <w:b/>
                      <w:sz w:val="20"/>
                      <w:vertAlign w:val="subscript"/>
                      <w:lang w:val="en-US"/>
                    </w:rPr>
                    <w:t>50</w:t>
                  </w:r>
                  <w:r>
                    <w:rPr>
                      <w:b/>
                      <w:sz w:val="20"/>
                      <w:lang w:val="en-US"/>
                    </w:rPr>
                    <w:t xml:space="preserve"> (µg/mL </w:t>
                  </w:r>
                  <w:r w:rsidRPr="00C76B59">
                    <w:rPr>
                      <w:b/>
                      <w:sz w:val="20"/>
                      <w:lang w:val="en-US"/>
                    </w:rPr>
                    <w:t>extracto) – Scavenging Effect (DPPH)</w:t>
                  </w:r>
                </w:p>
              </w:txbxContent>
            </v:textbox>
          </v:shape>
        </w:pict>
      </w:r>
      <w:r w:rsidR="00C70395" w:rsidRPr="00B671BD">
        <w:rPr>
          <w:rFonts w:ascii="Times New Roman" w:hAnsi="Times New Roman"/>
          <w:noProof/>
          <w:lang w:eastAsia="pt-PT"/>
        </w:rPr>
        <w:drawing>
          <wp:inline distT="0" distB="0" distL="0" distR="0">
            <wp:extent cx="4362450" cy="3276600"/>
            <wp:effectExtent l="0" t="0" r="0" b="0"/>
            <wp:docPr id="3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70395" w:rsidRDefault="00C70395" w:rsidP="00C70395">
      <w:pPr>
        <w:pStyle w:val="Legenda"/>
        <w:jc w:val="both"/>
        <w:rPr>
          <w:rFonts w:ascii="Times New Roman" w:hAnsi="Times New Roman"/>
          <w:b w:val="0"/>
          <w:color w:val="auto"/>
          <w:sz w:val="20"/>
        </w:rPr>
      </w:pPr>
      <w:r w:rsidRPr="006E301F">
        <w:rPr>
          <w:rFonts w:ascii="Times New Roman" w:hAnsi="Times New Roman"/>
          <w:sz w:val="20"/>
          <w:szCs w:val="20"/>
        </w:rPr>
        <w:t xml:space="preserve">Figura </w:t>
      </w:r>
      <w:r>
        <w:rPr>
          <w:rFonts w:ascii="Times New Roman" w:hAnsi="Times New Roman"/>
          <w:sz w:val="20"/>
          <w:szCs w:val="20"/>
        </w:rPr>
        <w:t>21</w:t>
      </w:r>
      <w:r w:rsidRPr="006E301F">
        <w:rPr>
          <w:rFonts w:ascii="Times New Roman" w:hAnsi="Times New Roman"/>
          <w:sz w:val="20"/>
          <w:szCs w:val="20"/>
        </w:rPr>
        <w:t xml:space="preserve"> – </w:t>
      </w:r>
      <w:r>
        <w:rPr>
          <w:rFonts w:ascii="Times New Roman" w:hAnsi="Times New Roman"/>
          <w:b w:val="0"/>
          <w:color w:val="auto"/>
          <w:sz w:val="20"/>
          <w:szCs w:val="20"/>
        </w:rPr>
        <w:t>A</w:t>
      </w:r>
      <w:r w:rsidRPr="006E301F">
        <w:rPr>
          <w:rFonts w:ascii="Times New Roman" w:hAnsi="Times New Roman"/>
          <w:b w:val="0"/>
          <w:color w:val="auto"/>
          <w:sz w:val="20"/>
          <w:szCs w:val="20"/>
        </w:rPr>
        <w:t>valiação da capacidade antioxidante dos extractos</w:t>
      </w:r>
      <w:r>
        <w:rPr>
          <w:rFonts w:ascii="Times New Roman" w:hAnsi="Times New Roman"/>
          <w:b w:val="0"/>
          <w:color w:val="auto"/>
          <w:sz w:val="20"/>
          <w:szCs w:val="20"/>
        </w:rPr>
        <w:t xml:space="preserve"> </w:t>
      </w:r>
      <w:r w:rsidRPr="006E301F">
        <w:rPr>
          <w:rFonts w:ascii="Times New Roman" w:hAnsi="Times New Roman"/>
          <w:b w:val="0"/>
          <w:color w:val="auto"/>
          <w:sz w:val="20"/>
          <w:szCs w:val="20"/>
        </w:rPr>
        <w:t xml:space="preserve">aquosos </w:t>
      </w:r>
      <w:r>
        <w:rPr>
          <w:rFonts w:ascii="Times New Roman" w:hAnsi="Times New Roman"/>
          <w:b w:val="0"/>
          <w:color w:val="auto"/>
          <w:sz w:val="20"/>
          <w:szCs w:val="20"/>
        </w:rPr>
        <w:t>c</w:t>
      </w:r>
      <w:r w:rsidRPr="006E301F">
        <w:rPr>
          <w:rFonts w:ascii="Times New Roman" w:hAnsi="Times New Roman"/>
          <w:b w:val="0"/>
          <w:color w:val="auto"/>
          <w:sz w:val="20"/>
          <w:szCs w:val="20"/>
        </w:rPr>
        <w:t xml:space="preserve">oncentrados de BAE: EB, EPC e </w:t>
      </w:r>
      <w:r>
        <w:rPr>
          <w:rFonts w:ascii="Times New Roman" w:hAnsi="Times New Roman"/>
          <w:b w:val="0"/>
          <w:color w:val="auto"/>
          <w:sz w:val="20"/>
          <w:szCs w:val="20"/>
        </w:rPr>
        <w:t xml:space="preserve">ERC, pelo método </w:t>
      </w:r>
      <w:r w:rsidRPr="006E301F">
        <w:rPr>
          <w:rFonts w:ascii="Times New Roman" w:hAnsi="Times New Roman"/>
          <w:b w:val="0"/>
          <w:color w:val="auto"/>
          <w:sz w:val="20"/>
          <w:szCs w:val="20"/>
        </w:rPr>
        <w:t>de DPPH, utilizando como padrões o BHA</w:t>
      </w:r>
      <w:r>
        <w:rPr>
          <w:rFonts w:ascii="Times New Roman" w:hAnsi="Times New Roman"/>
          <w:b w:val="0"/>
          <w:color w:val="auto"/>
          <w:sz w:val="20"/>
          <w:szCs w:val="20"/>
        </w:rPr>
        <w:t>, o α-tocoferol e o HT</w:t>
      </w:r>
      <w:r w:rsidRPr="006E301F">
        <w:rPr>
          <w:rFonts w:ascii="Times New Roman" w:hAnsi="Times New Roman"/>
          <w:b w:val="0"/>
          <w:color w:val="auto"/>
          <w:sz w:val="20"/>
          <w:szCs w:val="20"/>
        </w:rPr>
        <w:t>.</w:t>
      </w:r>
      <w:r>
        <w:rPr>
          <w:rFonts w:ascii="Times New Roman" w:hAnsi="Times New Roman"/>
          <w:b w:val="0"/>
          <w:color w:val="auto"/>
          <w:sz w:val="20"/>
          <w:szCs w:val="20"/>
        </w:rPr>
        <w:t xml:space="preserve"> </w:t>
      </w:r>
      <w:r w:rsidRPr="000B09CD">
        <w:rPr>
          <w:rFonts w:ascii="Times New Roman" w:hAnsi="Times New Roman"/>
          <w:b w:val="0"/>
          <w:color w:val="auto"/>
          <w:sz w:val="20"/>
        </w:rPr>
        <w:t>Os valores vêm afectados dos erros padrões médios, obtidos pelos triplicados efectuados</w:t>
      </w:r>
      <w:r>
        <w:rPr>
          <w:rFonts w:ascii="Times New Roman" w:hAnsi="Times New Roman"/>
          <w:b w:val="0"/>
          <w:color w:val="auto"/>
          <w:sz w:val="20"/>
        </w:rPr>
        <w:t xml:space="preserve"> de cada extracto e padrão independentemente</w:t>
      </w:r>
      <w:r w:rsidRPr="000B09CD">
        <w:rPr>
          <w:rFonts w:ascii="Times New Roman" w:hAnsi="Times New Roman"/>
          <w:b w:val="0"/>
          <w:color w:val="auto"/>
          <w:sz w:val="20"/>
        </w:rPr>
        <w:t xml:space="preserve">. Grupos sem letras em comum são significativamente diferentes, </w:t>
      </w:r>
      <w:r w:rsidRPr="00C143CF">
        <w:rPr>
          <w:rFonts w:ascii="Times New Roman" w:hAnsi="Times New Roman"/>
          <w:b w:val="0"/>
          <w:i/>
          <w:color w:val="auto"/>
          <w:sz w:val="20"/>
        </w:rPr>
        <w:t>P</w:t>
      </w:r>
      <w:r w:rsidRPr="000B09CD">
        <w:rPr>
          <w:rFonts w:ascii="Times New Roman" w:hAnsi="Times New Roman"/>
          <w:b w:val="0"/>
          <w:color w:val="auto"/>
          <w:sz w:val="20"/>
        </w:rPr>
        <w:t xml:space="preserve"> &lt; 0,05.</w:t>
      </w:r>
    </w:p>
    <w:p w:rsidR="006737F5" w:rsidRDefault="006737F5" w:rsidP="00AD551A">
      <w:pPr>
        <w:spacing w:after="0"/>
        <w:rPr>
          <w:rFonts w:ascii="Times New Roman" w:hAnsi="Times New Roman"/>
          <w:sz w:val="24"/>
          <w:szCs w:val="24"/>
        </w:rPr>
      </w:pPr>
    </w:p>
    <w:p w:rsidR="006737F5" w:rsidRDefault="007B02FE" w:rsidP="00AD551A">
      <w:pPr>
        <w:spacing w:after="0"/>
        <w:jc w:val="center"/>
        <w:rPr>
          <w:rFonts w:ascii="Times New Roman" w:hAnsi="Times New Roman"/>
          <w:sz w:val="24"/>
          <w:szCs w:val="24"/>
        </w:rPr>
      </w:pPr>
      <w:r w:rsidRPr="007B02FE">
        <w:rPr>
          <w:rFonts w:asciiTheme="minorHAnsi" w:hAnsiTheme="minorHAnsi"/>
          <w:noProof/>
        </w:rPr>
        <w:pict>
          <v:shape id="_x0000_s1100" type="#_x0000_t202" style="position:absolute;left:0;text-align:left;margin-left:-3.95pt;margin-top:275.45pt;width:404.25pt;height:69.25pt;z-index:251749376" wrapcoords="-40 0 -40 20571 21600 20571 21600 0 -40 0" stroked="f">
            <v:textbox style="mso-next-textbox:#_x0000_s1100" inset="0,0,0,0">
              <w:txbxContent>
                <w:p w:rsidR="00B766F9" w:rsidRPr="000B09CD" w:rsidRDefault="00B766F9" w:rsidP="006737F5">
                  <w:pPr>
                    <w:pStyle w:val="Legenda"/>
                    <w:jc w:val="both"/>
                    <w:rPr>
                      <w:rFonts w:ascii="Times New Roman" w:hAnsi="Times New Roman"/>
                      <w:b w:val="0"/>
                      <w:color w:val="auto"/>
                      <w:sz w:val="20"/>
                    </w:rPr>
                  </w:pPr>
                  <w:r w:rsidRPr="00C76B59">
                    <w:rPr>
                      <w:rFonts w:ascii="Times New Roman" w:hAnsi="Times New Roman"/>
                      <w:sz w:val="20"/>
                    </w:rPr>
                    <w:t xml:space="preserve">Figura </w:t>
                  </w:r>
                  <w:r>
                    <w:rPr>
                      <w:rFonts w:ascii="Times New Roman" w:hAnsi="Times New Roman"/>
                      <w:sz w:val="20"/>
                    </w:rPr>
                    <w:t>22</w:t>
                  </w:r>
                  <w:r w:rsidRPr="00C76B59">
                    <w:rPr>
                      <w:rFonts w:ascii="Times New Roman" w:hAnsi="Times New Roman"/>
                      <w:sz w:val="20"/>
                    </w:rPr>
                    <w:t xml:space="preserve"> -</w:t>
                  </w:r>
                  <w:r w:rsidRPr="00C76B59">
                    <w:rPr>
                      <w:sz w:val="20"/>
                    </w:rPr>
                    <w:t xml:space="preserve"> </w:t>
                  </w:r>
                  <w:r>
                    <w:rPr>
                      <w:rFonts w:ascii="Times New Roman" w:hAnsi="Times New Roman"/>
                      <w:b w:val="0"/>
                      <w:color w:val="auto"/>
                      <w:sz w:val="20"/>
                      <w:szCs w:val="20"/>
                    </w:rPr>
                    <w:t>A</w:t>
                  </w:r>
                  <w:r w:rsidRPr="006E301F">
                    <w:rPr>
                      <w:rFonts w:ascii="Times New Roman" w:hAnsi="Times New Roman"/>
                      <w:b w:val="0"/>
                      <w:color w:val="auto"/>
                      <w:sz w:val="20"/>
                      <w:szCs w:val="20"/>
                    </w:rPr>
                    <w:t>valiação da capacidade antioxidante dos extractos</w:t>
                  </w:r>
                  <w:r>
                    <w:rPr>
                      <w:rFonts w:ascii="Times New Roman" w:hAnsi="Times New Roman"/>
                      <w:b w:val="0"/>
                      <w:color w:val="auto"/>
                      <w:sz w:val="20"/>
                      <w:szCs w:val="20"/>
                    </w:rPr>
                    <w:t xml:space="preserve"> </w:t>
                  </w:r>
                  <w:r w:rsidRPr="006E301F">
                    <w:rPr>
                      <w:rFonts w:ascii="Times New Roman" w:hAnsi="Times New Roman"/>
                      <w:b w:val="0"/>
                      <w:color w:val="auto"/>
                      <w:sz w:val="20"/>
                      <w:szCs w:val="20"/>
                    </w:rPr>
                    <w:t xml:space="preserve">aquosos </w:t>
                  </w:r>
                  <w:r>
                    <w:rPr>
                      <w:rFonts w:ascii="Times New Roman" w:hAnsi="Times New Roman"/>
                      <w:b w:val="0"/>
                      <w:color w:val="auto"/>
                      <w:sz w:val="20"/>
                      <w:szCs w:val="20"/>
                    </w:rPr>
                    <w:t>c</w:t>
                  </w:r>
                  <w:r w:rsidRPr="006E301F">
                    <w:rPr>
                      <w:rFonts w:ascii="Times New Roman" w:hAnsi="Times New Roman"/>
                      <w:b w:val="0"/>
                      <w:color w:val="auto"/>
                      <w:sz w:val="20"/>
                      <w:szCs w:val="20"/>
                    </w:rPr>
                    <w:t xml:space="preserve">oncentrados de BAE: EB, EPC e </w:t>
                  </w:r>
                  <w:r>
                    <w:rPr>
                      <w:rFonts w:ascii="Times New Roman" w:hAnsi="Times New Roman"/>
                      <w:b w:val="0"/>
                      <w:color w:val="auto"/>
                      <w:sz w:val="20"/>
                      <w:szCs w:val="20"/>
                    </w:rPr>
                    <w:t>ERC, pelo método do poder redutor</w:t>
                  </w:r>
                  <w:r w:rsidRPr="006E301F">
                    <w:rPr>
                      <w:rFonts w:ascii="Times New Roman" w:hAnsi="Times New Roman"/>
                      <w:b w:val="0"/>
                      <w:color w:val="auto"/>
                      <w:sz w:val="20"/>
                      <w:szCs w:val="20"/>
                    </w:rPr>
                    <w:t>, utilizando como padrões</w:t>
                  </w:r>
                  <w:r>
                    <w:rPr>
                      <w:rFonts w:ascii="Times New Roman" w:hAnsi="Times New Roman"/>
                      <w:b w:val="0"/>
                      <w:color w:val="auto"/>
                      <w:sz w:val="20"/>
                      <w:szCs w:val="20"/>
                    </w:rPr>
                    <w:t xml:space="preserve"> o BHA</w:t>
                  </w:r>
                  <w:r w:rsidRPr="006E301F">
                    <w:rPr>
                      <w:rFonts w:ascii="Times New Roman" w:hAnsi="Times New Roman"/>
                      <w:b w:val="0"/>
                      <w:color w:val="auto"/>
                      <w:sz w:val="20"/>
                      <w:szCs w:val="20"/>
                    </w:rPr>
                    <w:t>, o α-t</w:t>
                  </w:r>
                  <w:r>
                    <w:rPr>
                      <w:rFonts w:ascii="Times New Roman" w:hAnsi="Times New Roman"/>
                      <w:b w:val="0"/>
                      <w:color w:val="auto"/>
                      <w:sz w:val="20"/>
                      <w:szCs w:val="20"/>
                    </w:rPr>
                    <w:t>ocoferol e o HT</w:t>
                  </w:r>
                  <w:r w:rsidRPr="006E301F">
                    <w:rPr>
                      <w:rFonts w:ascii="Times New Roman" w:hAnsi="Times New Roman"/>
                      <w:b w:val="0"/>
                      <w:color w:val="auto"/>
                      <w:sz w:val="20"/>
                      <w:szCs w:val="20"/>
                    </w:rPr>
                    <w:t>.</w:t>
                  </w:r>
                  <w:r>
                    <w:rPr>
                      <w:rFonts w:ascii="Times New Roman" w:hAnsi="Times New Roman"/>
                      <w:b w:val="0"/>
                      <w:color w:val="auto"/>
                      <w:sz w:val="20"/>
                      <w:szCs w:val="20"/>
                    </w:rPr>
                    <w:t xml:space="preserve"> </w:t>
                  </w:r>
                  <w:r w:rsidRPr="000B09CD">
                    <w:rPr>
                      <w:rFonts w:ascii="Times New Roman" w:hAnsi="Times New Roman"/>
                      <w:b w:val="0"/>
                      <w:color w:val="auto"/>
                      <w:sz w:val="20"/>
                    </w:rPr>
                    <w:t>Os valores vêm afectados dos erros padrões médios, obtidos pelos triplicados efectuados</w:t>
                  </w:r>
                  <w:r>
                    <w:rPr>
                      <w:rFonts w:ascii="Times New Roman" w:hAnsi="Times New Roman"/>
                      <w:b w:val="0"/>
                      <w:color w:val="auto"/>
                      <w:sz w:val="20"/>
                    </w:rPr>
                    <w:t xml:space="preserve"> de cada extracto e padrão independentemente</w:t>
                  </w:r>
                  <w:r w:rsidRPr="000B09CD">
                    <w:rPr>
                      <w:rFonts w:ascii="Times New Roman" w:hAnsi="Times New Roman"/>
                      <w:b w:val="0"/>
                      <w:color w:val="auto"/>
                      <w:sz w:val="20"/>
                    </w:rPr>
                    <w:t xml:space="preserve">. Grupos sem letras em comum são significativamente diferentes, </w:t>
                  </w:r>
                  <w:r w:rsidRPr="00C143CF">
                    <w:rPr>
                      <w:rFonts w:ascii="Times New Roman" w:hAnsi="Times New Roman"/>
                      <w:b w:val="0"/>
                      <w:i/>
                      <w:color w:val="auto"/>
                      <w:sz w:val="20"/>
                    </w:rPr>
                    <w:t>P</w:t>
                  </w:r>
                  <w:r w:rsidRPr="000B09CD">
                    <w:rPr>
                      <w:rFonts w:ascii="Times New Roman" w:hAnsi="Times New Roman"/>
                      <w:b w:val="0"/>
                      <w:color w:val="auto"/>
                      <w:sz w:val="20"/>
                    </w:rPr>
                    <w:t xml:space="preserve"> &lt; 0,05.</w:t>
                  </w:r>
                </w:p>
                <w:p w:rsidR="00B766F9" w:rsidRPr="00356926" w:rsidRDefault="00B766F9" w:rsidP="006737F5">
                  <w:pPr>
                    <w:pStyle w:val="Legenda"/>
                    <w:rPr>
                      <w:rFonts w:ascii="Times New Roman" w:hAnsi="Times New Roman"/>
                      <w:noProof/>
                      <w:sz w:val="24"/>
                      <w:szCs w:val="24"/>
                    </w:rPr>
                  </w:pPr>
                </w:p>
              </w:txbxContent>
            </v:textbox>
            <w10:wrap type="tight"/>
          </v:shape>
        </w:pict>
      </w:r>
      <w:r>
        <w:rPr>
          <w:rFonts w:ascii="Times New Roman" w:hAnsi="Times New Roman"/>
          <w:noProof/>
          <w:sz w:val="24"/>
          <w:szCs w:val="24"/>
          <w:lang w:eastAsia="pt-PT"/>
        </w:rPr>
        <w:pict>
          <v:oval id="_x0000_s1099" style="position:absolute;left:0;text-align:left;margin-left:158.3pt;margin-top:164.3pt;width:44.25pt;height:76.85pt;z-index:251748352" filled="f" strokecolor="red" strokeweight="1pt">
            <v:stroke dashstyle="dash"/>
          </v:oval>
        </w:pict>
      </w:r>
      <w:r>
        <w:rPr>
          <w:rFonts w:ascii="Times New Roman" w:hAnsi="Times New Roman"/>
          <w:noProof/>
          <w:sz w:val="24"/>
          <w:szCs w:val="24"/>
          <w:lang w:eastAsia="pt-PT"/>
        </w:rPr>
        <w:pict>
          <v:shape id="_x0000_s1106" type="#_x0000_t202" style="position:absolute;left:0;text-align:left;margin-left:304.95pt;margin-top:182.65pt;width:33pt;height:35.25pt;z-index:251755520" filled="f" stroked="f">
            <v:textbox style="mso-next-textbox:#_x0000_s1106">
              <w:txbxContent>
                <w:p w:rsidR="00B766F9" w:rsidRPr="002511C2" w:rsidRDefault="00B766F9" w:rsidP="006737F5">
                  <w:pPr>
                    <w:rPr>
                      <w:rFonts w:ascii="Times New Roman" w:hAnsi="Times New Roman"/>
                    </w:rPr>
                  </w:pPr>
                  <w:r w:rsidRPr="002511C2">
                    <w:rPr>
                      <w:rFonts w:ascii="Times New Roman" w:hAnsi="Times New Roman"/>
                    </w:rPr>
                    <w:t>f</w:t>
                  </w:r>
                </w:p>
              </w:txbxContent>
            </v:textbox>
          </v:shape>
        </w:pict>
      </w:r>
      <w:r>
        <w:rPr>
          <w:rFonts w:ascii="Times New Roman" w:hAnsi="Times New Roman"/>
          <w:noProof/>
          <w:sz w:val="24"/>
          <w:szCs w:val="24"/>
          <w:lang w:eastAsia="pt-PT"/>
        </w:rPr>
        <w:pict>
          <v:shape id="_x0000_s1105" type="#_x0000_t202" style="position:absolute;left:0;text-align:left;margin-left:258.9pt;margin-top:169.7pt;width:33pt;height:35.25pt;z-index:251754496" filled="f" stroked="f">
            <v:textbox style="mso-next-textbox:#_x0000_s1105">
              <w:txbxContent>
                <w:p w:rsidR="00B766F9" w:rsidRPr="002511C2" w:rsidRDefault="00B766F9" w:rsidP="006737F5">
                  <w:pPr>
                    <w:rPr>
                      <w:rFonts w:ascii="Times New Roman" w:hAnsi="Times New Roman"/>
                    </w:rPr>
                  </w:pPr>
                  <w:r w:rsidRPr="002511C2">
                    <w:rPr>
                      <w:rFonts w:ascii="Times New Roman" w:hAnsi="Times New Roman"/>
                    </w:rPr>
                    <w:t>e</w:t>
                  </w:r>
                </w:p>
              </w:txbxContent>
            </v:textbox>
          </v:shape>
        </w:pict>
      </w:r>
      <w:r>
        <w:rPr>
          <w:rFonts w:ascii="Times New Roman" w:hAnsi="Times New Roman"/>
          <w:noProof/>
          <w:sz w:val="24"/>
          <w:szCs w:val="24"/>
          <w:lang w:eastAsia="pt-PT"/>
        </w:rPr>
        <w:pict>
          <v:shape id="_x0000_s1104" type="#_x0000_t202" style="position:absolute;left:0;text-align:left;margin-left:213.9pt;margin-top:155.15pt;width:33pt;height:35.25pt;z-index:251753472" filled="f" stroked="f">
            <v:textbox style="mso-next-textbox:#_x0000_s1104">
              <w:txbxContent>
                <w:p w:rsidR="00B766F9" w:rsidRPr="002511C2" w:rsidRDefault="00B766F9" w:rsidP="006737F5">
                  <w:pPr>
                    <w:rPr>
                      <w:rFonts w:ascii="Times New Roman" w:hAnsi="Times New Roman"/>
                    </w:rPr>
                  </w:pPr>
                  <w:r w:rsidRPr="002511C2">
                    <w:rPr>
                      <w:rFonts w:ascii="Times New Roman" w:hAnsi="Times New Roman"/>
                    </w:rPr>
                    <w:t>d</w:t>
                  </w:r>
                </w:p>
              </w:txbxContent>
            </v:textbox>
          </v:shape>
        </w:pict>
      </w:r>
      <w:r>
        <w:rPr>
          <w:rFonts w:ascii="Times New Roman" w:hAnsi="Times New Roman"/>
          <w:noProof/>
          <w:sz w:val="24"/>
          <w:szCs w:val="24"/>
          <w:lang w:eastAsia="pt-PT"/>
        </w:rPr>
        <w:pict>
          <v:shape id="_x0000_s1103" type="#_x0000_t202" style="position:absolute;left:0;text-align:left;margin-left:169.85pt;margin-top:143.9pt;width:33pt;height:35.25pt;z-index:251752448" filled="f" stroked="f">
            <v:textbox style="mso-next-textbox:#_x0000_s1103">
              <w:txbxContent>
                <w:p w:rsidR="00B766F9" w:rsidRPr="002511C2" w:rsidRDefault="00B766F9" w:rsidP="006737F5">
                  <w:pPr>
                    <w:rPr>
                      <w:rFonts w:ascii="Times New Roman" w:hAnsi="Times New Roman"/>
                    </w:rPr>
                  </w:pPr>
                  <w:r w:rsidRPr="002511C2">
                    <w:rPr>
                      <w:rFonts w:ascii="Times New Roman" w:hAnsi="Times New Roman"/>
                    </w:rPr>
                    <w:t>c</w:t>
                  </w:r>
                </w:p>
              </w:txbxContent>
            </v:textbox>
          </v:shape>
        </w:pict>
      </w:r>
      <w:r>
        <w:rPr>
          <w:rFonts w:ascii="Times New Roman" w:hAnsi="Times New Roman"/>
          <w:noProof/>
          <w:sz w:val="24"/>
          <w:szCs w:val="24"/>
          <w:lang w:eastAsia="pt-PT"/>
        </w:rPr>
        <w:pict>
          <v:shape id="_x0000_s1102" type="#_x0000_t202" style="position:absolute;left:0;text-align:left;margin-left:125.3pt;margin-top:79.25pt;width:33pt;height:35.25pt;z-index:251751424" filled="f" stroked="f">
            <v:textbox style="mso-next-textbox:#_x0000_s1102">
              <w:txbxContent>
                <w:p w:rsidR="00B766F9" w:rsidRPr="002511C2" w:rsidRDefault="00B766F9" w:rsidP="006737F5">
                  <w:pPr>
                    <w:rPr>
                      <w:rFonts w:ascii="Times New Roman" w:hAnsi="Times New Roman"/>
                    </w:rPr>
                  </w:pPr>
                  <w:r w:rsidRPr="002511C2">
                    <w:rPr>
                      <w:rFonts w:ascii="Times New Roman" w:hAnsi="Times New Roman"/>
                    </w:rPr>
                    <w:t>b</w:t>
                  </w:r>
                </w:p>
              </w:txbxContent>
            </v:textbox>
          </v:shape>
        </w:pict>
      </w:r>
      <w:r>
        <w:rPr>
          <w:rFonts w:ascii="Times New Roman" w:hAnsi="Times New Roman"/>
          <w:noProof/>
          <w:sz w:val="24"/>
          <w:szCs w:val="24"/>
          <w:lang w:eastAsia="pt-PT"/>
        </w:rPr>
        <w:pict>
          <v:shape id="_x0000_s1101" type="#_x0000_t202" style="position:absolute;left:0;text-align:left;margin-left:79.35pt;margin-top:16.25pt;width:33pt;height:35.25pt;z-index:251750400" filled="f" stroked="f">
            <v:textbox style="mso-next-textbox:#_x0000_s1101">
              <w:txbxContent>
                <w:p w:rsidR="00B766F9" w:rsidRPr="002511C2" w:rsidRDefault="00B766F9" w:rsidP="006737F5">
                  <w:pPr>
                    <w:rPr>
                      <w:rFonts w:ascii="Times New Roman" w:hAnsi="Times New Roman"/>
                    </w:rPr>
                  </w:pPr>
                  <w:r w:rsidRPr="002511C2">
                    <w:rPr>
                      <w:rFonts w:ascii="Times New Roman" w:hAnsi="Times New Roman"/>
                    </w:rPr>
                    <w:t>a</w:t>
                  </w:r>
                </w:p>
              </w:txbxContent>
            </v:textbox>
          </v:shape>
        </w:pict>
      </w:r>
      <w:r>
        <w:rPr>
          <w:rFonts w:ascii="Times New Roman" w:hAnsi="Times New Roman"/>
          <w:noProof/>
          <w:sz w:val="24"/>
          <w:szCs w:val="24"/>
          <w:lang w:eastAsia="pt-PT"/>
        </w:rPr>
        <w:pict>
          <v:shape id="_x0000_s1097" type="#_x0000_t202" style="position:absolute;left:0;text-align:left;margin-left:153.75pt;margin-top:1.5pt;width:227.25pt;height:28.5pt;z-index:251746304" fillcolor="white [3212]" stroked="f">
            <v:textbox style="mso-next-textbox:#_x0000_s1097">
              <w:txbxContent>
                <w:p w:rsidR="00B766F9" w:rsidRPr="00C76B59" w:rsidRDefault="00B766F9" w:rsidP="006737F5">
                  <w:pPr>
                    <w:rPr>
                      <w:b/>
                      <w:sz w:val="20"/>
                    </w:rPr>
                  </w:pPr>
                  <w:r w:rsidRPr="00C76B59">
                    <w:rPr>
                      <w:b/>
                      <w:sz w:val="20"/>
                    </w:rPr>
                    <w:t>EC</w:t>
                  </w:r>
                  <w:r w:rsidRPr="00C76B59">
                    <w:rPr>
                      <w:b/>
                      <w:sz w:val="20"/>
                      <w:vertAlign w:val="subscript"/>
                    </w:rPr>
                    <w:t>50</w:t>
                  </w:r>
                  <w:r w:rsidRPr="00C76B59">
                    <w:rPr>
                      <w:b/>
                      <w:sz w:val="20"/>
                    </w:rPr>
                    <w:t xml:space="preserve"> (µg/mL  extracto) – Poder Redutor</w:t>
                  </w:r>
                </w:p>
              </w:txbxContent>
            </v:textbox>
          </v:shape>
        </w:pict>
      </w:r>
      <w:r w:rsidR="00DA2872" w:rsidRPr="00DA2872">
        <w:rPr>
          <w:rFonts w:ascii="Times New Roman" w:hAnsi="Times New Roman"/>
          <w:noProof/>
          <w:sz w:val="24"/>
          <w:szCs w:val="24"/>
          <w:lang w:eastAsia="pt-PT"/>
        </w:rPr>
        <w:drawing>
          <wp:inline distT="0" distB="0" distL="0" distR="0">
            <wp:extent cx="4876800" cy="3476625"/>
            <wp:effectExtent l="0" t="0" r="0" b="0"/>
            <wp:docPr id="4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737F5" w:rsidRPr="00D31B88" w:rsidRDefault="006737F5" w:rsidP="006737F5">
      <w:pPr>
        <w:spacing w:after="0"/>
        <w:jc w:val="center"/>
        <w:rPr>
          <w:rFonts w:ascii="Times New Roman" w:hAnsi="Times New Roman"/>
          <w:sz w:val="24"/>
          <w:szCs w:val="24"/>
        </w:rPr>
      </w:pPr>
    </w:p>
    <w:p w:rsidR="00AD551A" w:rsidRDefault="00AD551A" w:rsidP="009A189F">
      <w:pPr>
        <w:autoSpaceDE w:val="0"/>
        <w:autoSpaceDN w:val="0"/>
        <w:adjustRightInd w:val="0"/>
        <w:ind w:firstLine="708"/>
        <w:jc w:val="both"/>
        <w:rPr>
          <w:rFonts w:ascii="Times New Roman" w:hAnsi="Times New Roman"/>
          <w:sz w:val="24"/>
          <w:szCs w:val="24"/>
        </w:rPr>
      </w:pPr>
    </w:p>
    <w:p w:rsidR="00AD551A" w:rsidRDefault="00AD551A" w:rsidP="009A189F">
      <w:pPr>
        <w:autoSpaceDE w:val="0"/>
        <w:autoSpaceDN w:val="0"/>
        <w:adjustRightInd w:val="0"/>
        <w:ind w:firstLine="708"/>
        <w:jc w:val="both"/>
        <w:rPr>
          <w:rFonts w:ascii="Times New Roman" w:hAnsi="Times New Roman"/>
          <w:sz w:val="24"/>
          <w:szCs w:val="24"/>
        </w:rPr>
      </w:pPr>
    </w:p>
    <w:p w:rsidR="009A189F" w:rsidRDefault="009A189F" w:rsidP="009A189F">
      <w:pPr>
        <w:autoSpaceDE w:val="0"/>
        <w:autoSpaceDN w:val="0"/>
        <w:adjustRightInd w:val="0"/>
        <w:ind w:firstLine="708"/>
        <w:jc w:val="both"/>
        <w:rPr>
          <w:rFonts w:ascii="Times New Roman" w:hAnsi="Times New Roman"/>
          <w:sz w:val="24"/>
          <w:szCs w:val="24"/>
        </w:rPr>
      </w:pPr>
      <w:r>
        <w:rPr>
          <w:rFonts w:ascii="Times New Roman" w:hAnsi="Times New Roman"/>
          <w:sz w:val="24"/>
          <w:szCs w:val="24"/>
        </w:rPr>
        <w:lastRenderedPageBreak/>
        <w:t>De acordo com os resultados obtidos para a</w:t>
      </w:r>
      <w:r w:rsidR="006737F5">
        <w:rPr>
          <w:rFonts w:ascii="Times New Roman" w:hAnsi="Times New Roman"/>
          <w:sz w:val="24"/>
          <w:szCs w:val="24"/>
        </w:rPr>
        <w:t xml:space="preserve"> actividade antioxidante</w:t>
      </w:r>
      <w:r>
        <w:rPr>
          <w:rFonts w:ascii="Times New Roman" w:hAnsi="Times New Roman"/>
          <w:sz w:val="24"/>
          <w:szCs w:val="24"/>
        </w:rPr>
        <w:t>, quer pelo método do DPPH quer avaliando o poder redutor, entre os três padrões utilizados, o HT comparativamente com o BHA e o α-tocoferol, é o composto com maior actividade antioxidante (Figura 21 e 22).</w:t>
      </w:r>
      <w:r w:rsidRPr="009A189F">
        <w:rPr>
          <w:rFonts w:ascii="Times New Roman" w:hAnsi="Times New Roman"/>
          <w:sz w:val="24"/>
          <w:szCs w:val="24"/>
        </w:rPr>
        <w:t xml:space="preserve"> </w:t>
      </w:r>
      <w:r>
        <w:rPr>
          <w:rFonts w:ascii="Times New Roman" w:hAnsi="Times New Roman"/>
          <w:sz w:val="24"/>
          <w:szCs w:val="24"/>
        </w:rPr>
        <w:t xml:space="preserve">Relativamente aos extractos O EPC </w:t>
      </w:r>
      <w:r>
        <w:rPr>
          <w:rFonts w:ascii="Times New Roman" w:hAnsi="Times New Roman"/>
          <w:bCs/>
          <w:sz w:val="24"/>
          <w:szCs w:val="24"/>
        </w:rPr>
        <w:t>apresenta o maior potencial</w:t>
      </w:r>
      <w:r w:rsidRPr="004C53B0">
        <w:rPr>
          <w:rFonts w:ascii="Times New Roman" w:hAnsi="Times New Roman"/>
          <w:bCs/>
          <w:sz w:val="24"/>
          <w:szCs w:val="24"/>
        </w:rPr>
        <w:t xml:space="preserve"> antioxidante</w:t>
      </w:r>
      <w:r>
        <w:rPr>
          <w:rFonts w:ascii="Times New Roman" w:hAnsi="Times New Roman"/>
          <w:bCs/>
          <w:sz w:val="24"/>
          <w:szCs w:val="24"/>
        </w:rPr>
        <w:t xml:space="preserve"> </w:t>
      </w:r>
      <w:r w:rsidRPr="004C53B0">
        <w:rPr>
          <w:rFonts w:ascii="Times New Roman" w:hAnsi="Times New Roman"/>
          <w:bCs/>
          <w:sz w:val="24"/>
          <w:szCs w:val="24"/>
        </w:rPr>
        <w:t>(IC</w:t>
      </w:r>
      <w:r w:rsidRPr="004C53B0">
        <w:rPr>
          <w:rFonts w:ascii="Times New Roman" w:hAnsi="Times New Roman"/>
          <w:bCs/>
          <w:sz w:val="24"/>
          <w:szCs w:val="24"/>
          <w:vertAlign w:val="subscript"/>
        </w:rPr>
        <w:t>50</w:t>
      </w:r>
      <w:r>
        <w:rPr>
          <w:rFonts w:ascii="Times New Roman" w:hAnsi="Times New Roman"/>
          <w:bCs/>
          <w:sz w:val="24"/>
          <w:szCs w:val="24"/>
        </w:rPr>
        <w:t xml:space="preserve">=8,99 ± </w:t>
      </w:r>
      <w:r w:rsidRPr="004C53B0">
        <w:rPr>
          <w:rFonts w:ascii="Times New Roman" w:hAnsi="Times New Roman"/>
          <w:bCs/>
          <w:sz w:val="24"/>
          <w:szCs w:val="24"/>
        </w:rPr>
        <w:t>0,20μg/mL de extracto e EC</w:t>
      </w:r>
      <w:r w:rsidRPr="004C53B0">
        <w:rPr>
          <w:rFonts w:ascii="Times New Roman" w:hAnsi="Times New Roman"/>
          <w:bCs/>
          <w:sz w:val="24"/>
          <w:szCs w:val="24"/>
          <w:vertAlign w:val="subscript"/>
        </w:rPr>
        <w:t>50</w:t>
      </w:r>
      <w:r>
        <w:rPr>
          <w:rFonts w:ascii="Times New Roman" w:hAnsi="Times New Roman"/>
          <w:bCs/>
          <w:sz w:val="24"/>
          <w:szCs w:val="24"/>
        </w:rPr>
        <w:t xml:space="preserve">=12,08 ± </w:t>
      </w:r>
      <w:r w:rsidRPr="004C53B0">
        <w:rPr>
          <w:rFonts w:ascii="Times New Roman" w:hAnsi="Times New Roman"/>
          <w:bCs/>
          <w:sz w:val="24"/>
          <w:szCs w:val="24"/>
        </w:rPr>
        <w:t>0,97μ</w:t>
      </w:r>
      <w:r>
        <w:rPr>
          <w:rFonts w:ascii="Times New Roman" w:hAnsi="Times New Roman"/>
          <w:bCs/>
          <w:sz w:val="24"/>
          <w:szCs w:val="24"/>
        </w:rPr>
        <w:t>g/mL</w:t>
      </w:r>
      <w:r w:rsidRPr="00051C0C">
        <w:rPr>
          <w:rFonts w:ascii="Times New Roman" w:hAnsi="Times New Roman"/>
          <w:bCs/>
          <w:sz w:val="24"/>
          <w:szCs w:val="24"/>
        </w:rPr>
        <w:t xml:space="preserve"> </w:t>
      </w:r>
      <w:r w:rsidRPr="004C53B0">
        <w:rPr>
          <w:rFonts w:ascii="Times New Roman" w:hAnsi="Times New Roman"/>
          <w:bCs/>
          <w:sz w:val="24"/>
          <w:szCs w:val="24"/>
        </w:rPr>
        <w:t>de extracto</w:t>
      </w:r>
      <w:r>
        <w:rPr>
          <w:rFonts w:ascii="Times New Roman" w:hAnsi="Times New Roman"/>
          <w:bCs/>
          <w:sz w:val="24"/>
          <w:szCs w:val="24"/>
        </w:rPr>
        <w:t>), seguido do ERC (</w:t>
      </w:r>
      <w:r w:rsidRPr="004C53B0">
        <w:rPr>
          <w:rFonts w:ascii="Times New Roman" w:hAnsi="Times New Roman"/>
          <w:bCs/>
          <w:sz w:val="24"/>
          <w:szCs w:val="24"/>
        </w:rPr>
        <w:t>IC</w:t>
      </w:r>
      <w:r w:rsidRPr="004C53B0">
        <w:rPr>
          <w:rFonts w:ascii="Times New Roman" w:hAnsi="Times New Roman"/>
          <w:bCs/>
          <w:sz w:val="24"/>
          <w:szCs w:val="24"/>
          <w:vertAlign w:val="subscript"/>
        </w:rPr>
        <w:t>50</w:t>
      </w:r>
      <w:r w:rsidRPr="00051C0C">
        <w:rPr>
          <w:rFonts w:ascii="Times New Roman" w:hAnsi="Times New Roman"/>
          <w:sz w:val="24"/>
          <w:szCs w:val="24"/>
        </w:rPr>
        <w:t>=17,45</w:t>
      </w:r>
      <w:r>
        <w:rPr>
          <w:rFonts w:ascii="Times New Roman" w:hAnsi="Times New Roman"/>
          <w:sz w:val="24"/>
          <w:szCs w:val="24"/>
        </w:rPr>
        <w:t xml:space="preserve">3 ± </w:t>
      </w:r>
      <w:r w:rsidRPr="00051C0C">
        <w:rPr>
          <w:rFonts w:ascii="Times New Roman" w:hAnsi="Times New Roman"/>
          <w:sz w:val="24"/>
          <w:szCs w:val="24"/>
        </w:rPr>
        <w:t>0,169μg/mL de extracto e EC</w:t>
      </w:r>
      <w:r w:rsidRPr="009A189F">
        <w:rPr>
          <w:rFonts w:ascii="Times New Roman" w:hAnsi="Times New Roman"/>
          <w:sz w:val="24"/>
          <w:szCs w:val="24"/>
          <w:vertAlign w:val="subscript"/>
        </w:rPr>
        <w:t>50</w:t>
      </w:r>
      <w:r w:rsidRPr="00051C0C">
        <w:rPr>
          <w:rFonts w:ascii="Times New Roman" w:hAnsi="Times New Roman"/>
          <w:sz w:val="24"/>
          <w:szCs w:val="24"/>
        </w:rPr>
        <w:t>=</w:t>
      </w:r>
      <w:r>
        <w:rPr>
          <w:rFonts w:ascii="Times New Roman" w:hAnsi="Times New Roman"/>
          <w:sz w:val="24"/>
          <w:szCs w:val="24"/>
        </w:rPr>
        <w:t xml:space="preserve">32,200 </w:t>
      </w:r>
      <w:r w:rsidRPr="00051C0C">
        <w:rPr>
          <w:rFonts w:ascii="Times New Roman" w:hAnsi="Times New Roman"/>
          <w:sz w:val="24"/>
          <w:szCs w:val="24"/>
        </w:rPr>
        <w:t>± 0,744μg/</w:t>
      </w:r>
      <w:r>
        <w:rPr>
          <w:rFonts w:ascii="Times New Roman" w:hAnsi="Times New Roman"/>
          <w:bCs/>
          <w:sz w:val="24"/>
          <w:szCs w:val="24"/>
        </w:rPr>
        <w:t xml:space="preserve">mL </w:t>
      </w:r>
      <w:r w:rsidRPr="004C53B0">
        <w:rPr>
          <w:rFonts w:ascii="Times New Roman" w:hAnsi="Times New Roman"/>
          <w:bCs/>
          <w:sz w:val="24"/>
          <w:szCs w:val="24"/>
        </w:rPr>
        <w:t>de extracto</w:t>
      </w:r>
      <w:r>
        <w:rPr>
          <w:rFonts w:ascii="Times New Roman" w:hAnsi="Times New Roman"/>
          <w:bCs/>
          <w:sz w:val="24"/>
          <w:szCs w:val="24"/>
        </w:rPr>
        <w:t xml:space="preserve">) e por fim do EB </w:t>
      </w:r>
      <w:r w:rsidRPr="004C53B0">
        <w:rPr>
          <w:rFonts w:ascii="Times New Roman" w:hAnsi="Times New Roman"/>
          <w:bCs/>
          <w:sz w:val="24"/>
          <w:szCs w:val="24"/>
        </w:rPr>
        <w:t>(IC</w:t>
      </w:r>
      <w:r w:rsidRPr="004C53B0">
        <w:rPr>
          <w:rFonts w:ascii="Times New Roman" w:hAnsi="Times New Roman"/>
          <w:bCs/>
          <w:sz w:val="24"/>
          <w:szCs w:val="24"/>
          <w:vertAlign w:val="subscript"/>
        </w:rPr>
        <w:t>50</w:t>
      </w:r>
      <w:r>
        <w:rPr>
          <w:rFonts w:ascii="Times New Roman" w:hAnsi="Times New Roman"/>
          <w:bCs/>
          <w:sz w:val="24"/>
          <w:szCs w:val="24"/>
        </w:rPr>
        <w:t>=</w:t>
      </w:r>
      <w:r w:rsidRPr="00051C0C">
        <w:rPr>
          <w:rFonts w:ascii="Times New Roman" w:hAnsi="Times New Roman"/>
          <w:sz w:val="24"/>
          <w:szCs w:val="24"/>
        </w:rPr>
        <w:t>31,679 ± 0,563μg</w:t>
      </w:r>
      <w:r w:rsidRPr="004C53B0">
        <w:rPr>
          <w:rFonts w:ascii="Times New Roman" w:hAnsi="Times New Roman"/>
          <w:bCs/>
          <w:sz w:val="24"/>
          <w:szCs w:val="24"/>
        </w:rPr>
        <w:t>/mL de extracto e EC</w:t>
      </w:r>
      <w:r w:rsidRPr="004C53B0">
        <w:rPr>
          <w:rFonts w:ascii="Times New Roman" w:hAnsi="Times New Roman"/>
          <w:bCs/>
          <w:sz w:val="24"/>
          <w:szCs w:val="24"/>
          <w:vertAlign w:val="subscript"/>
        </w:rPr>
        <w:t>50</w:t>
      </w:r>
      <w:r w:rsidRPr="004C53B0">
        <w:rPr>
          <w:rFonts w:ascii="Times New Roman" w:hAnsi="Times New Roman"/>
          <w:bCs/>
          <w:sz w:val="24"/>
          <w:szCs w:val="24"/>
        </w:rPr>
        <w:t>=</w:t>
      </w:r>
      <w:r w:rsidRPr="00051C0C">
        <w:rPr>
          <w:rFonts w:ascii="Times New Roman" w:hAnsi="Times New Roman"/>
          <w:bCs/>
          <w:sz w:val="24"/>
          <w:szCs w:val="24"/>
        </w:rPr>
        <w:t>51,438 ± 0,758</w:t>
      </w:r>
      <w:r w:rsidRPr="004C53B0">
        <w:rPr>
          <w:rFonts w:ascii="Times New Roman" w:hAnsi="Times New Roman"/>
          <w:bCs/>
          <w:sz w:val="24"/>
          <w:szCs w:val="24"/>
        </w:rPr>
        <w:t>μ</w:t>
      </w:r>
      <w:r>
        <w:rPr>
          <w:rFonts w:ascii="Times New Roman" w:hAnsi="Times New Roman"/>
          <w:bCs/>
          <w:sz w:val="24"/>
          <w:szCs w:val="24"/>
        </w:rPr>
        <w:t xml:space="preserve">g/mL de extracto) (Figura 21 e Figura 22). </w:t>
      </w:r>
    </w:p>
    <w:p w:rsidR="006737F5" w:rsidRDefault="006737F5" w:rsidP="00165FE3">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O EPC demonstrou uma actividade antioxidante próxima ao padrão de referência α-tocoferol, </w:t>
      </w:r>
      <w:r w:rsidR="009A189F">
        <w:rPr>
          <w:rFonts w:ascii="Times New Roman" w:hAnsi="Times New Roman"/>
          <w:sz w:val="24"/>
          <w:szCs w:val="24"/>
        </w:rPr>
        <w:t xml:space="preserve">este potencial acrescido </w:t>
      </w:r>
      <w:r w:rsidR="00C17D1D">
        <w:rPr>
          <w:rFonts w:ascii="Times New Roman" w:hAnsi="Times New Roman"/>
          <w:sz w:val="24"/>
          <w:szCs w:val="24"/>
        </w:rPr>
        <w:t>dever-se-á</w:t>
      </w:r>
      <w:r w:rsidR="009A189F">
        <w:rPr>
          <w:rFonts w:ascii="Times New Roman" w:hAnsi="Times New Roman"/>
          <w:sz w:val="24"/>
          <w:szCs w:val="24"/>
        </w:rPr>
        <w:t xml:space="preserve"> à presença de compostos bioactivos de baixo peso molecular,</w:t>
      </w:r>
      <w:r w:rsidR="0022201C" w:rsidRPr="0022201C">
        <w:rPr>
          <w:rFonts w:ascii="Times New Roman" w:hAnsi="Times New Roman"/>
          <w:sz w:val="24"/>
          <w:szCs w:val="24"/>
        </w:rPr>
        <w:t xml:space="preserve"> </w:t>
      </w:r>
      <w:r w:rsidR="00C17D1D">
        <w:rPr>
          <w:rFonts w:ascii="Times New Roman" w:hAnsi="Times New Roman"/>
          <w:sz w:val="24"/>
          <w:szCs w:val="24"/>
        </w:rPr>
        <w:t>permeados durante a aplicação do processo de separação por membranas</w:t>
      </w:r>
      <w:r w:rsidR="0022201C">
        <w:rPr>
          <w:rFonts w:ascii="Times New Roman" w:hAnsi="Times New Roman"/>
          <w:sz w:val="24"/>
          <w:szCs w:val="24"/>
        </w:rPr>
        <w:t xml:space="preserve">. </w:t>
      </w:r>
      <w:r>
        <w:rPr>
          <w:rFonts w:ascii="Times New Roman" w:hAnsi="Times New Roman"/>
          <w:sz w:val="24"/>
          <w:szCs w:val="24"/>
        </w:rPr>
        <w:t>A co</w:t>
      </w:r>
      <w:r w:rsidR="0022201C">
        <w:rPr>
          <w:rFonts w:ascii="Times New Roman" w:hAnsi="Times New Roman"/>
          <w:sz w:val="24"/>
          <w:szCs w:val="24"/>
        </w:rPr>
        <w:t>ncentração e grau de pureza em H</w:t>
      </w:r>
      <w:r>
        <w:rPr>
          <w:rFonts w:ascii="Times New Roman" w:hAnsi="Times New Roman"/>
          <w:sz w:val="24"/>
          <w:szCs w:val="24"/>
        </w:rPr>
        <w:t>idroxitirosol deste extracto</w:t>
      </w:r>
      <w:r w:rsidR="0022201C">
        <w:rPr>
          <w:rFonts w:ascii="Times New Roman" w:hAnsi="Times New Roman"/>
          <w:sz w:val="24"/>
          <w:szCs w:val="24"/>
        </w:rPr>
        <w:t xml:space="preserve">, </w:t>
      </w:r>
      <w:r>
        <w:rPr>
          <w:rFonts w:ascii="Times New Roman" w:hAnsi="Times New Roman"/>
          <w:sz w:val="24"/>
          <w:szCs w:val="24"/>
        </w:rPr>
        <w:t xml:space="preserve">estarão </w:t>
      </w:r>
      <w:r w:rsidR="0022201C">
        <w:rPr>
          <w:rFonts w:ascii="Times New Roman" w:hAnsi="Times New Roman"/>
          <w:sz w:val="24"/>
          <w:szCs w:val="24"/>
        </w:rPr>
        <w:t xml:space="preserve">eventualmente </w:t>
      </w:r>
      <w:r>
        <w:rPr>
          <w:rFonts w:ascii="Times New Roman" w:hAnsi="Times New Roman"/>
          <w:sz w:val="24"/>
          <w:szCs w:val="24"/>
        </w:rPr>
        <w:t>implicados na sua</w:t>
      </w:r>
      <w:r w:rsidR="0022201C">
        <w:rPr>
          <w:rFonts w:ascii="Times New Roman" w:hAnsi="Times New Roman"/>
          <w:sz w:val="24"/>
          <w:szCs w:val="24"/>
        </w:rPr>
        <w:t xml:space="preserve"> melhor capacidade antioxidante. Este resultado </w:t>
      </w:r>
      <w:r>
        <w:rPr>
          <w:rFonts w:ascii="Times New Roman" w:hAnsi="Times New Roman"/>
          <w:sz w:val="24"/>
          <w:szCs w:val="24"/>
        </w:rPr>
        <w:t>realça a eficiên</w:t>
      </w:r>
      <w:r w:rsidR="00171471">
        <w:rPr>
          <w:rFonts w:ascii="Times New Roman" w:hAnsi="Times New Roman"/>
          <w:sz w:val="24"/>
          <w:szCs w:val="24"/>
        </w:rPr>
        <w:t>cia da aplicação da tecnologia do processo de separação por</w:t>
      </w:r>
      <w:r>
        <w:rPr>
          <w:rFonts w:ascii="Times New Roman" w:hAnsi="Times New Roman"/>
          <w:sz w:val="24"/>
          <w:szCs w:val="24"/>
        </w:rPr>
        <w:t xml:space="preserve"> membranas no enriquecimento deste extracto, com fim ao aumento das suas potencialidades e actividades biológicas. A actividade antioxidante deste extracto deve-se possivelmente a uma sinergia entre os compostos que o constituem, e não exclusivamente ao potente composto antioxidante Hidroxitirosol. </w:t>
      </w:r>
      <w:r w:rsidR="00C723B6">
        <w:rPr>
          <w:rFonts w:ascii="Times New Roman" w:hAnsi="Times New Roman"/>
          <w:sz w:val="24"/>
          <w:szCs w:val="24"/>
        </w:rPr>
        <w:t>A selecção de compostos bioactivos pode ser feita através da aplicação do processo de separação por membranas, fazendo esta rejeição de acordo com o peso molecular dos compostos, uma vez identificados.</w:t>
      </w:r>
    </w:p>
    <w:p w:rsidR="006737F5" w:rsidRDefault="006737F5" w:rsidP="002013B5">
      <w:pPr>
        <w:autoSpaceDE w:val="0"/>
        <w:autoSpaceDN w:val="0"/>
        <w:adjustRightInd w:val="0"/>
        <w:ind w:firstLine="708"/>
        <w:jc w:val="both"/>
        <w:rPr>
          <w:rFonts w:ascii="Times New Roman" w:hAnsi="Times New Roman"/>
          <w:sz w:val="24"/>
          <w:szCs w:val="24"/>
        </w:rPr>
      </w:pPr>
      <w:r w:rsidRPr="000730D6">
        <w:rPr>
          <w:rFonts w:ascii="Times New Roman" w:hAnsi="Times New Roman"/>
          <w:sz w:val="24"/>
          <w:szCs w:val="24"/>
        </w:rPr>
        <w:t>A análise estatística mostra variações estatisticamente significativas (</w:t>
      </w:r>
      <w:r w:rsidRPr="000730D6">
        <w:rPr>
          <w:rFonts w:ascii="Times New Roman" w:hAnsi="Times New Roman"/>
          <w:i/>
          <w:sz w:val="24"/>
          <w:szCs w:val="24"/>
        </w:rPr>
        <w:t>P</w:t>
      </w:r>
      <w:r w:rsidRPr="000730D6">
        <w:rPr>
          <w:rFonts w:ascii="Times New Roman" w:hAnsi="Times New Roman"/>
          <w:sz w:val="24"/>
          <w:szCs w:val="24"/>
        </w:rPr>
        <w:t xml:space="preserve"> &lt; 0,05) para os </w:t>
      </w:r>
      <w:r>
        <w:rPr>
          <w:rFonts w:ascii="Times New Roman" w:hAnsi="Times New Roman"/>
          <w:sz w:val="24"/>
          <w:szCs w:val="24"/>
        </w:rPr>
        <w:t>padrões e</w:t>
      </w:r>
      <w:r w:rsidRPr="000730D6">
        <w:rPr>
          <w:rFonts w:ascii="Times New Roman" w:hAnsi="Times New Roman"/>
          <w:sz w:val="24"/>
          <w:szCs w:val="24"/>
        </w:rPr>
        <w:t xml:space="preserve"> três extractos em estudo utilizando a comparação múltipla</w:t>
      </w:r>
      <w:r>
        <w:rPr>
          <w:rFonts w:ascii="Times New Roman" w:hAnsi="Times New Roman"/>
          <w:sz w:val="24"/>
          <w:szCs w:val="24"/>
        </w:rPr>
        <w:t xml:space="preserve"> de médias, pelo teste de Tukey</w:t>
      </w:r>
      <w:r w:rsidR="00805B55">
        <w:rPr>
          <w:rFonts w:ascii="Times New Roman" w:hAnsi="Times New Roman"/>
          <w:sz w:val="24"/>
          <w:szCs w:val="24"/>
        </w:rPr>
        <w:t xml:space="preserve"> (Figura 21 e 22)</w:t>
      </w:r>
      <w:r>
        <w:rPr>
          <w:rFonts w:ascii="Times New Roman" w:hAnsi="Times New Roman"/>
          <w:sz w:val="24"/>
          <w:szCs w:val="24"/>
        </w:rPr>
        <w:t xml:space="preserve">, com </w:t>
      </w:r>
      <w:r w:rsidR="00805B55">
        <w:rPr>
          <w:rFonts w:ascii="Times New Roman" w:hAnsi="Times New Roman"/>
          <w:sz w:val="24"/>
          <w:szCs w:val="24"/>
        </w:rPr>
        <w:t>excepção</w:t>
      </w:r>
      <w:r>
        <w:rPr>
          <w:rFonts w:ascii="Times New Roman" w:hAnsi="Times New Roman"/>
          <w:sz w:val="24"/>
          <w:szCs w:val="24"/>
        </w:rPr>
        <w:t xml:space="preserve"> para os padrões BHA e HT que não são significativamente diferentes no ensaio de DPPH</w:t>
      </w:r>
      <w:r w:rsidR="00805B55">
        <w:rPr>
          <w:rFonts w:ascii="Times New Roman" w:hAnsi="Times New Roman"/>
          <w:sz w:val="24"/>
          <w:szCs w:val="24"/>
        </w:rPr>
        <w:t xml:space="preserve"> (Figura 21)</w:t>
      </w:r>
      <w:r>
        <w:rPr>
          <w:rFonts w:ascii="Times New Roman" w:hAnsi="Times New Roman"/>
          <w:sz w:val="24"/>
          <w:szCs w:val="24"/>
        </w:rPr>
        <w:t>.</w:t>
      </w:r>
    </w:p>
    <w:p w:rsidR="006737F5" w:rsidRDefault="00A44D51" w:rsidP="00AD7F4F">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Vários autores já se debruçaram sobre o potencial antioxidante de extractos derivados de resíduos da indústria do azeite, particularmente extractos de águas russas, que demonstraram possuir na sua composição, através de cromatografia de alta eficiência, compostos fenólicos antioxidantes encontrados no azeite virgem, como o Hidroxitirosol, a Oleuropeína e o Tirosol. Obied </w:t>
      </w:r>
      <w:r w:rsidRPr="00A44D51">
        <w:rPr>
          <w:rFonts w:ascii="Times New Roman" w:hAnsi="Times New Roman"/>
          <w:i/>
          <w:sz w:val="24"/>
          <w:szCs w:val="24"/>
        </w:rPr>
        <w:t>et al</w:t>
      </w:r>
      <w:r>
        <w:rPr>
          <w:rFonts w:ascii="Times New Roman" w:hAnsi="Times New Roman"/>
          <w:sz w:val="24"/>
          <w:szCs w:val="24"/>
        </w:rPr>
        <w:t xml:space="preserve">, reporta a identificação </w:t>
      </w:r>
      <w:r w:rsidR="00AA3115">
        <w:rPr>
          <w:rFonts w:ascii="Times New Roman" w:hAnsi="Times New Roman"/>
          <w:sz w:val="24"/>
          <w:szCs w:val="24"/>
        </w:rPr>
        <w:t xml:space="preserve">de compostos fenólicos com actividade antioxidante </w:t>
      </w:r>
      <w:r>
        <w:rPr>
          <w:rFonts w:ascii="Times New Roman" w:hAnsi="Times New Roman"/>
          <w:sz w:val="24"/>
          <w:szCs w:val="24"/>
        </w:rPr>
        <w:t xml:space="preserve">em extractos derivados de águas russas, </w:t>
      </w:r>
      <w:r w:rsidR="00AA3115">
        <w:rPr>
          <w:rFonts w:ascii="Times New Roman" w:hAnsi="Times New Roman"/>
          <w:sz w:val="24"/>
          <w:szCs w:val="24"/>
        </w:rPr>
        <w:t>com valores de IC</w:t>
      </w:r>
      <w:r w:rsidR="00AA3115" w:rsidRPr="00AA3115">
        <w:rPr>
          <w:rFonts w:ascii="Times New Roman" w:hAnsi="Times New Roman"/>
          <w:sz w:val="24"/>
          <w:szCs w:val="24"/>
          <w:vertAlign w:val="subscript"/>
        </w:rPr>
        <w:t>50</w:t>
      </w:r>
      <w:r w:rsidR="00AA3115">
        <w:rPr>
          <w:rFonts w:ascii="Times New Roman" w:hAnsi="Times New Roman"/>
          <w:sz w:val="24"/>
          <w:szCs w:val="24"/>
        </w:rPr>
        <w:t xml:space="preserve"> determinados pelo método DPPH de</w:t>
      </w:r>
      <w:r w:rsidR="00D05ECD">
        <w:rPr>
          <w:rFonts w:ascii="Times New Roman" w:hAnsi="Times New Roman"/>
          <w:sz w:val="24"/>
          <w:szCs w:val="24"/>
        </w:rPr>
        <w:t>:</w:t>
      </w:r>
      <w:r w:rsidR="00AA3115">
        <w:rPr>
          <w:rFonts w:ascii="Times New Roman" w:hAnsi="Times New Roman"/>
          <w:sz w:val="24"/>
          <w:szCs w:val="24"/>
        </w:rPr>
        <w:t xml:space="preserve"> IC</w:t>
      </w:r>
      <w:r w:rsidR="00AA3115" w:rsidRPr="00AA3115">
        <w:rPr>
          <w:rFonts w:ascii="Times New Roman" w:hAnsi="Times New Roman"/>
          <w:sz w:val="24"/>
          <w:szCs w:val="24"/>
          <w:vertAlign w:val="subscript"/>
        </w:rPr>
        <w:t>50</w:t>
      </w:r>
      <w:r w:rsidR="00AA3115">
        <w:rPr>
          <w:rFonts w:ascii="Times New Roman" w:hAnsi="Times New Roman"/>
          <w:sz w:val="24"/>
          <w:szCs w:val="24"/>
        </w:rPr>
        <w:t>=</w:t>
      </w:r>
      <w:r w:rsidR="00D05ECD">
        <w:rPr>
          <w:rFonts w:ascii="Times New Roman" w:hAnsi="Times New Roman"/>
          <w:sz w:val="24"/>
          <w:szCs w:val="24"/>
        </w:rPr>
        <w:t>15</w:t>
      </w:r>
      <w:r w:rsidR="00D82CEF">
        <w:rPr>
          <w:rFonts w:ascii="Times New Roman" w:hAnsi="Times New Roman"/>
          <w:sz w:val="24"/>
          <w:szCs w:val="24"/>
        </w:rPr>
        <w:t>,</w:t>
      </w:r>
      <w:r w:rsidR="00AA3115">
        <w:rPr>
          <w:rFonts w:ascii="Times New Roman" w:hAnsi="Times New Roman"/>
          <w:sz w:val="24"/>
          <w:szCs w:val="24"/>
        </w:rPr>
        <w:t>2±</w:t>
      </w:r>
      <w:r w:rsidR="00D05ECD">
        <w:rPr>
          <w:rFonts w:ascii="Times New Roman" w:hAnsi="Times New Roman"/>
          <w:sz w:val="24"/>
          <w:szCs w:val="24"/>
        </w:rPr>
        <w:t>0</w:t>
      </w:r>
      <w:r w:rsidR="00D82CEF">
        <w:rPr>
          <w:rFonts w:ascii="Times New Roman" w:hAnsi="Times New Roman"/>
          <w:sz w:val="24"/>
          <w:szCs w:val="24"/>
        </w:rPr>
        <w:t>,</w:t>
      </w:r>
      <w:r w:rsidR="00AA3115" w:rsidRPr="00AA3115">
        <w:rPr>
          <w:rFonts w:ascii="Times New Roman" w:hAnsi="Times New Roman"/>
          <w:sz w:val="24"/>
          <w:szCs w:val="24"/>
        </w:rPr>
        <w:t>8</w:t>
      </w:r>
      <w:r w:rsidR="00AA3115">
        <w:rPr>
          <w:sz w:val="24"/>
          <w:szCs w:val="24"/>
        </w:rPr>
        <w:t>µ</w:t>
      </w:r>
      <w:r w:rsidR="00AA3115">
        <w:rPr>
          <w:rFonts w:ascii="Times New Roman" w:hAnsi="Times New Roman"/>
          <w:sz w:val="24"/>
          <w:szCs w:val="24"/>
        </w:rPr>
        <w:t>M para o Hidroxitirosol, IC</w:t>
      </w:r>
      <w:r w:rsidR="00AA3115" w:rsidRPr="00AA3115">
        <w:rPr>
          <w:rFonts w:ascii="Times New Roman" w:hAnsi="Times New Roman"/>
          <w:sz w:val="24"/>
          <w:szCs w:val="24"/>
          <w:vertAlign w:val="subscript"/>
        </w:rPr>
        <w:t>50</w:t>
      </w:r>
      <w:r w:rsidR="00AA3115">
        <w:rPr>
          <w:rFonts w:ascii="Times New Roman" w:hAnsi="Times New Roman"/>
          <w:sz w:val="24"/>
          <w:szCs w:val="24"/>
        </w:rPr>
        <w:t>=14</w:t>
      </w:r>
      <w:r w:rsidR="00D82CEF">
        <w:rPr>
          <w:rFonts w:ascii="Times New Roman" w:hAnsi="Times New Roman"/>
          <w:sz w:val="24"/>
          <w:szCs w:val="24"/>
        </w:rPr>
        <w:t>,</w:t>
      </w:r>
      <w:r w:rsidR="00AA3115">
        <w:rPr>
          <w:rFonts w:ascii="Times New Roman" w:hAnsi="Times New Roman"/>
          <w:sz w:val="24"/>
          <w:szCs w:val="24"/>
        </w:rPr>
        <w:t>0±</w:t>
      </w:r>
      <w:r w:rsidR="00AA3115" w:rsidRPr="00AA3115">
        <w:rPr>
          <w:rFonts w:ascii="Times New Roman" w:hAnsi="Times New Roman"/>
          <w:sz w:val="24"/>
          <w:szCs w:val="24"/>
        </w:rPr>
        <w:t>0</w:t>
      </w:r>
      <w:r w:rsidR="00D82CEF">
        <w:rPr>
          <w:rFonts w:ascii="Times New Roman" w:hAnsi="Times New Roman"/>
          <w:sz w:val="24"/>
          <w:szCs w:val="24"/>
        </w:rPr>
        <w:t>,</w:t>
      </w:r>
      <w:r w:rsidR="00AA3115" w:rsidRPr="00AA3115">
        <w:rPr>
          <w:rFonts w:ascii="Times New Roman" w:hAnsi="Times New Roman"/>
          <w:sz w:val="24"/>
          <w:szCs w:val="24"/>
        </w:rPr>
        <w:t>1</w:t>
      </w:r>
      <w:r w:rsidR="00AA3115">
        <w:rPr>
          <w:sz w:val="24"/>
          <w:szCs w:val="24"/>
        </w:rPr>
        <w:t>µ</w:t>
      </w:r>
      <w:r w:rsidR="00AA3115">
        <w:rPr>
          <w:rFonts w:ascii="Times New Roman" w:hAnsi="Times New Roman"/>
          <w:sz w:val="24"/>
          <w:szCs w:val="24"/>
        </w:rPr>
        <w:t xml:space="preserve">M para a </w:t>
      </w:r>
      <w:r w:rsidR="00D05ECD">
        <w:rPr>
          <w:rFonts w:ascii="Times New Roman" w:hAnsi="Times New Roman"/>
          <w:sz w:val="24"/>
          <w:szCs w:val="24"/>
        </w:rPr>
        <w:t>Oleuropeína,</w:t>
      </w:r>
      <w:r w:rsidR="00AA3115">
        <w:rPr>
          <w:rFonts w:ascii="Times New Roman" w:hAnsi="Times New Roman"/>
          <w:sz w:val="24"/>
          <w:szCs w:val="24"/>
        </w:rPr>
        <w:t xml:space="preserve"> IC</w:t>
      </w:r>
      <w:r w:rsidR="00AA3115" w:rsidRPr="00AA3115">
        <w:rPr>
          <w:rFonts w:ascii="Times New Roman" w:hAnsi="Times New Roman"/>
          <w:sz w:val="24"/>
          <w:szCs w:val="24"/>
          <w:vertAlign w:val="subscript"/>
        </w:rPr>
        <w:t>50</w:t>
      </w:r>
      <w:r w:rsidR="00AA3115">
        <w:rPr>
          <w:rFonts w:ascii="Times New Roman" w:hAnsi="Times New Roman"/>
          <w:sz w:val="24"/>
          <w:szCs w:val="24"/>
        </w:rPr>
        <w:t>=</w:t>
      </w:r>
      <w:r w:rsidR="00D82CEF">
        <w:rPr>
          <w:rFonts w:ascii="Times New Roman" w:hAnsi="Times New Roman"/>
          <w:sz w:val="24"/>
          <w:szCs w:val="24"/>
        </w:rPr>
        <w:t>24,</w:t>
      </w:r>
      <w:r w:rsidR="00AA3115">
        <w:rPr>
          <w:rFonts w:ascii="Times New Roman" w:hAnsi="Times New Roman"/>
          <w:sz w:val="24"/>
          <w:szCs w:val="24"/>
        </w:rPr>
        <w:t>3±</w:t>
      </w:r>
      <w:r w:rsidR="00D82CEF">
        <w:rPr>
          <w:rFonts w:ascii="Times New Roman" w:hAnsi="Times New Roman"/>
          <w:sz w:val="24"/>
          <w:szCs w:val="24"/>
        </w:rPr>
        <w:t>1,</w:t>
      </w:r>
      <w:r w:rsidR="00AA3115" w:rsidRPr="00AA3115">
        <w:rPr>
          <w:rFonts w:ascii="Times New Roman" w:hAnsi="Times New Roman"/>
          <w:sz w:val="24"/>
          <w:szCs w:val="24"/>
        </w:rPr>
        <w:t>1</w:t>
      </w:r>
      <w:r w:rsidR="00AA3115">
        <w:rPr>
          <w:sz w:val="24"/>
          <w:szCs w:val="24"/>
        </w:rPr>
        <w:t>µ</w:t>
      </w:r>
      <w:r w:rsidR="00AA3115">
        <w:rPr>
          <w:rFonts w:ascii="Times New Roman" w:hAnsi="Times New Roman"/>
          <w:sz w:val="24"/>
          <w:szCs w:val="24"/>
        </w:rPr>
        <w:t>M</w:t>
      </w:r>
      <w:r w:rsidR="00AA3115" w:rsidRPr="00AA3115">
        <w:rPr>
          <w:rFonts w:ascii="Times New Roman" w:hAnsi="Times New Roman"/>
          <w:sz w:val="24"/>
          <w:szCs w:val="24"/>
        </w:rPr>
        <w:t xml:space="preserve"> </w:t>
      </w:r>
      <w:r w:rsidR="00D05ECD">
        <w:rPr>
          <w:rFonts w:ascii="Times New Roman" w:hAnsi="Times New Roman"/>
          <w:sz w:val="24"/>
          <w:szCs w:val="24"/>
        </w:rPr>
        <w:t xml:space="preserve">para o composto </w:t>
      </w:r>
      <w:r w:rsidR="00D05ECD" w:rsidRPr="00A44D51">
        <w:rPr>
          <w:rFonts w:ascii="Times New Roman" w:hAnsi="Times New Roman"/>
          <w:i/>
          <w:sz w:val="24"/>
          <w:szCs w:val="24"/>
        </w:rPr>
        <w:t>comselogoside</w:t>
      </w:r>
      <w:r w:rsidR="00D05ECD">
        <w:rPr>
          <w:rFonts w:ascii="Times New Roman" w:hAnsi="Times New Roman"/>
          <w:i/>
          <w:sz w:val="24"/>
          <w:szCs w:val="24"/>
        </w:rPr>
        <w:t>,</w:t>
      </w:r>
      <w:r w:rsidR="00D05ECD" w:rsidRPr="00AA3115">
        <w:rPr>
          <w:rFonts w:ascii="Times New Roman" w:hAnsi="Times New Roman"/>
          <w:sz w:val="24"/>
          <w:szCs w:val="24"/>
        </w:rPr>
        <w:t xml:space="preserve"> </w:t>
      </w:r>
      <w:r w:rsidR="00AA3115" w:rsidRPr="00AA3115">
        <w:rPr>
          <w:rFonts w:ascii="Times New Roman" w:hAnsi="Times New Roman"/>
          <w:sz w:val="24"/>
          <w:szCs w:val="24"/>
        </w:rPr>
        <w:t xml:space="preserve">e </w:t>
      </w:r>
      <w:r w:rsidR="00AA3115">
        <w:rPr>
          <w:rFonts w:ascii="Times New Roman" w:hAnsi="Times New Roman"/>
          <w:sz w:val="24"/>
          <w:szCs w:val="24"/>
        </w:rPr>
        <w:t>IC</w:t>
      </w:r>
      <w:r w:rsidR="00AA3115" w:rsidRPr="00AA3115">
        <w:rPr>
          <w:rFonts w:ascii="Times New Roman" w:hAnsi="Times New Roman"/>
          <w:sz w:val="24"/>
          <w:szCs w:val="24"/>
          <w:vertAlign w:val="subscript"/>
        </w:rPr>
        <w:t>50</w:t>
      </w:r>
      <w:r w:rsidR="00AA3115">
        <w:rPr>
          <w:rFonts w:ascii="Times New Roman" w:hAnsi="Times New Roman"/>
          <w:sz w:val="24"/>
          <w:szCs w:val="24"/>
        </w:rPr>
        <w:t>=</w:t>
      </w:r>
      <w:r w:rsidR="00D82CEF">
        <w:rPr>
          <w:rFonts w:ascii="Times New Roman" w:hAnsi="Times New Roman"/>
          <w:sz w:val="24"/>
          <w:szCs w:val="24"/>
        </w:rPr>
        <w:t>12,</w:t>
      </w:r>
      <w:r w:rsidR="00AA3115">
        <w:rPr>
          <w:rFonts w:ascii="Times New Roman" w:hAnsi="Times New Roman"/>
          <w:sz w:val="24"/>
          <w:szCs w:val="24"/>
        </w:rPr>
        <w:t>6±</w:t>
      </w:r>
      <w:r w:rsidR="00D82CEF">
        <w:rPr>
          <w:rFonts w:ascii="Times New Roman" w:hAnsi="Times New Roman"/>
          <w:sz w:val="24"/>
          <w:szCs w:val="24"/>
        </w:rPr>
        <w:t>0,</w:t>
      </w:r>
      <w:r w:rsidR="00AA3115" w:rsidRPr="00AA3115">
        <w:rPr>
          <w:rFonts w:ascii="Times New Roman" w:hAnsi="Times New Roman"/>
          <w:sz w:val="24"/>
          <w:szCs w:val="24"/>
        </w:rPr>
        <w:t>3</w:t>
      </w:r>
      <w:r w:rsidR="00AA3115">
        <w:rPr>
          <w:sz w:val="24"/>
          <w:szCs w:val="24"/>
        </w:rPr>
        <w:t>µ</w:t>
      </w:r>
      <w:r w:rsidR="00AA3115">
        <w:rPr>
          <w:rFonts w:ascii="Times New Roman" w:hAnsi="Times New Roman"/>
          <w:sz w:val="24"/>
          <w:szCs w:val="24"/>
        </w:rPr>
        <w:t>M</w:t>
      </w:r>
      <w:r w:rsidR="00AA3115" w:rsidRPr="00AA3115">
        <w:rPr>
          <w:rFonts w:ascii="Times New Roman" w:hAnsi="Times New Roman"/>
          <w:sz w:val="24"/>
          <w:szCs w:val="24"/>
        </w:rPr>
        <w:t xml:space="preserve"> </w:t>
      </w:r>
      <w:r w:rsidR="00D05ECD">
        <w:rPr>
          <w:rFonts w:ascii="Times New Roman" w:hAnsi="Times New Roman"/>
          <w:sz w:val="24"/>
          <w:szCs w:val="24"/>
        </w:rPr>
        <w:t>para o composto</w:t>
      </w:r>
      <w:r w:rsidR="00AA3115">
        <w:rPr>
          <w:rFonts w:ascii="Times New Roman" w:hAnsi="Times New Roman"/>
          <w:sz w:val="24"/>
          <w:szCs w:val="24"/>
        </w:rPr>
        <w:t xml:space="preserve"> </w:t>
      </w:r>
      <w:r w:rsidR="00AA3115" w:rsidRPr="00A44D51">
        <w:rPr>
          <w:rFonts w:ascii="Times New Roman" w:hAnsi="Times New Roman"/>
          <w:i/>
          <w:sz w:val="24"/>
          <w:szCs w:val="24"/>
        </w:rPr>
        <w:t>hydroxytyrosyl acyclodihydroelenolate</w:t>
      </w:r>
      <w:r w:rsidR="00D05ECD">
        <w:rPr>
          <w:rFonts w:ascii="Times New Roman" w:hAnsi="Times New Roman"/>
          <w:i/>
          <w:sz w:val="24"/>
          <w:szCs w:val="24"/>
        </w:rPr>
        <w:t>.</w:t>
      </w:r>
      <w:r w:rsidR="00D05ECD">
        <w:rPr>
          <w:rFonts w:ascii="Times New Roman" w:hAnsi="Times New Roman"/>
          <w:sz w:val="24"/>
          <w:szCs w:val="24"/>
        </w:rPr>
        <w:t xml:space="preserve"> Owen </w:t>
      </w:r>
      <w:r w:rsidR="00D05ECD" w:rsidRPr="00D05ECD">
        <w:rPr>
          <w:rFonts w:ascii="Times New Roman" w:hAnsi="Times New Roman"/>
          <w:i/>
          <w:sz w:val="24"/>
          <w:szCs w:val="24"/>
        </w:rPr>
        <w:t>et al</w:t>
      </w:r>
      <w:r w:rsidR="00D05ECD">
        <w:rPr>
          <w:rFonts w:ascii="Times New Roman" w:hAnsi="Times New Roman"/>
          <w:sz w:val="24"/>
          <w:szCs w:val="24"/>
        </w:rPr>
        <w:t>, estudou a capacidade antioxidante de compostos fenólicos isolados a partir do azeite, dos quais se realçam o Hidroxitirosol (IC</w:t>
      </w:r>
      <w:r w:rsidR="00D05ECD" w:rsidRPr="00AA3115">
        <w:rPr>
          <w:rFonts w:ascii="Times New Roman" w:hAnsi="Times New Roman"/>
          <w:sz w:val="24"/>
          <w:szCs w:val="24"/>
          <w:vertAlign w:val="subscript"/>
        </w:rPr>
        <w:t>50</w:t>
      </w:r>
      <w:r w:rsidR="00D05ECD">
        <w:rPr>
          <w:rFonts w:ascii="Times New Roman" w:hAnsi="Times New Roman"/>
          <w:sz w:val="24"/>
          <w:szCs w:val="24"/>
        </w:rPr>
        <w:t>=</w:t>
      </w:r>
      <w:r w:rsidR="00D82CEF">
        <w:rPr>
          <w:rFonts w:ascii="Times New Roman" w:hAnsi="Times New Roman"/>
          <w:sz w:val="24"/>
          <w:szCs w:val="24"/>
        </w:rPr>
        <w:t>1,</w:t>
      </w:r>
      <w:r w:rsidR="00D05ECD" w:rsidRPr="00D05ECD">
        <w:rPr>
          <w:rFonts w:ascii="Times New Roman" w:hAnsi="Times New Roman"/>
          <w:sz w:val="24"/>
          <w:szCs w:val="24"/>
        </w:rPr>
        <w:t>34</w:t>
      </w:r>
      <w:r w:rsidR="00D05ECD">
        <w:rPr>
          <w:rFonts w:ascii="Times New Roman" w:hAnsi="Times New Roman"/>
          <w:sz w:val="24"/>
          <w:szCs w:val="24"/>
        </w:rPr>
        <w:t>mM), o Tirosol (IC</w:t>
      </w:r>
      <w:r w:rsidR="00D05ECD" w:rsidRPr="00AA3115">
        <w:rPr>
          <w:rFonts w:ascii="Times New Roman" w:hAnsi="Times New Roman"/>
          <w:sz w:val="24"/>
          <w:szCs w:val="24"/>
          <w:vertAlign w:val="subscript"/>
        </w:rPr>
        <w:t>50</w:t>
      </w:r>
      <w:r w:rsidR="00D05ECD">
        <w:rPr>
          <w:rFonts w:ascii="Times New Roman" w:hAnsi="Times New Roman"/>
          <w:sz w:val="24"/>
          <w:szCs w:val="24"/>
        </w:rPr>
        <w:t>=</w:t>
      </w:r>
      <w:r w:rsidR="00D82CEF">
        <w:rPr>
          <w:rFonts w:ascii="Times New Roman" w:hAnsi="Times New Roman"/>
          <w:sz w:val="24"/>
          <w:szCs w:val="24"/>
        </w:rPr>
        <w:t>2,</w:t>
      </w:r>
      <w:r w:rsidR="00D05ECD">
        <w:rPr>
          <w:rFonts w:ascii="Times New Roman" w:hAnsi="Times New Roman"/>
          <w:sz w:val="24"/>
          <w:szCs w:val="24"/>
        </w:rPr>
        <w:t>51mM)</w:t>
      </w:r>
      <w:r w:rsidR="00551257">
        <w:rPr>
          <w:rFonts w:ascii="Times New Roman" w:hAnsi="Times New Roman"/>
          <w:sz w:val="24"/>
          <w:szCs w:val="24"/>
        </w:rPr>
        <w:t xml:space="preserve"> e a Oleuropeína</w:t>
      </w:r>
      <w:r w:rsidR="00D05ECD">
        <w:rPr>
          <w:rFonts w:ascii="Times New Roman" w:hAnsi="Times New Roman"/>
          <w:sz w:val="24"/>
          <w:szCs w:val="24"/>
        </w:rPr>
        <w:t xml:space="preserve"> </w:t>
      </w:r>
      <w:r w:rsidR="00551257">
        <w:rPr>
          <w:rFonts w:ascii="Times New Roman" w:hAnsi="Times New Roman"/>
          <w:sz w:val="24"/>
          <w:szCs w:val="24"/>
        </w:rPr>
        <w:t>(IC</w:t>
      </w:r>
      <w:r w:rsidR="00551257" w:rsidRPr="00551257">
        <w:rPr>
          <w:rFonts w:ascii="Times New Roman" w:hAnsi="Times New Roman"/>
          <w:sz w:val="24"/>
          <w:szCs w:val="24"/>
          <w:vertAlign w:val="subscript"/>
        </w:rPr>
        <w:t>50</w:t>
      </w:r>
      <w:r w:rsidR="00551257">
        <w:rPr>
          <w:rFonts w:ascii="Times New Roman" w:hAnsi="Times New Roman"/>
          <w:sz w:val="24"/>
          <w:szCs w:val="24"/>
        </w:rPr>
        <w:t>=</w:t>
      </w:r>
      <w:r w:rsidR="00D05ECD">
        <w:rPr>
          <w:rFonts w:ascii="Times New Roman" w:hAnsi="Times New Roman"/>
          <w:sz w:val="24"/>
          <w:szCs w:val="24"/>
        </w:rPr>
        <w:t>7,80</w:t>
      </w:r>
      <w:r w:rsidR="00551257">
        <w:rPr>
          <w:rFonts w:ascii="Times New Roman" w:hAnsi="Times New Roman"/>
          <w:sz w:val="24"/>
          <w:szCs w:val="24"/>
        </w:rPr>
        <w:t>mM).</w:t>
      </w:r>
      <w:r w:rsidR="00165FE3">
        <w:rPr>
          <w:rFonts w:ascii="Times New Roman" w:hAnsi="Times New Roman"/>
          <w:sz w:val="24"/>
          <w:szCs w:val="24"/>
        </w:rPr>
        <w:t xml:space="preserve"> </w:t>
      </w:r>
      <w:r w:rsidR="009A1492">
        <w:rPr>
          <w:rFonts w:ascii="Times New Roman" w:hAnsi="Times New Roman"/>
          <w:sz w:val="24"/>
          <w:szCs w:val="24"/>
        </w:rPr>
        <w:t xml:space="preserve">Começam agora a surgir resultados (Ramos </w:t>
      </w:r>
      <w:r w:rsidR="009A1492" w:rsidRPr="00F269DD">
        <w:rPr>
          <w:rFonts w:ascii="Times New Roman" w:hAnsi="Times New Roman"/>
          <w:i/>
          <w:sz w:val="24"/>
          <w:szCs w:val="24"/>
        </w:rPr>
        <w:t>et al</w:t>
      </w:r>
      <w:r w:rsidR="009A1492">
        <w:rPr>
          <w:rFonts w:ascii="Times New Roman" w:hAnsi="Times New Roman"/>
          <w:sz w:val="24"/>
          <w:szCs w:val="24"/>
        </w:rPr>
        <w:t>, resultados não publicados) relativos à actividade antioxidante e demais bioactividades do subproduto BAE, mas permanecem por caracterizar os se</w:t>
      </w:r>
      <w:r w:rsidR="00F269DD">
        <w:rPr>
          <w:rFonts w:ascii="Times New Roman" w:hAnsi="Times New Roman"/>
          <w:sz w:val="24"/>
          <w:szCs w:val="24"/>
        </w:rPr>
        <w:t xml:space="preserve">us extractos aquosos derivados </w:t>
      </w:r>
      <w:r w:rsidR="009A1492">
        <w:rPr>
          <w:rFonts w:ascii="Times New Roman" w:hAnsi="Times New Roman"/>
          <w:sz w:val="24"/>
          <w:szCs w:val="24"/>
        </w:rPr>
        <w:t xml:space="preserve">obtidos com recurso à tecnologia de </w:t>
      </w:r>
      <w:r w:rsidR="009A1492">
        <w:rPr>
          <w:rFonts w:ascii="Times New Roman" w:hAnsi="Times New Roman"/>
          <w:sz w:val="24"/>
          <w:szCs w:val="24"/>
        </w:rPr>
        <w:lastRenderedPageBreak/>
        <w:t>membranas neste trabalho, constituindo estes resultados a primeira abordagem investigacional so</w:t>
      </w:r>
      <w:r w:rsidR="00F269DD">
        <w:rPr>
          <w:rFonts w:ascii="Times New Roman" w:hAnsi="Times New Roman"/>
          <w:sz w:val="24"/>
          <w:szCs w:val="24"/>
        </w:rPr>
        <w:t>bre o potencial biológico dos</w:t>
      </w:r>
      <w:r w:rsidR="009A1492">
        <w:rPr>
          <w:rFonts w:ascii="Times New Roman" w:hAnsi="Times New Roman"/>
          <w:sz w:val="24"/>
          <w:szCs w:val="24"/>
        </w:rPr>
        <w:t xml:space="preserve"> extractos</w:t>
      </w:r>
      <w:r w:rsidR="00F269DD">
        <w:rPr>
          <w:rFonts w:ascii="Times New Roman" w:hAnsi="Times New Roman"/>
          <w:sz w:val="24"/>
          <w:szCs w:val="24"/>
        </w:rPr>
        <w:t xml:space="preserve"> EB, EPC e ERC</w:t>
      </w:r>
      <w:r w:rsidR="009A1492">
        <w:rPr>
          <w:rFonts w:ascii="Times New Roman" w:hAnsi="Times New Roman"/>
          <w:sz w:val="24"/>
          <w:szCs w:val="24"/>
        </w:rPr>
        <w:t>.</w:t>
      </w:r>
    </w:p>
    <w:p w:rsidR="00165FE3" w:rsidRDefault="00165FE3" w:rsidP="006737F5">
      <w:pPr>
        <w:jc w:val="center"/>
        <w:rPr>
          <w:rFonts w:ascii="Times New Roman" w:hAnsi="Times New Roman"/>
          <w:sz w:val="24"/>
          <w:szCs w:val="24"/>
        </w:rPr>
      </w:pPr>
    </w:p>
    <w:p w:rsidR="006737F5" w:rsidRPr="001B1113" w:rsidRDefault="006737F5" w:rsidP="001B1113">
      <w:pPr>
        <w:pStyle w:val="PargrafodaLista"/>
        <w:numPr>
          <w:ilvl w:val="1"/>
          <w:numId w:val="32"/>
        </w:numPr>
        <w:tabs>
          <w:tab w:val="left" w:pos="993"/>
        </w:tabs>
        <w:jc w:val="both"/>
        <w:rPr>
          <w:rFonts w:ascii="Times New Roman" w:hAnsi="Times New Roman"/>
          <w:b/>
          <w:sz w:val="28"/>
        </w:rPr>
      </w:pPr>
      <w:r w:rsidRPr="001B1113">
        <w:rPr>
          <w:rFonts w:ascii="Times New Roman" w:hAnsi="Times New Roman"/>
          <w:b/>
          <w:sz w:val="28"/>
        </w:rPr>
        <w:t>Estudo da capacidade antiproliferativa dos extractos de BAE em células humanas de cancro da mama fenótipo triplo negativo: linha celular MDA-MB-231</w:t>
      </w:r>
    </w:p>
    <w:p w:rsidR="006737F5" w:rsidRDefault="006737F5" w:rsidP="006737F5">
      <w:pPr>
        <w:pStyle w:val="PargrafodaLista"/>
        <w:tabs>
          <w:tab w:val="left" w:pos="993"/>
        </w:tabs>
        <w:ind w:left="0"/>
        <w:rPr>
          <w:rFonts w:ascii="Times New Roman" w:hAnsi="Times New Roman"/>
          <w:sz w:val="24"/>
          <w:szCs w:val="24"/>
        </w:rPr>
      </w:pPr>
    </w:p>
    <w:p w:rsidR="006737F5" w:rsidRDefault="006737F5" w:rsidP="006737F5">
      <w:pPr>
        <w:pStyle w:val="PargrafodaLista"/>
        <w:tabs>
          <w:tab w:val="left" w:pos="993"/>
        </w:tabs>
        <w:ind w:left="0"/>
        <w:rPr>
          <w:rFonts w:ascii="Times New Roman" w:hAnsi="Times New Roman"/>
          <w:sz w:val="24"/>
          <w:szCs w:val="24"/>
        </w:rPr>
      </w:pPr>
    </w:p>
    <w:p w:rsidR="006737F5" w:rsidRDefault="006737F5" w:rsidP="006737F5">
      <w:pPr>
        <w:spacing w:after="0"/>
        <w:jc w:val="both"/>
        <w:rPr>
          <w:rFonts w:ascii="Times New Roman" w:hAnsi="Times New Roman"/>
          <w:sz w:val="24"/>
          <w:szCs w:val="24"/>
        </w:rPr>
      </w:pPr>
      <w:r>
        <w:rPr>
          <w:rFonts w:ascii="Times New Roman" w:hAnsi="Times New Roman"/>
          <w:sz w:val="24"/>
          <w:szCs w:val="24"/>
        </w:rPr>
        <w:tab/>
        <w:t>Foi determinado o efeito dos três extractos de BAE na proliferação celular da</w:t>
      </w:r>
      <w:r w:rsidRPr="00DC1A49">
        <w:rPr>
          <w:sz w:val="23"/>
          <w:szCs w:val="23"/>
        </w:rPr>
        <w:t xml:space="preserve"> </w:t>
      </w:r>
      <w:r w:rsidRPr="00DC1A49">
        <w:rPr>
          <w:rFonts w:ascii="Times New Roman" w:hAnsi="Times New Roman"/>
          <w:sz w:val="24"/>
          <w:szCs w:val="24"/>
        </w:rPr>
        <w:t>linha celular de cancro da mama, fenótipo triplo negativo: MDA-MB-231.</w:t>
      </w:r>
      <w:r>
        <w:rPr>
          <w:rFonts w:ascii="Times New Roman" w:hAnsi="Times New Roman"/>
          <w:sz w:val="24"/>
          <w:szCs w:val="24"/>
        </w:rPr>
        <w:t xml:space="preserve"> As células foram incubadas </w:t>
      </w:r>
      <w:r w:rsidRPr="00DC1A49">
        <w:rPr>
          <w:rFonts w:ascii="Times New Roman" w:hAnsi="Times New Roman"/>
          <w:sz w:val="24"/>
          <w:szCs w:val="24"/>
        </w:rPr>
        <w:t xml:space="preserve">durante 48h com concentrações </w:t>
      </w:r>
      <w:r>
        <w:rPr>
          <w:rFonts w:ascii="Times New Roman" w:hAnsi="Times New Roman"/>
          <w:sz w:val="24"/>
          <w:szCs w:val="24"/>
        </w:rPr>
        <w:t xml:space="preserve">crescentes </w:t>
      </w:r>
      <w:r w:rsidRPr="00DC1A49">
        <w:rPr>
          <w:rFonts w:ascii="Times New Roman" w:hAnsi="Times New Roman"/>
          <w:sz w:val="24"/>
          <w:szCs w:val="24"/>
        </w:rPr>
        <w:t>do</w:t>
      </w:r>
      <w:r>
        <w:rPr>
          <w:rFonts w:ascii="Times New Roman" w:hAnsi="Times New Roman"/>
          <w:sz w:val="24"/>
          <w:szCs w:val="24"/>
        </w:rPr>
        <w:t>s</w:t>
      </w:r>
      <w:r w:rsidRPr="00DC1A49">
        <w:rPr>
          <w:rFonts w:ascii="Times New Roman" w:hAnsi="Times New Roman"/>
          <w:sz w:val="24"/>
          <w:szCs w:val="24"/>
        </w:rPr>
        <w:t xml:space="preserve"> </w:t>
      </w:r>
      <w:r>
        <w:rPr>
          <w:rFonts w:ascii="Times New Roman" w:hAnsi="Times New Roman"/>
          <w:sz w:val="24"/>
          <w:szCs w:val="24"/>
        </w:rPr>
        <w:t xml:space="preserve">três </w:t>
      </w:r>
      <w:r w:rsidRPr="00DC1A49">
        <w:rPr>
          <w:rFonts w:ascii="Times New Roman" w:hAnsi="Times New Roman"/>
          <w:sz w:val="24"/>
          <w:szCs w:val="24"/>
        </w:rPr>
        <w:t>extracto</w:t>
      </w:r>
      <w:r>
        <w:rPr>
          <w:rFonts w:ascii="Times New Roman" w:hAnsi="Times New Roman"/>
          <w:sz w:val="24"/>
          <w:szCs w:val="24"/>
        </w:rPr>
        <w:t>s (100-1500μg/mL)</w:t>
      </w:r>
      <w:r w:rsidR="009315FA">
        <w:rPr>
          <w:rFonts w:ascii="Times New Roman" w:hAnsi="Times New Roman"/>
          <w:sz w:val="24"/>
          <w:szCs w:val="24"/>
        </w:rPr>
        <w:t xml:space="preserve">, tendo-se verificado </w:t>
      </w:r>
      <w:r w:rsidRPr="003B61EA">
        <w:rPr>
          <w:rFonts w:ascii="Times New Roman" w:hAnsi="Times New Roman"/>
          <w:sz w:val="24"/>
          <w:szCs w:val="24"/>
        </w:rPr>
        <w:t>um decréscimo no número de células viáveis</w:t>
      </w:r>
      <w:r>
        <w:rPr>
          <w:rFonts w:ascii="Times New Roman" w:hAnsi="Times New Roman"/>
          <w:sz w:val="24"/>
          <w:szCs w:val="24"/>
        </w:rPr>
        <w:t>, pelo método de MTT</w:t>
      </w:r>
      <w:r w:rsidRPr="003B61EA">
        <w:rPr>
          <w:rFonts w:ascii="Times New Roman" w:hAnsi="Times New Roman"/>
          <w:sz w:val="24"/>
          <w:szCs w:val="24"/>
        </w:rPr>
        <w:t xml:space="preserve">. </w:t>
      </w:r>
      <w:r>
        <w:rPr>
          <w:rFonts w:ascii="Times New Roman" w:hAnsi="Times New Roman"/>
          <w:sz w:val="24"/>
          <w:szCs w:val="24"/>
        </w:rPr>
        <w:t xml:space="preserve">Este é um método </w:t>
      </w:r>
      <w:r w:rsidR="009315FA">
        <w:rPr>
          <w:rFonts w:ascii="Times New Roman" w:hAnsi="Times New Roman"/>
          <w:sz w:val="24"/>
          <w:szCs w:val="24"/>
        </w:rPr>
        <w:t>bastante</w:t>
      </w:r>
      <w:r>
        <w:rPr>
          <w:rFonts w:ascii="Times New Roman" w:hAnsi="Times New Roman"/>
          <w:sz w:val="24"/>
          <w:szCs w:val="24"/>
        </w:rPr>
        <w:t xml:space="preserve"> sensível </w:t>
      </w:r>
      <w:r w:rsidR="009315FA">
        <w:rPr>
          <w:rFonts w:ascii="Times New Roman" w:hAnsi="Times New Roman"/>
          <w:sz w:val="24"/>
          <w:szCs w:val="24"/>
        </w:rPr>
        <w:t>que permite avaliar a</w:t>
      </w:r>
      <w:r>
        <w:rPr>
          <w:rFonts w:ascii="Times New Roman" w:hAnsi="Times New Roman"/>
          <w:sz w:val="24"/>
          <w:szCs w:val="24"/>
        </w:rPr>
        <w:t xml:space="preserve"> prolife</w:t>
      </w:r>
      <w:r w:rsidR="009315FA">
        <w:rPr>
          <w:rFonts w:ascii="Times New Roman" w:hAnsi="Times New Roman"/>
          <w:sz w:val="24"/>
          <w:szCs w:val="24"/>
        </w:rPr>
        <w:t xml:space="preserve">ração celular e citotoxicidade, uma vez que o reagente </w:t>
      </w:r>
      <w:r w:rsidRPr="006713C4">
        <w:rPr>
          <w:rFonts w:ascii="Times New Roman" w:hAnsi="Times New Roman"/>
          <w:sz w:val="24"/>
          <w:szCs w:val="24"/>
        </w:rPr>
        <w:t>MTT é acumulado pelas células por endocitose</w:t>
      </w:r>
      <w:r w:rsidR="009315FA">
        <w:rPr>
          <w:rFonts w:ascii="Times New Roman" w:hAnsi="Times New Roman"/>
          <w:sz w:val="24"/>
          <w:szCs w:val="24"/>
        </w:rPr>
        <w:t>,</w:t>
      </w:r>
      <w:r w:rsidRPr="006713C4">
        <w:rPr>
          <w:rFonts w:ascii="Times New Roman" w:hAnsi="Times New Roman"/>
          <w:sz w:val="24"/>
          <w:szCs w:val="24"/>
        </w:rPr>
        <w:t xml:space="preserve"> e a redução do anel tetrazólico deste sal </w:t>
      </w:r>
      <w:r>
        <w:rPr>
          <w:rFonts w:ascii="Times New Roman" w:hAnsi="Times New Roman"/>
          <w:sz w:val="24"/>
          <w:szCs w:val="24"/>
        </w:rPr>
        <w:t>pela acção das enzima</w:t>
      </w:r>
      <w:r w:rsidR="009315FA">
        <w:rPr>
          <w:rFonts w:ascii="Times New Roman" w:hAnsi="Times New Roman"/>
          <w:sz w:val="24"/>
          <w:szCs w:val="24"/>
        </w:rPr>
        <w:t>s intracelulares desidrogenases</w:t>
      </w:r>
      <w:r>
        <w:rPr>
          <w:rFonts w:ascii="Times New Roman" w:hAnsi="Times New Roman"/>
          <w:sz w:val="24"/>
          <w:szCs w:val="24"/>
        </w:rPr>
        <w:t xml:space="preserve"> </w:t>
      </w:r>
      <w:r w:rsidRPr="006713C4">
        <w:rPr>
          <w:rFonts w:ascii="Times New Roman" w:hAnsi="Times New Roman"/>
          <w:sz w:val="24"/>
          <w:szCs w:val="24"/>
        </w:rPr>
        <w:t>res</w:t>
      </w:r>
      <w:r>
        <w:rPr>
          <w:rFonts w:ascii="Times New Roman" w:hAnsi="Times New Roman"/>
          <w:sz w:val="24"/>
          <w:szCs w:val="24"/>
        </w:rPr>
        <w:t>ulta na formação de cristais de</w:t>
      </w:r>
      <w:r w:rsidRPr="006713C4">
        <w:rPr>
          <w:rFonts w:ascii="Times New Roman" w:hAnsi="Times New Roman"/>
          <w:sz w:val="24"/>
          <w:szCs w:val="24"/>
        </w:rPr>
        <w:t xml:space="preserve"> formazan</w:t>
      </w:r>
      <w:r>
        <w:rPr>
          <w:rFonts w:ascii="Times New Roman" w:hAnsi="Times New Roman"/>
          <w:sz w:val="24"/>
          <w:szCs w:val="24"/>
        </w:rPr>
        <w:t>o</w:t>
      </w:r>
      <w:r w:rsidRPr="006713C4">
        <w:rPr>
          <w:rFonts w:ascii="Times New Roman" w:hAnsi="Times New Roman"/>
          <w:sz w:val="24"/>
          <w:szCs w:val="24"/>
        </w:rPr>
        <w:t xml:space="preserve"> de cor </w:t>
      </w:r>
      <w:r>
        <w:rPr>
          <w:rFonts w:ascii="Times New Roman" w:hAnsi="Times New Roman"/>
          <w:sz w:val="24"/>
          <w:szCs w:val="24"/>
        </w:rPr>
        <w:t xml:space="preserve">rouxa, </w:t>
      </w:r>
      <w:r w:rsidRPr="006713C4">
        <w:rPr>
          <w:rFonts w:ascii="Times New Roman" w:hAnsi="Times New Roman"/>
          <w:sz w:val="24"/>
          <w:szCs w:val="24"/>
        </w:rPr>
        <w:t>que se acumulam em</w:t>
      </w:r>
      <w:r>
        <w:rPr>
          <w:rFonts w:ascii="Times New Roman" w:hAnsi="Times New Roman"/>
          <w:sz w:val="24"/>
          <w:szCs w:val="24"/>
        </w:rPr>
        <w:t xml:space="preserve"> </w:t>
      </w:r>
      <w:r w:rsidRPr="006713C4">
        <w:rPr>
          <w:rFonts w:ascii="Times New Roman" w:hAnsi="Times New Roman"/>
          <w:sz w:val="24"/>
          <w:szCs w:val="24"/>
        </w:rPr>
        <w:t>compartimentos endossomais e/ou lisossomais, sendo depois transportados para fora das células por exocitose. Sendo a endocitose um mecanismo fundamental das cél</w:t>
      </w:r>
      <w:r>
        <w:rPr>
          <w:rFonts w:ascii="Times New Roman" w:hAnsi="Times New Roman"/>
          <w:sz w:val="24"/>
          <w:szCs w:val="24"/>
        </w:rPr>
        <w:t>ulas metabolicamente activas</w:t>
      </w:r>
      <w:r w:rsidRPr="006713C4">
        <w:rPr>
          <w:rFonts w:ascii="Times New Roman" w:hAnsi="Times New Roman"/>
          <w:sz w:val="24"/>
          <w:szCs w:val="24"/>
        </w:rPr>
        <w:t>, o ensaio do MTT tem sido usado frequentemente como ensaio de viabilidade celula</w:t>
      </w:r>
      <w:r>
        <w:rPr>
          <w:rFonts w:ascii="Times New Roman" w:hAnsi="Times New Roman"/>
          <w:sz w:val="24"/>
          <w:szCs w:val="24"/>
        </w:rPr>
        <w:t xml:space="preserve">r </w:t>
      </w:r>
      <w:r w:rsidRPr="006713C4">
        <w:rPr>
          <w:rFonts w:ascii="Times New Roman" w:hAnsi="Times New Roman"/>
          <w:sz w:val="24"/>
          <w:szCs w:val="24"/>
        </w:rPr>
        <w:t>(Mosman, 1983)</w:t>
      </w:r>
      <w:r>
        <w:rPr>
          <w:rFonts w:ascii="Times New Roman" w:hAnsi="Times New Roman"/>
          <w:sz w:val="24"/>
          <w:szCs w:val="24"/>
        </w:rPr>
        <w:t>. Após as três horas de i</w:t>
      </w:r>
      <w:r w:rsidR="00A34F9C">
        <w:rPr>
          <w:rFonts w:ascii="Times New Roman" w:hAnsi="Times New Roman"/>
          <w:sz w:val="24"/>
          <w:szCs w:val="24"/>
        </w:rPr>
        <w:t>ncubação em MTT, os cristais ro</w:t>
      </w:r>
      <w:r>
        <w:rPr>
          <w:rFonts w:ascii="Times New Roman" w:hAnsi="Times New Roman"/>
          <w:sz w:val="24"/>
          <w:szCs w:val="24"/>
        </w:rPr>
        <w:t xml:space="preserve">xos de MTT formados na monocamada de células foram dissolvidos numa solução </w:t>
      </w:r>
      <w:r w:rsidR="00A34F9C">
        <w:rPr>
          <w:rFonts w:ascii="Times New Roman" w:hAnsi="Times New Roman"/>
          <w:sz w:val="24"/>
          <w:szCs w:val="24"/>
        </w:rPr>
        <w:t>de</w:t>
      </w:r>
      <w:r>
        <w:rPr>
          <w:rFonts w:ascii="Times New Roman" w:hAnsi="Times New Roman"/>
          <w:sz w:val="24"/>
          <w:szCs w:val="24"/>
        </w:rPr>
        <w:t xml:space="preserve"> DMSO</w:t>
      </w:r>
      <w:r w:rsidR="00A34F9C">
        <w:rPr>
          <w:rFonts w:ascii="Times New Roman" w:hAnsi="Times New Roman"/>
          <w:sz w:val="24"/>
          <w:szCs w:val="24"/>
        </w:rPr>
        <w:t>:</w:t>
      </w:r>
      <w:r>
        <w:rPr>
          <w:rFonts w:ascii="Times New Roman" w:hAnsi="Times New Roman"/>
          <w:sz w:val="24"/>
          <w:szCs w:val="24"/>
        </w:rPr>
        <w:t xml:space="preserve">Etanol. Esta mistura foi </w:t>
      </w:r>
      <w:r w:rsidR="00A34F9C">
        <w:rPr>
          <w:rFonts w:ascii="Times New Roman" w:hAnsi="Times New Roman"/>
          <w:sz w:val="24"/>
          <w:szCs w:val="24"/>
        </w:rPr>
        <w:t xml:space="preserve">posteriormente </w:t>
      </w:r>
      <w:r>
        <w:rPr>
          <w:rFonts w:ascii="Times New Roman" w:hAnsi="Times New Roman"/>
          <w:sz w:val="24"/>
          <w:szCs w:val="24"/>
        </w:rPr>
        <w:t xml:space="preserve">lida a uma </w:t>
      </w:r>
      <w:r w:rsidR="00A34F9C">
        <w:rPr>
          <w:rFonts w:ascii="Times New Roman" w:hAnsi="Times New Roman"/>
          <w:sz w:val="24"/>
          <w:szCs w:val="24"/>
        </w:rPr>
        <w:t>absorvância de 570nm, e a partir destes valores determinou-se</w:t>
      </w:r>
      <w:r>
        <w:rPr>
          <w:rFonts w:ascii="Times New Roman" w:hAnsi="Times New Roman"/>
          <w:sz w:val="24"/>
          <w:szCs w:val="24"/>
        </w:rPr>
        <w:t xml:space="preserve"> </w:t>
      </w:r>
      <w:r w:rsidR="00A34F9C">
        <w:rPr>
          <w:rFonts w:ascii="Times New Roman" w:hAnsi="Times New Roman"/>
          <w:sz w:val="24"/>
          <w:szCs w:val="24"/>
        </w:rPr>
        <w:t>a</w:t>
      </w:r>
      <w:r>
        <w:rPr>
          <w:rFonts w:ascii="Times New Roman" w:hAnsi="Times New Roman"/>
          <w:sz w:val="24"/>
          <w:szCs w:val="24"/>
        </w:rPr>
        <w:t xml:space="preserve"> viabilidade celular.</w:t>
      </w:r>
    </w:p>
    <w:p w:rsidR="006737F5" w:rsidRDefault="006737F5" w:rsidP="006737F5">
      <w:pPr>
        <w:pStyle w:val="PargrafodaLista"/>
        <w:tabs>
          <w:tab w:val="left" w:pos="993"/>
        </w:tabs>
        <w:ind w:left="1364"/>
        <w:jc w:val="center"/>
        <w:rPr>
          <w:rFonts w:ascii="Times New Roman" w:hAnsi="Times New Roman"/>
          <w:sz w:val="24"/>
          <w:szCs w:val="24"/>
        </w:rPr>
      </w:pPr>
      <w:r w:rsidRPr="004A4FAC">
        <w:rPr>
          <w:rFonts w:ascii="Times New Roman" w:hAnsi="Times New Roman"/>
          <w:noProof/>
          <w:sz w:val="24"/>
          <w:szCs w:val="24"/>
          <w:lang w:eastAsia="pt-PT"/>
        </w:rPr>
        <w:drawing>
          <wp:anchor distT="0" distB="0" distL="114300" distR="114300" simplePos="0" relativeHeight="251778048" behindDoc="1" locked="0" layoutInCell="1" allowOverlap="1">
            <wp:simplePos x="0" y="0"/>
            <wp:positionH relativeFrom="column">
              <wp:posOffset>234315</wp:posOffset>
            </wp:positionH>
            <wp:positionV relativeFrom="paragraph">
              <wp:posOffset>33020</wp:posOffset>
            </wp:positionV>
            <wp:extent cx="5295900" cy="3114675"/>
            <wp:effectExtent l="0" t="0" r="0" b="0"/>
            <wp:wrapTight wrapText="bothSides">
              <wp:wrapPolygon edited="0">
                <wp:start x="1321" y="2774"/>
                <wp:lineTo x="1243" y="4360"/>
                <wp:lineTo x="3652" y="4888"/>
                <wp:lineTo x="544" y="5152"/>
                <wp:lineTo x="544" y="13739"/>
                <wp:lineTo x="2486" y="15457"/>
                <wp:lineTo x="2875" y="15457"/>
                <wp:lineTo x="1865" y="16117"/>
                <wp:lineTo x="1865" y="16778"/>
                <wp:lineTo x="2797" y="17571"/>
                <wp:lineTo x="1942" y="19024"/>
                <wp:lineTo x="2098" y="19288"/>
                <wp:lineTo x="10800" y="19684"/>
                <wp:lineTo x="8391" y="19684"/>
                <wp:lineTo x="8391" y="20477"/>
                <wp:lineTo x="11655" y="20609"/>
                <wp:lineTo x="12820" y="20609"/>
                <wp:lineTo x="12976" y="19817"/>
                <wp:lineTo x="13675" y="19684"/>
                <wp:lineTo x="18259" y="18363"/>
                <wp:lineTo x="18337" y="17571"/>
                <wp:lineTo x="18647" y="15985"/>
                <wp:lineTo x="18881" y="13607"/>
                <wp:lineTo x="18414" y="13343"/>
                <wp:lineTo x="15540" y="13211"/>
                <wp:lineTo x="13286" y="12286"/>
                <wp:lineTo x="10878" y="11229"/>
                <wp:lineTo x="11344" y="11097"/>
                <wp:lineTo x="10955" y="10305"/>
                <wp:lineTo x="9091" y="9116"/>
                <wp:lineTo x="18647" y="7927"/>
                <wp:lineTo x="18647" y="7134"/>
                <wp:lineTo x="8081" y="7002"/>
                <wp:lineTo x="10722" y="4888"/>
                <wp:lineTo x="2331" y="2774"/>
                <wp:lineTo x="1321" y="2774"/>
              </wp:wrapPolygon>
            </wp:wrapTight>
            <wp:docPr id="34"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Pr="00620BA8" w:rsidRDefault="006737F5" w:rsidP="006737F5"/>
    <w:p w:rsidR="006737F5" w:rsidRPr="00620BA8" w:rsidRDefault="006737F5" w:rsidP="006737F5"/>
    <w:p w:rsidR="006737F5" w:rsidRPr="00620BA8" w:rsidRDefault="006737F5" w:rsidP="006737F5"/>
    <w:p w:rsidR="006737F5" w:rsidRPr="00620BA8" w:rsidRDefault="006737F5" w:rsidP="006737F5"/>
    <w:p w:rsidR="006737F5" w:rsidRPr="00620BA8" w:rsidRDefault="006737F5" w:rsidP="006737F5"/>
    <w:p w:rsidR="006737F5" w:rsidRPr="00620BA8" w:rsidRDefault="006737F5" w:rsidP="006737F5"/>
    <w:p w:rsidR="006737F5" w:rsidRPr="00620BA8" w:rsidRDefault="007B02FE" w:rsidP="006737F5">
      <w:pPr>
        <w:tabs>
          <w:tab w:val="left" w:pos="2670"/>
        </w:tabs>
      </w:pPr>
      <w:r w:rsidRPr="007B02FE">
        <w:rPr>
          <w:rFonts w:asciiTheme="minorHAnsi" w:hAnsiTheme="minorHAnsi"/>
          <w:noProof/>
        </w:rPr>
        <w:pict>
          <v:shape id="_x0000_s1126" type="#_x0000_t202" style="position:absolute;margin-left:18.45pt;margin-top:26.2pt;width:417pt;height:68.65pt;z-index:251780096" wrapcoords="-39 0 -39 20965 21600 20965 21600 0 -39 0" stroked="f">
            <v:textbox style="mso-next-textbox:#_x0000_s1126" inset="0,0,0,0">
              <w:txbxContent>
                <w:p w:rsidR="00B766F9" w:rsidRPr="00FE15B4" w:rsidRDefault="00B766F9" w:rsidP="008E7E00">
                  <w:pPr>
                    <w:autoSpaceDE w:val="0"/>
                    <w:autoSpaceDN w:val="0"/>
                    <w:adjustRightInd w:val="0"/>
                    <w:spacing w:after="0" w:line="240" w:lineRule="auto"/>
                    <w:jc w:val="both"/>
                    <w:rPr>
                      <w:rFonts w:ascii="Times New Roman" w:hAnsi="Times New Roman"/>
                      <w:color w:val="000000"/>
                      <w:sz w:val="20"/>
                      <w:szCs w:val="20"/>
                    </w:rPr>
                  </w:pPr>
                  <w:r w:rsidRPr="008E7E00">
                    <w:rPr>
                      <w:rFonts w:ascii="Times New Roman" w:hAnsi="Times New Roman"/>
                      <w:b/>
                      <w:color w:val="4F81BD" w:themeColor="accent1"/>
                      <w:sz w:val="20"/>
                    </w:rPr>
                    <w:t>Figura 23 -</w:t>
                  </w:r>
                  <w:r w:rsidRPr="00620BA8">
                    <w:rPr>
                      <w:sz w:val="20"/>
                    </w:rPr>
                    <w:t xml:space="preserve"> </w:t>
                  </w:r>
                  <w:r w:rsidRPr="008E7E00">
                    <w:rPr>
                      <w:rFonts w:ascii="Times New Roman" w:hAnsi="Times New Roman"/>
                      <w:color w:val="000000"/>
                      <w:sz w:val="20"/>
                      <w:szCs w:val="20"/>
                    </w:rPr>
                    <w:t>Efeito da concentração do padrã</w:t>
                  </w:r>
                  <w:r>
                    <w:rPr>
                      <w:rFonts w:ascii="Times New Roman" w:hAnsi="Times New Roman"/>
                      <w:color w:val="000000"/>
                      <w:sz w:val="20"/>
                      <w:szCs w:val="20"/>
                    </w:rPr>
                    <w:t xml:space="preserve">o de referência Hidroxitirosol </w:t>
                  </w:r>
                  <w:r w:rsidRPr="008E7E00">
                    <w:rPr>
                      <w:rFonts w:ascii="Times New Roman" w:hAnsi="Times New Roman"/>
                      <w:color w:val="000000"/>
                      <w:sz w:val="20"/>
                      <w:szCs w:val="20"/>
                    </w:rPr>
                    <w:t xml:space="preserve">no crescimento </w:t>
                  </w:r>
                  <w:r>
                    <w:rPr>
                      <w:rFonts w:ascii="Times New Roman" w:hAnsi="Times New Roman"/>
                      <w:color w:val="000000"/>
                      <w:sz w:val="20"/>
                      <w:szCs w:val="20"/>
                    </w:rPr>
                    <w:t xml:space="preserve">da linha </w:t>
                  </w:r>
                  <w:r w:rsidRPr="008E7E00">
                    <w:rPr>
                      <w:rFonts w:ascii="Times New Roman" w:hAnsi="Times New Roman"/>
                      <w:color w:val="000000"/>
                      <w:sz w:val="20"/>
                      <w:szCs w:val="20"/>
                    </w:rPr>
                    <w:t>celular MDA-MB-231. As células foram incubadas durante 48h, com concentrações crescentes de Hidroxitirosol (6 – 6487μM). Como controlo foram utilizadas células MDA-MB-231 sem tratamento com o composto fenólico referido.</w:t>
                  </w:r>
                  <w:r>
                    <w:rPr>
                      <w:rFonts w:ascii="Times New Roman" w:hAnsi="Times New Roman"/>
                      <w:b/>
                      <w:color w:val="000000"/>
                      <w:sz w:val="20"/>
                      <w:szCs w:val="20"/>
                    </w:rPr>
                    <w:t xml:space="preserve"> </w:t>
                  </w:r>
                  <w:r w:rsidRPr="00FE15B4">
                    <w:rPr>
                      <w:rFonts w:ascii="Times New Roman" w:hAnsi="Times New Roman"/>
                      <w:color w:val="000000"/>
                      <w:sz w:val="20"/>
                      <w:szCs w:val="20"/>
                    </w:rPr>
                    <w:t xml:space="preserve">Os valores vêm afectados dos erros padrões médios, obtidos pelos triplicados efectuados, independentemente, para cada uma das concentrações testadas. </w:t>
                  </w:r>
                </w:p>
                <w:p w:rsidR="00B766F9" w:rsidRPr="00620BA8" w:rsidRDefault="00B766F9" w:rsidP="006737F5">
                  <w:pPr>
                    <w:pStyle w:val="Legenda"/>
                    <w:jc w:val="both"/>
                    <w:rPr>
                      <w:rFonts w:ascii="Times New Roman" w:hAnsi="Times New Roman"/>
                      <w:b w:val="0"/>
                      <w:sz w:val="24"/>
                      <w:szCs w:val="24"/>
                    </w:rPr>
                  </w:pPr>
                </w:p>
              </w:txbxContent>
            </v:textbox>
            <w10:wrap type="tight"/>
          </v:shape>
        </w:pict>
      </w:r>
    </w:p>
    <w:p w:rsidR="006737F5" w:rsidRPr="00620BA8" w:rsidRDefault="006737F5" w:rsidP="006737F5">
      <w:r w:rsidRPr="004A4FAC">
        <w:rPr>
          <w:rFonts w:ascii="Times New Roman" w:hAnsi="Times New Roman"/>
          <w:noProof/>
          <w:sz w:val="24"/>
          <w:szCs w:val="24"/>
          <w:lang w:eastAsia="pt-PT"/>
        </w:rPr>
        <w:lastRenderedPageBreak/>
        <w:drawing>
          <wp:anchor distT="0" distB="0" distL="114300" distR="114300" simplePos="0" relativeHeight="251781120" behindDoc="1" locked="0" layoutInCell="1" allowOverlap="1">
            <wp:simplePos x="0" y="0"/>
            <wp:positionH relativeFrom="column">
              <wp:posOffset>158115</wp:posOffset>
            </wp:positionH>
            <wp:positionV relativeFrom="paragraph">
              <wp:posOffset>158115</wp:posOffset>
            </wp:positionV>
            <wp:extent cx="5457825" cy="2743200"/>
            <wp:effectExtent l="0" t="0" r="0" b="0"/>
            <wp:wrapTight wrapText="bothSides">
              <wp:wrapPolygon edited="0">
                <wp:start x="1508" y="1800"/>
                <wp:lineTo x="1508" y="4200"/>
                <wp:lineTo x="980" y="5100"/>
                <wp:lineTo x="829" y="14250"/>
                <wp:lineTo x="2790" y="16200"/>
                <wp:lineTo x="2036" y="16650"/>
                <wp:lineTo x="2036" y="17250"/>
                <wp:lineTo x="2790" y="18450"/>
                <wp:lineTo x="17265" y="18450"/>
                <wp:lineTo x="20507" y="18450"/>
                <wp:lineTo x="20356" y="16350"/>
                <wp:lineTo x="14023" y="16200"/>
                <wp:lineTo x="9273" y="13800"/>
                <wp:lineTo x="9349" y="13200"/>
                <wp:lineTo x="9123" y="12150"/>
                <wp:lineTo x="8746" y="11400"/>
                <wp:lineTo x="17943" y="10500"/>
                <wp:lineTo x="17943" y="9600"/>
                <wp:lineTo x="7313" y="8550"/>
                <wp:lineTo x="6861" y="8100"/>
                <wp:lineTo x="4373" y="6600"/>
                <wp:lineTo x="4524" y="5100"/>
                <wp:lineTo x="4071" y="4500"/>
                <wp:lineTo x="2488" y="4200"/>
                <wp:lineTo x="2488" y="1800"/>
                <wp:lineTo x="1508" y="1800"/>
              </wp:wrapPolygon>
            </wp:wrapTight>
            <wp:docPr id="35"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Pr="002A49F0" w:rsidRDefault="006737F5" w:rsidP="006737F5">
      <w:pPr>
        <w:tabs>
          <w:tab w:val="left" w:pos="993"/>
        </w:tabs>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7B02FE" w:rsidP="006737F5">
      <w:pPr>
        <w:pStyle w:val="PargrafodaLista"/>
        <w:tabs>
          <w:tab w:val="left" w:pos="993"/>
        </w:tabs>
        <w:ind w:left="1364"/>
        <w:jc w:val="both"/>
        <w:rPr>
          <w:rFonts w:ascii="Times New Roman" w:hAnsi="Times New Roman"/>
          <w:sz w:val="24"/>
          <w:szCs w:val="24"/>
        </w:rPr>
      </w:pPr>
      <w:r>
        <w:rPr>
          <w:rFonts w:ascii="Times New Roman" w:hAnsi="Times New Roman"/>
          <w:noProof/>
          <w:sz w:val="24"/>
          <w:szCs w:val="24"/>
          <w:lang w:eastAsia="pt-PT"/>
        </w:rPr>
        <w:pict>
          <v:shape id="_x0000_s1127" type="#_x0000_t32" style="position:absolute;left:0;text-align:left;margin-left:111.4pt;margin-top:.3pt;width:246.65pt;height:0;z-index:251782144" o:connectortype="straight" wrapcoords="1 1 322 1 322 1 1 1 1 1" strokecolor="#a5a5a5 [2092]">
            <w10:wrap type="tight"/>
          </v:shape>
        </w:pict>
      </w:r>
      <w:r>
        <w:rPr>
          <w:rFonts w:ascii="Times New Roman" w:hAnsi="Times New Roman"/>
          <w:noProof/>
          <w:sz w:val="24"/>
          <w:szCs w:val="24"/>
          <w:lang w:eastAsia="pt-PT"/>
        </w:rPr>
        <w:pict>
          <v:shape id="_x0000_s1107" type="#_x0000_t202" style="position:absolute;left:0;text-align:left;margin-left:103pt;margin-top:.3pt;width:429pt;height:21.75pt;z-index:251756544" stroked="f">
            <v:textbox style="mso-next-textbox:#_x0000_s1107">
              <w:txbxContent>
                <w:p w:rsidR="00B766F9" w:rsidRPr="009C6119" w:rsidRDefault="00B766F9" w:rsidP="006737F5">
                  <w:pPr>
                    <w:rPr>
                      <w:sz w:val="18"/>
                    </w:rPr>
                  </w:pPr>
                  <w:r w:rsidRPr="009C6119">
                    <w:rPr>
                      <w:sz w:val="18"/>
                    </w:rPr>
                    <w:t xml:space="preserve">100 </w:t>
                  </w:r>
                  <w:r>
                    <w:rPr>
                      <w:sz w:val="18"/>
                    </w:rPr>
                    <w:t xml:space="preserve">         </w:t>
                  </w:r>
                  <w:r w:rsidRPr="009C6119">
                    <w:rPr>
                      <w:sz w:val="18"/>
                    </w:rPr>
                    <w:t xml:space="preserve">500 </w:t>
                  </w:r>
                  <w:r>
                    <w:rPr>
                      <w:sz w:val="18"/>
                    </w:rPr>
                    <w:t xml:space="preserve">        </w:t>
                  </w:r>
                  <w:r w:rsidRPr="009C6119">
                    <w:rPr>
                      <w:sz w:val="18"/>
                    </w:rPr>
                    <w:t xml:space="preserve">1500 </w:t>
                  </w:r>
                  <w:r>
                    <w:rPr>
                      <w:sz w:val="18"/>
                    </w:rPr>
                    <w:t xml:space="preserve">      </w:t>
                  </w:r>
                  <w:r w:rsidRPr="009C6119">
                    <w:rPr>
                      <w:sz w:val="18"/>
                    </w:rPr>
                    <w:t xml:space="preserve">3000 </w:t>
                  </w:r>
                  <w:r>
                    <w:rPr>
                      <w:sz w:val="18"/>
                    </w:rPr>
                    <w:t xml:space="preserve">      </w:t>
                  </w:r>
                  <w:r w:rsidRPr="009C6119">
                    <w:rPr>
                      <w:sz w:val="18"/>
                    </w:rPr>
                    <w:t xml:space="preserve">6000 </w:t>
                  </w:r>
                  <w:r>
                    <w:rPr>
                      <w:sz w:val="18"/>
                    </w:rPr>
                    <w:t xml:space="preserve">       </w:t>
                  </w:r>
                  <w:r w:rsidRPr="009C6119">
                    <w:rPr>
                      <w:sz w:val="18"/>
                    </w:rPr>
                    <w:t xml:space="preserve">9000 </w:t>
                  </w:r>
                  <w:r>
                    <w:rPr>
                      <w:sz w:val="18"/>
                    </w:rPr>
                    <w:t xml:space="preserve">    </w:t>
                  </w:r>
                  <w:r w:rsidRPr="009C6119">
                    <w:rPr>
                      <w:sz w:val="18"/>
                    </w:rPr>
                    <w:t xml:space="preserve">12000 </w:t>
                  </w:r>
                  <w:r>
                    <w:rPr>
                      <w:sz w:val="18"/>
                    </w:rPr>
                    <w:t xml:space="preserve">   </w:t>
                  </w:r>
                  <w:r w:rsidRPr="009C6119">
                    <w:rPr>
                      <w:sz w:val="18"/>
                    </w:rPr>
                    <w:t xml:space="preserve">15000   </w:t>
                  </w:r>
                  <w:r>
                    <w:rPr>
                      <w:sz w:val="18"/>
                    </w:rPr>
                    <w:t xml:space="preserve">    </w:t>
                  </w:r>
                  <w:r w:rsidRPr="009C6119">
                    <w:rPr>
                      <w:b/>
                      <w:sz w:val="18"/>
                    </w:rPr>
                    <w:t>EB(µg/mL)</w:t>
                  </w:r>
                </w:p>
              </w:txbxContent>
            </v:textbox>
          </v:shape>
        </w:pict>
      </w:r>
    </w:p>
    <w:p w:rsidR="006737F5" w:rsidRPr="00D05ECD" w:rsidRDefault="007B02FE" w:rsidP="00D05ECD">
      <w:pPr>
        <w:pStyle w:val="PargrafodaLista"/>
        <w:tabs>
          <w:tab w:val="left" w:pos="993"/>
        </w:tabs>
        <w:ind w:left="1364"/>
        <w:jc w:val="both"/>
        <w:rPr>
          <w:rFonts w:ascii="Times New Roman" w:hAnsi="Times New Roman"/>
          <w:sz w:val="24"/>
          <w:szCs w:val="24"/>
        </w:rPr>
      </w:pPr>
      <w:r w:rsidRPr="007B02FE">
        <w:rPr>
          <w:rFonts w:asciiTheme="minorHAnsi" w:hAnsiTheme="minorHAnsi"/>
          <w:noProof/>
        </w:rPr>
        <w:pict>
          <v:shape id="_x0000_s1111" type="#_x0000_t202" style="position:absolute;left:0;text-align:left;margin-left:7.95pt;margin-top:26.45pt;width:444.75pt;height:79pt;z-index:251760640" wrapcoords="-36 0 -36 20965 21600 20965 21600 0 -36 0" stroked="f">
            <v:textbox style="mso-next-textbox:#_x0000_s1111" inset="0,0,0,0">
              <w:txbxContent>
                <w:p w:rsidR="00B766F9" w:rsidRPr="00FE15B4" w:rsidRDefault="00B766F9" w:rsidP="006737F5">
                  <w:pPr>
                    <w:autoSpaceDE w:val="0"/>
                    <w:autoSpaceDN w:val="0"/>
                    <w:adjustRightInd w:val="0"/>
                    <w:spacing w:after="0" w:line="240" w:lineRule="auto"/>
                    <w:jc w:val="both"/>
                    <w:rPr>
                      <w:rFonts w:ascii="Times New Roman" w:hAnsi="Times New Roman"/>
                      <w:color w:val="000000"/>
                      <w:sz w:val="20"/>
                      <w:szCs w:val="20"/>
                    </w:rPr>
                  </w:pPr>
                  <w:r w:rsidRPr="00FE15B4">
                    <w:rPr>
                      <w:rFonts w:ascii="Times New Roman" w:hAnsi="Times New Roman"/>
                      <w:b/>
                      <w:color w:val="4F81BD" w:themeColor="accent1"/>
                      <w:sz w:val="20"/>
                      <w:szCs w:val="20"/>
                    </w:rPr>
                    <w:t xml:space="preserve">Figura </w:t>
                  </w:r>
                  <w:r>
                    <w:rPr>
                      <w:rFonts w:ascii="Times New Roman" w:hAnsi="Times New Roman"/>
                      <w:b/>
                      <w:color w:val="4F81BD" w:themeColor="accent1"/>
                      <w:sz w:val="20"/>
                      <w:szCs w:val="20"/>
                    </w:rPr>
                    <w:t>2</w:t>
                  </w:r>
                  <w:r w:rsidRPr="00FE15B4">
                    <w:rPr>
                      <w:rFonts w:ascii="Times New Roman" w:hAnsi="Times New Roman"/>
                      <w:b/>
                      <w:color w:val="4F81BD" w:themeColor="accent1"/>
                      <w:sz w:val="20"/>
                      <w:szCs w:val="20"/>
                    </w:rPr>
                    <w:fldChar w:fldCharType="begin"/>
                  </w:r>
                  <w:r w:rsidRPr="00FE15B4">
                    <w:rPr>
                      <w:rFonts w:ascii="Times New Roman" w:hAnsi="Times New Roman"/>
                      <w:b/>
                      <w:color w:val="4F81BD" w:themeColor="accent1"/>
                      <w:sz w:val="20"/>
                      <w:szCs w:val="20"/>
                    </w:rPr>
                    <w:instrText xml:space="preserve"> SEQ Figura \* ARABIC </w:instrText>
                  </w:r>
                  <w:r w:rsidRPr="00FE15B4">
                    <w:rPr>
                      <w:rFonts w:ascii="Times New Roman" w:hAnsi="Times New Roman"/>
                      <w:b/>
                      <w:color w:val="4F81BD" w:themeColor="accent1"/>
                      <w:sz w:val="20"/>
                      <w:szCs w:val="20"/>
                    </w:rPr>
                    <w:fldChar w:fldCharType="separate"/>
                  </w:r>
                  <w:r>
                    <w:rPr>
                      <w:rFonts w:ascii="Times New Roman" w:hAnsi="Times New Roman"/>
                      <w:b/>
                      <w:noProof/>
                      <w:color w:val="4F81BD" w:themeColor="accent1"/>
                      <w:sz w:val="20"/>
                      <w:szCs w:val="20"/>
                    </w:rPr>
                    <w:t>4</w:t>
                  </w:r>
                  <w:r w:rsidRPr="00FE15B4">
                    <w:rPr>
                      <w:rFonts w:ascii="Times New Roman" w:hAnsi="Times New Roman"/>
                      <w:b/>
                      <w:color w:val="4F81BD" w:themeColor="accent1"/>
                      <w:sz w:val="20"/>
                      <w:szCs w:val="20"/>
                    </w:rPr>
                    <w:fldChar w:fldCharType="end"/>
                  </w:r>
                  <w:r>
                    <w:rPr>
                      <w:rFonts w:ascii="Times New Roman" w:hAnsi="Times New Roman"/>
                      <w:b/>
                      <w:color w:val="4F81BD" w:themeColor="accent1"/>
                      <w:sz w:val="20"/>
                      <w:szCs w:val="20"/>
                    </w:rPr>
                    <w:t xml:space="preserve"> - </w:t>
                  </w:r>
                  <w:r w:rsidRPr="00620BA8">
                    <w:rPr>
                      <w:rFonts w:ascii="Times New Roman" w:hAnsi="Times New Roman"/>
                      <w:color w:val="000000"/>
                      <w:sz w:val="20"/>
                      <w:szCs w:val="20"/>
                    </w:rPr>
                    <w:t>E</w:t>
                  </w:r>
                  <w:r w:rsidRPr="00FE15B4">
                    <w:rPr>
                      <w:rFonts w:ascii="Times New Roman" w:hAnsi="Times New Roman"/>
                      <w:color w:val="000000"/>
                      <w:sz w:val="20"/>
                      <w:szCs w:val="20"/>
                    </w:rPr>
                    <w:t xml:space="preserve">feito da concentração do </w:t>
                  </w:r>
                  <w:r>
                    <w:rPr>
                      <w:rFonts w:ascii="Times New Roman" w:hAnsi="Times New Roman"/>
                      <w:color w:val="000000"/>
                      <w:sz w:val="20"/>
                      <w:szCs w:val="20"/>
                    </w:rPr>
                    <w:t>EB</w:t>
                  </w:r>
                  <w:r w:rsidRPr="00FE15B4">
                    <w:rPr>
                      <w:rFonts w:ascii="Times New Roman" w:hAnsi="Times New Roman"/>
                      <w:color w:val="000000"/>
                      <w:sz w:val="20"/>
                      <w:szCs w:val="20"/>
                    </w:rPr>
                    <w:t xml:space="preserve"> de</w:t>
                  </w:r>
                  <w:r>
                    <w:rPr>
                      <w:rFonts w:ascii="Times New Roman" w:hAnsi="Times New Roman"/>
                      <w:iCs/>
                      <w:color w:val="000000"/>
                      <w:sz w:val="20"/>
                      <w:szCs w:val="20"/>
                    </w:rPr>
                    <w:t xml:space="preserve"> BAE </w:t>
                  </w:r>
                  <w:r w:rsidRPr="00FE15B4">
                    <w:rPr>
                      <w:rFonts w:ascii="Times New Roman" w:hAnsi="Times New Roman"/>
                      <w:color w:val="000000"/>
                      <w:sz w:val="20"/>
                      <w:szCs w:val="20"/>
                    </w:rPr>
                    <w:t xml:space="preserve">no crescimento </w:t>
                  </w:r>
                  <w:r>
                    <w:rPr>
                      <w:rFonts w:ascii="Times New Roman" w:hAnsi="Times New Roman"/>
                      <w:color w:val="000000"/>
                      <w:sz w:val="20"/>
                      <w:szCs w:val="20"/>
                    </w:rPr>
                    <w:t xml:space="preserve">da linha </w:t>
                  </w:r>
                  <w:r w:rsidRPr="00FE15B4">
                    <w:rPr>
                      <w:rFonts w:ascii="Times New Roman" w:hAnsi="Times New Roman"/>
                      <w:color w:val="000000"/>
                      <w:sz w:val="20"/>
                      <w:szCs w:val="20"/>
                    </w:rPr>
                    <w:t xml:space="preserve">celular MDA-MB-231. As células foram incubadas durante 48h, com concentrações crescentes de extracto </w:t>
                  </w:r>
                  <w:r>
                    <w:rPr>
                      <w:rFonts w:ascii="Times New Roman" w:hAnsi="Times New Roman"/>
                      <w:color w:val="000000"/>
                      <w:sz w:val="20"/>
                      <w:szCs w:val="20"/>
                    </w:rPr>
                    <w:t>expressas em unidades mássicas</w:t>
                  </w:r>
                  <w:r w:rsidRPr="00FE15B4">
                    <w:rPr>
                      <w:rFonts w:ascii="Times New Roman" w:hAnsi="Times New Roman"/>
                      <w:color w:val="000000"/>
                      <w:sz w:val="20"/>
                      <w:szCs w:val="20"/>
                    </w:rPr>
                    <w:t xml:space="preserve"> </w:t>
                  </w:r>
                  <w:r>
                    <w:rPr>
                      <w:rFonts w:ascii="Times New Roman" w:hAnsi="Times New Roman"/>
                      <w:color w:val="000000"/>
                      <w:sz w:val="20"/>
                      <w:szCs w:val="20"/>
                    </w:rPr>
                    <w:t>(100 – 1500μg/mL) e em concentração de Hidroxitirosol presente na concentração mássica de cada extracto (8 - 1196</w:t>
                  </w:r>
                  <w:r w:rsidRPr="00FE15B4">
                    <w:rPr>
                      <w:rFonts w:ascii="Times New Roman" w:hAnsi="Times New Roman"/>
                      <w:color w:val="000000"/>
                      <w:sz w:val="20"/>
                      <w:szCs w:val="20"/>
                    </w:rPr>
                    <w:t>μ</w:t>
                  </w:r>
                  <w:r>
                    <w:rPr>
                      <w:rFonts w:ascii="Times New Roman" w:hAnsi="Times New Roman"/>
                      <w:color w:val="000000"/>
                      <w:sz w:val="20"/>
                      <w:szCs w:val="20"/>
                    </w:rPr>
                    <w:t xml:space="preserve">M). </w:t>
                  </w:r>
                  <w:r w:rsidRPr="00FE15B4">
                    <w:rPr>
                      <w:rFonts w:ascii="Times New Roman" w:hAnsi="Times New Roman"/>
                      <w:color w:val="000000"/>
                      <w:sz w:val="20"/>
                      <w:szCs w:val="20"/>
                    </w:rPr>
                    <w:t>Como controlo foram utilizadas células MDA-MB-231 sem tratamento de extracto.</w:t>
                  </w:r>
                  <w:r>
                    <w:rPr>
                      <w:rFonts w:ascii="Times New Roman" w:hAnsi="Times New Roman"/>
                      <w:color w:val="000000"/>
                      <w:sz w:val="20"/>
                      <w:szCs w:val="20"/>
                    </w:rPr>
                    <w:t xml:space="preserve"> </w:t>
                  </w:r>
                  <w:r w:rsidRPr="00FE15B4">
                    <w:rPr>
                      <w:rFonts w:ascii="Times New Roman" w:hAnsi="Times New Roman"/>
                      <w:color w:val="000000"/>
                      <w:sz w:val="20"/>
                      <w:szCs w:val="20"/>
                    </w:rPr>
                    <w:t xml:space="preserve">Os valores vêm afectados dos erros padrões médios, obtidos pelos triplicados efectuados, independentemente, para cada uma das concentrações testadas. </w:t>
                  </w:r>
                </w:p>
                <w:p w:rsidR="00B766F9" w:rsidRPr="00AF37CC" w:rsidRDefault="00B766F9" w:rsidP="006737F5">
                  <w:pPr>
                    <w:pStyle w:val="Legenda"/>
                    <w:rPr>
                      <w:rFonts w:ascii="Times New Roman" w:hAnsi="Times New Roman"/>
                      <w:noProof/>
                      <w:sz w:val="24"/>
                      <w:szCs w:val="24"/>
                    </w:rPr>
                  </w:pPr>
                </w:p>
              </w:txbxContent>
            </v:textbox>
            <w10:wrap type="tight"/>
          </v:shape>
        </w:pict>
      </w:r>
    </w:p>
    <w:p w:rsidR="006737F5" w:rsidRDefault="006737F5" w:rsidP="006737F5">
      <w:pPr>
        <w:pStyle w:val="PargrafodaLista"/>
        <w:tabs>
          <w:tab w:val="left" w:pos="993"/>
        </w:tabs>
        <w:ind w:left="1364"/>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79072" behindDoc="1" locked="0" layoutInCell="1" allowOverlap="1">
            <wp:simplePos x="0" y="0"/>
            <wp:positionH relativeFrom="column">
              <wp:posOffset>196215</wp:posOffset>
            </wp:positionH>
            <wp:positionV relativeFrom="paragraph">
              <wp:posOffset>167005</wp:posOffset>
            </wp:positionV>
            <wp:extent cx="5553075" cy="2743200"/>
            <wp:effectExtent l="0" t="0" r="0" b="0"/>
            <wp:wrapTight wrapText="bothSides">
              <wp:wrapPolygon edited="0">
                <wp:start x="1111" y="2100"/>
                <wp:lineTo x="1037" y="4500"/>
                <wp:lineTo x="593" y="6000"/>
                <wp:lineTo x="445" y="15000"/>
                <wp:lineTo x="1186" y="16500"/>
                <wp:lineTo x="1630" y="16500"/>
                <wp:lineTo x="1260" y="18750"/>
                <wp:lineTo x="1334" y="18750"/>
                <wp:lineTo x="2075" y="18750"/>
                <wp:lineTo x="20970" y="18000"/>
                <wp:lineTo x="21192" y="17100"/>
                <wp:lineTo x="18080" y="16500"/>
                <wp:lineTo x="18228" y="14700"/>
                <wp:lineTo x="12745" y="14100"/>
                <wp:lineTo x="9262" y="11700"/>
                <wp:lineTo x="18821" y="10500"/>
                <wp:lineTo x="18821" y="9600"/>
                <wp:lineTo x="7558" y="9300"/>
                <wp:lineTo x="7706" y="7500"/>
                <wp:lineTo x="7336" y="7050"/>
                <wp:lineTo x="5854" y="6900"/>
                <wp:lineTo x="6002" y="5250"/>
                <wp:lineTo x="5632" y="4800"/>
                <wp:lineTo x="3853" y="4500"/>
                <wp:lineTo x="4001" y="3600"/>
                <wp:lineTo x="3631" y="3150"/>
                <wp:lineTo x="2075" y="2100"/>
                <wp:lineTo x="1111" y="2100"/>
              </wp:wrapPolygon>
            </wp:wrapTight>
            <wp:docPr id="36"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6737F5" w:rsidRPr="00C5362D"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709"/>
        </w:tabs>
        <w:ind w:left="709" w:hanging="142"/>
        <w:jc w:val="both"/>
        <w:rPr>
          <w:rFonts w:ascii="Times New Roman" w:hAnsi="Times New Roman"/>
          <w:sz w:val="24"/>
          <w:szCs w:val="24"/>
        </w:rPr>
      </w:pPr>
    </w:p>
    <w:p w:rsidR="006737F5" w:rsidRPr="00AD41A9" w:rsidRDefault="006737F5" w:rsidP="006737F5">
      <w:pPr>
        <w:tabs>
          <w:tab w:val="left" w:pos="709"/>
        </w:tabs>
        <w:jc w:val="both"/>
        <w:rPr>
          <w:rFonts w:ascii="Times New Roman" w:hAnsi="Times New Roman"/>
          <w:sz w:val="24"/>
          <w:szCs w:val="24"/>
        </w:rPr>
      </w:pPr>
    </w:p>
    <w:p w:rsidR="006737F5" w:rsidRDefault="007B02FE" w:rsidP="006737F5">
      <w:pPr>
        <w:pStyle w:val="PargrafodaLista"/>
        <w:tabs>
          <w:tab w:val="left" w:pos="709"/>
        </w:tabs>
        <w:ind w:left="709" w:hanging="142"/>
        <w:jc w:val="both"/>
        <w:rPr>
          <w:rFonts w:ascii="Times New Roman" w:hAnsi="Times New Roman"/>
          <w:sz w:val="24"/>
          <w:szCs w:val="24"/>
        </w:rPr>
      </w:pPr>
      <w:r>
        <w:rPr>
          <w:rFonts w:ascii="Times New Roman" w:hAnsi="Times New Roman"/>
          <w:noProof/>
          <w:sz w:val="24"/>
          <w:szCs w:val="24"/>
          <w:lang w:eastAsia="pt-PT"/>
        </w:rPr>
        <w:pict>
          <v:shape id="_x0000_s1120" type="#_x0000_t32" style="position:absolute;left:0;text-align:left;margin-left:45pt;margin-top:-18.45pt;width:293.85pt;height:.05pt;z-index:-251546624" o:connectortype="straight" wrapcoords="1 1 322 1 322 1 1 1 1 1" strokecolor="#a5a5a5 [2092]">
            <w10:wrap type="tight"/>
          </v:shape>
        </w:pict>
      </w:r>
    </w:p>
    <w:p w:rsidR="006737F5" w:rsidRDefault="006737F5" w:rsidP="006737F5">
      <w:pPr>
        <w:pStyle w:val="PargrafodaLista"/>
        <w:tabs>
          <w:tab w:val="left" w:pos="709"/>
        </w:tabs>
        <w:ind w:left="709" w:hanging="142"/>
        <w:jc w:val="both"/>
        <w:rPr>
          <w:rFonts w:ascii="Times New Roman" w:hAnsi="Times New Roman"/>
          <w:sz w:val="24"/>
          <w:szCs w:val="24"/>
        </w:rPr>
      </w:pPr>
    </w:p>
    <w:p w:rsidR="006737F5" w:rsidRPr="00081D99" w:rsidRDefault="006737F5" w:rsidP="006737F5">
      <w:pPr>
        <w:pStyle w:val="PargrafodaLista"/>
        <w:tabs>
          <w:tab w:val="left" w:pos="709"/>
        </w:tabs>
        <w:ind w:left="709" w:hanging="142"/>
        <w:jc w:val="both"/>
        <w:rPr>
          <w:rFonts w:ascii="Times New Roman" w:hAnsi="Times New Roman"/>
          <w:b/>
          <w:sz w:val="24"/>
          <w:szCs w:val="24"/>
        </w:rPr>
      </w:pPr>
    </w:p>
    <w:p w:rsidR="006737F5" w:rsidRDefault="006737F5" w:rsidP="006737F5">
      <w:pPr>
        <w:pStyle w:val="PargrafodaLista"/>
        <w:tabs>
          <w:tab w:val="left" w:pos="709"/>
        </w:tabs>
        <w:ind w:left="709" w:hanging="142"/>
        <w:jc w:val="both"/>
        <w:rPr>
          <w:rFonts w:ascii="Times New Roman" w:hAnsi="Times New Roman"/>
          <w:sz w:val="24"/>
          <w:szCs w:val="24"/>
        </w:rPr>
      </w:pPr>
    </w:p>
    <w:p w:rsidR="006737F5" w:rsidRDefault="006737F5" w:rsidP="006737F5">
      <w:pPr>
        <w:pStyle w:val="PargrafodaLista"/>
        <w:tabs>
          <w:tab w:val="left" w:pos="709"/>
        </w:tabs>
        <w:ind w:left="709" w:hanging="142"/>
        <w:jc w:val="both"/>
        <w:rPr>
          <w:rFonts w:ascii="Times New Roman" w:hAnsi="Times New Roman"/>
          <w:sz w:val="24"/>
          <w:szCs w:val="24"/>
        </w:rPr>
      </w:pPr>
    </w:p>
    <w:p w:rsidR="006737F5" w:rsidRDefault="006737F5" w:rsidP="006737F5">
      <w:pPr>
        <w:pStyle w:val="PargrafodaLista"/>
        <w:tabs>
          <w:tab w:val="left" w:pos="709"/>
        </w:tabs>
        <w:ind w:left="709" w:hanging="142"/>
        <w:jc w:val="both"/>
        <w:rPr>
          <w:rFonts w:ascii="Times New Roman" w:hAnsi="Times New Roman"/>
          <w:sz w:val="24"/>
          <w:szCs w:val="24"/>
        </w:rPr>
      </w:pPr>
    </w:p>
    <w:p w:rsidR="006737F5" w:rsidRDefault="006737F5" w:rsidP="006737F5">
      <w:pPr>
        <w:pStyle w:val="PargrafodaLista"/>
        <w:tabs>
          <w:tab w:val="left" w:pos="709"/>
        </w:tabs>
        <w:ind w:left="709" w:hanging="142"/>
        <w:jc w:val="both"/>
        <w:rPr>
          <w:rFonts w:ascii="Times New Roman" w:hAnsi="Times New Roman"/>
          <w:sz w:val="24"/>
          <w:szCs w:val="24"/>
        </w:rPr>
      </w:pPr>
    </w:p>
    <w:p w:rsidR="006737F5" w:rsidRDefault="007B02FE" w:rsidP="006737F5">
      <w:pPr>
        <w:pStyle w:val="PargrafodaLista"/>
        <w:tabs>
          <w:tab w:val="left" w:pos="709"/>
        </w:tabs>
        <w:ind w:left="709" w:hanging="142"/>
        <w:jc w:val="both"/>
        <w:rPr>
          <w:rFonts w:ascii="Times New Roman" w:hAnsi="Times New Roman"/>
          <w:sz w:val="24"/>
          <w:szCs w:val="24"/>
        </w:rPr>
      </w:pPr>
      <w:r w:rsidRPr="007B02FE">
        <w:rPr>
          <w:rFonts w:asciiTheme="minorHAnsi" w:hAnsiTheme="minorHAnsi"/>
          <w:noProof/>
          <w:lang w:eastAsia="pt-PT"/>
        </w:rPr>
        <w:pict>
          <v:shape id="_x0000_s1121" type="#_x0000_t32" style="position:absolute;left:0;text-align:left;margin-left:104.45pt;margin-top:2.45pt;width:275.3pt;height:0;z-index:251770880" o:connectortype="straight" wrapcoords="1 1 322 1 322 1 1 1 1 1" strokecolor="#a5a5a5 [2092]">
            <w10:wrap type="tight"/>
          </v:shape>
        </w:pict>
      </w:r>
      <w:r>
        <w:rPr>
          <w:rFonts w:ascii="Times New Roman" w:hAnsi="Times New Roman"/>
          <w:noProof/>
          <w:sz w:val="24"/>
          <w:szCs w:val="24"/>
          <w:lang w:eastAsia="pt-PT"/>
        </w:rPr>
        <w:pict>
          <v:shape id="_x0000_s1108" type="#_x0000_t202" style="position:absolute;left:0;text-align:left;margin-left:104.55pt;margin-top:6.25pt;width:340.1pt;height:25.15pt;z-index:251757568" stroked="f">
            <v:textbox style="mso-next-textbox:#_x0000_s1108">
              <w:txbxContent>
                <w:p w:rsidR="00B766F9" w:rsidRPr="009C6119" w:rsidRDefault="00B766F9" w:rsidP="006737F5">
                  <w:pPr>
                    <w:rPr>
                      <w:sz w:val="18"/>
                    </w:rPr>
                  </w:pPr>
                  <w:r w:rsidRPr="009C6119">
                    <w:rPr>
                      <w:sz w:val="18"/>
                    </w:rPr>
                    <w:t xml:space="preserve">100 </w:t>
                  </w:r>
                  <w:r>
                    <w:rPr>
                      <w:sz w:val="18"/>
                    </w:rPr>
                    <w:t xml:space="preserve">          </w:t>
                  </w:r>
                  <w:r w:rsidRPr="009C6119">
                    <w:rPr>
                      <w:sz w:val="18"/>
                    </w:rPr>
                    <w:t xml:space="preserve">500 </w:t>
                  </w:r>
                  <w:r>
                    <w:rPr>
                      <w:sz w:val="18"/>
                    </w:rPr>
                    <w:t xml:space="preserve">         </w:t>
                  </w:r>
                  <w:r w:rsidRPr="009C6119">
                    <w:rPr>
                      <w:sz w:val="18"/>
                    </w:rPr>
                    <w:t xml:space="preserve">1500 </w:t>
                  </w:r>
                  <w:r>
                    <w:rPr>
                      <w:sz w:val="18"/>
                    </w:rPr>
                    <w:t xml:space="preserve">        </w:t>
                  </w:r>
                  <w:r w:rsidRPr="009C6119">
                    <w:rPr>
                      <w:sz w:val="18"/>
                    </w:rPr>
                    <w:t xml:space="preserve">3000 </w:t>
                  </w:r>
                  <w:r>
                    <w:rPr>
                      <w:sz w:val="18"/>
                    </w:rPr>
                    <w:t xml:space="preserve">        </w:t>
                  </w:r>
                  <w:r w:rsidRPr="009C6119">
                    <w:rPr>
                      <w:sz w:val="18"/>
                    </w:rPr>
                    <w:t xml:space="preserve">6000 </w:t>
                  </w:r>
                  <w:r>
                    <w:rPr>
                      <w:sz w:val="18"/>
                    </w:rPr>
                    <w:t xml:space="preserve">       </w:t>
                  </w:r>
                  <w:r w:rsidRPr="009C6119">
                    <w:rPr>
                      <w:sz w:val="18"/>
                    </w:rPr>
                    <w:t xml:space="preserve">9000 </w:t>
                  </w:r>
                  <w:r>
                    <w:rPr>
                      <w:sz w:val="18"/>
                    </w:rPr>
                    <w:t xml:space="preserve">      </w:t>
                  </w:r>
                  <w:r w:rsidRPr="009C6119">
                    <w:rPr>
                      <w:sz w:val="18"/>
                    </w:rPr>
                    <w:t xml:space="preserve">12000 </w:t>
                  </w:r>
                  <w:r>
                    <w:rPr>
                      <w:sz w:val="18"/>
                    </w:rPr>
                    <w:t xml:space="preserve">      </w:t>
                  </w:r>
                  <w:r w:rsidRPr="009C6119">
                    <w:rPr>
                      <w:sz w:val="18"/>
                    </w:rPr>
                    <w:t xml:space="preserve">15000   </w:t>
                  </w:r>
                  <w:r>
                    <w:rPr>
                      <w:sz w:val="18"/>
                    </w:rPr>
                    <w:t xml:space="preserve"> </w:t>
                  </w:r>
                  <w:r>
                    <w:rPr>
                      <w:b/>
                      <w:sz w:val="18"/>
                    </w:rPr>
                    <w:t>EPC</w:t>
                  </w:r>
                  <w:r w:rsidRPr="009C6119">
                    <w:rPr>
                      <w:b/>
                      <w:sz w:val="18"/>
                    </w:rPr>
                    <w:t>(µg/mL)</w:t>
                  </w:r>
                </w:p>
              </w:txbxContent>
            </v:textbox>
          </v:shape>
        </w:pict>
      </w:r>
      <w:r w:rsidRPr="007B02FE">
        <w:rPr>
          <w:rFonts w:asciiTheme="minorHAnsi" w:hAnsiTheme="minorHAnsi"/>
          <w:noProof/>
        </w:rPr>
        <w:pict>
          <v:shape id="_x0000_s1112" type="#_x0000_t202" style="position:absolute;left:0;text-align:left;margin-left:9.45pt;margin-top:32pt;width:416.25pt;height:81.35pt;z-index:251761664" wrapcoords="-39 0 -39 20965 21600 20965 21600 0 -39 0" stroked="f">
            <v:textbox style="mso-next-textbox:#_x0000_s1112" inset="0,0,0,0">
              <w:txbxContent>
                <w:p w:rsidR="00B766F9" w:rsidRPr="00FE15B4" w:rsidRDefault="00B766F9" w:rsidP="006737F5">
                  <w:pPr>
                    <w:autoSpaceDE w:val="0"/>
                    <w:autoSpaceDN w:val="0"/>
                    <w:adjustRightInd w:val="0"/>
                    <w:spacing w:after="0" w:line="240" w:lineRule="auto"/>
                    <w:jc w:val="both"/>
                    <w:rPr>
                      <w:rFonts w:ascii="Times New Roman" w:hAnsi="Times New Roman"/>
                      <w:color w:val="000000"/>
                      <w:sz w:val="20"/>
                      <w:szCs w:val="20"/>
                    </w:rPr>
                  </w:pPr>
                  <w:r w:rsidRPr="00FE15B4">
                    <w:rPr>
                      <w:rFonts w:ascii="Times New Roman" w:hAnsi="Times New Roman"/>
                      <w:b/>
                      <w:color w:val="4F81BD" w:themeColor="accent1"/>
                      <w:sz w:val="20"/>
                      <w:szCs w:val="20"/>
                    </w:rPr>
                    <w:t xml:space="preserve">Figura </w:t>
                  </w:r>
                  <w:r>
                    <w:rPr>
                      <w:rFonts w:ascii="Times New Roman" w:hAnsi="Times New Roman"/>
                      <w:b/>
                      <w:color w:val="4F81BD" w:themeColor="accent1"/>
                      <w:sz w:val="20"/>
                      <w:szCs w:val="20"/>
                    </w:rPr>
                    <w:t>25</w:t>
                  </w:r>
                  <w:r w:rsidRPr="00FE15B4">
                    <w:rPr>
                      <w:rFonts w:ascii="Times New Roman" w:hAnsi="Times New Roman"/>
                      <w:b/>
                      <w:color w:val="4F81BD" w:themeColor="accent1"/>
                      <w:sz w:val="20"/>
                      <w:szCs w:val="20"/>
                    </w:rPr>
                    <w:t xml:space="preserve"> -</w:t>
                  </w:r>
                  <w:r>
                    <w:rPr>
                      <w:sz w:val="20"/>
                      <w:szCs w:val="20"/>
                    </w:rPr>
                    <w:t xml:space="preserve"> </w:t>
                  </w:r>
                  <w:r w:rsidRPr="00C80C4C">
                    <w:rPr>
                      <w:rFonts w:ascii="Times New Roman" w:hAnsi="Times New Roman"/>
                      <w:color w:val="000000"/>
                      <w:sz w:val="20"/>
                      <w:szCs w:val="20"/>
                    </w:rPr>
                    <w:t>E</w:t>
                  </w:r>
                  <w:r w:rsidRPr="00FE15B4">
                    <w:rPr>
                      <w:rFonts w:ascii="Times New Roman" w:hAnsi="Times New Roman"/>
                      <w:color w:val="000000"/>
                      <w:sz w:val="20"/>
                      <w:szCs w:val="20"/>
                    </w:rPr>
                    <w:t xml:space="preserve">feito da concentração do </w:t>
                  </w:r>
                  <w:r>
                    <w:rPr>
                      <w:rFonts w:ascii="Times New Roman" w:hAnsi="Times New Roman"/>
                      <w:color w:val="000000"/>
                      <w:sz w:val="20"/>
                      <w:szCs w:val="20"/>
                    </w:rPr>
                    <w:t xml:space="preserve">EPC de </w:t>
                  </w:r>
                  <w:r>
                    <w:rPr>
                      <w:rFonts w:ascii="Times New Roman" w:hAnsi="Times New Roman"/>
                      <w:iCs/>
                      <w:color w:val="000000"/>
                      <w:sz w:val="20"/>
                      <w:szCs w:val="20"/>
                    </w:rPr>
                    <w:t xml:space="preserve">BAE </w:t>
                  </w:r>
                  <w:r w:rsidRPr="00FE15B4">
                    <w:rPr>
                      <w:rFonts w:ascii="Times New Roman" w:hAnsi="Times New Roman"/>
                      <w:color w:val="000000"/>
                      <w:sz w:val="20"/>
                      <w:szCs w:val="20"/>
                    </w:rPr>
                    <w:t xml:space="preserve">no crescimento </w:t>
                  </w:r>
                  <w:r>
                    <w:rPr>
                      <w:rFonts w:ascii="Times New Roman" w:hAnsi="Times New Roman"/>
                      <w:color w:val="000000"/>
                      <w:sz w:val="20"/>
                      <w:szCs w:val="20"/>
                    </w:rPr>
                    <w:t xml:space="preserve">da linha </w:t>
                  </w:r>
                  <w:r w:rsidRPr="00FE15B4">
                    <w:rPr>
                      <w:rFonts w:ascii="Times New Roman" w:hAnsi="Times New Roman"/>
                      <w:color w:val="000000"/>
                      <w:sz w:val="20"/>
                      <w:szCs w:val="20"/>
                    </w:rPr>
                    <w:t xml:space="preserve">celular MDA-MB-231. As células foram incubadas durante 48h, com concentrações crescentes de extracto </w:t>
                  </w:r>
                  <w:r>
                    <w:rPr>
                      <w:rFonts w:ascii="Times New Roman" w:hAnsi="Times New Roman"/>
                      <w:color w:val="000000"/>
                      <w:sz w:val="20"/>
                      <w:szCs w:val="20"/>
                    </w:rPr>
                    <w:t>expressas em unidades mássicas</w:t>
                  </w:r>
                  <w:r w:rsidRPr="00FE15B4">
                    <w:rPr>
                      <w:rFonts w:ascii="Times New Roman" w:hAnsi="Times New Roman"/>
                      <w:color w:val="000000"/>
                      <w:sz w:val="20"/>
                      <w:szCs w:val="20"/>
                    </w:rPr>
                    <w:t xml:space="preserve"> </w:t>
                  </w:r>
                  <w:r>
                    <w:rPr>
                      <w:rFonts w:ascii="Times New Roman" w:hAnsi="Times New Roman"/>
                      <w:color w:val="000000"/>
                      <w:sz w:val="20"/>
                      <w:szCs w:val="20"/>
                    </w:rPr>
                    <w:t>(100 – 1500μg/mL) e em concentração de Hidroxitirosol presente na concentração mássica de cada extracto (3 - 468</w:t>
                  </w:r>
                  <w:r w:rsidRPr="00FE15B4">
                    <w:rPr>
                      <w:rFonts w:ascii="Times New Roman" w:hAnsi="Times New Roman"/>
                      <w:color w:val="000000"/>
                      <w:sz w:val="20"/>
                      <w:szCs w:val="20"/>
                    </w:rPr>
                    <w:t>μ</w:t>
                  </w:r>
                  <w:r>
                    <w:rPr>
                      <w:rFonts w:ascii="Times New Roman" w:hAnsi="Times New Roman"/>
                      <w:color w:val="000000"/>
                      <w:sz w:val="20"/>
                      <w:szCs w:val="20"/>
                    </w:rPr>
                    <w:t xml:space="preserve">M). </w:t>
                  </w:r>
                  <w:r w:rsidRPr="00FE15B4">
                    <w:rPr>
                      <w:rFonts w:ascii="Times New Roman" w:hAnsi="Times New Roman"/>
                      <w:color w:val="000000"/>
                      <w:sz w:val="20"/>
                      <w:szCs w:val="20"/>
                    </w:rPr>
                    <w:t xml:space="preserve">Como controlo foram utilizadas células MDA-MB-231 sem tratamento de extracto. Os valores vêm afectados dos erros padrões médios, obtidos pelos triplicados efectuados, independentemente, para cada uma das concentrações testadas. </w:t>
                  </w:r>
                </w:p>
                <w:p w:rsidR="00B766F9" w:rsidRPr="00FE15B4" w:rsidRDefault="00B766F9" w:rsidP="006737F5">
                  <w:pPr>
                    <w:tabs>
                      <w:tab w:val="left" w:pos="993"/>
                    </w:tabs>
                    <w:jc w:val="both"/>
                    <w:rPr>
                      <w:rFonts w:ascii="Times New Roman" w:hAnsi="Times New Roman"/>
                      <w:sz w:val="20"/>
                      <w:szCs w:val="20"/>
                    </w:rPr>
                  </w:pPr>
                </w:p>
                <w:p w:rsidR="00B766F9" w:rsidRPr="00D64716" w:rsidRDefault="00B766F9" w:rsidP="006737F5">
                  <w:pPr>
                    <w:pStyle w:val="Legenda"/>
                    <w:rPr>
                      <w:rFonts w:ascii="Times New Roman" w:hAnsi="Times New Roman"/>
                      <w:noProof/>
                      <w:sz w:val="24"/>
                      <w:szCs w:val="24"/>
                    </w:rPr>
                  </w:pPr>
                </w:p>
              </w:txbxContent>
            </v:textbox>
            <w10:wrap type="tight"/>
          </v:shape>
        </w:pict>
      </w:r>
    </w:p>
    <w:p w:rsidR="006737F5" w:rsidRPr="00620BA8" w:rsidRDefault="006737F5" w:rsidP="006737F5">
      <w:pPr>
        <w:tabs>
          <w:tab w:val="left" w:pos="993"/>
        </w:tabs>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D05ECD" w:rsidRDefault="00D05ECD" w:rsidP="006737F5">
      <w:pPr>
        <w:pStyle w:val="PargrafodaLista"/>
        <w:tabs>
          <w:tab w:val="left" w:pos="993"/>
        </w:tabs>
        <w:ind w:left="1364"/>
        <w:jc w:val="both"/>
        <w:rPr>
          <w:rFonts w:ascii="Times New Roman" w:hAnsi="Times New Roman"/>
          <w:sz w:val="24"/>
          <w:szCs w:val="24"/>
        </w:rPr>
      </w:pPr>
    </w:p>
    <w:p w:rsidR="00D05ECD" w:rsidRDefault="00D05ECD"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783168" behindDoc="1" locked="0" layoutInCell="1" allowOverlap="1">
            <wp:simplePos x="0" y="0"/>
            <wp:positionH relativeFrom="column">
              <wp:posOffset>-165735</wp:posOffset>
            </wp:positionH>
            <wp:positionV relativeFrom="paragraph">
              <wp:posOffset>-428625</wp:posOffset>
            </wp:positionV>
            <wp:extent cx="5800725" cy="3057525"/>
            <wp:effectExtent l="0" t="0" r="0" b="0"/>
            <wp:wrapTight wrapText="bothSides">
              <wp:wrapPolygon edited="0">
                <wp:start x="1986" y="2288"/>
                <wp:lineTo x="1986" y="4441"/>
                <wp:lineTo x="1561" y="4710"/>
                <wp:lineTo x="1348" y="10901"/>
                <wp:lineTo x="1348" y="13054"/>
                <wp:lineTo x="2412" y="15207"/>
                <wp:lineTo x="2483" y="16419"/>
                <wp:lineTo x="7235" y="16822"/>
                <wp:lineTo x="18869" y="16822"/>
                <wp:lineTo x="19933" y="16822"/>
                <wp:lineTo x="21281" y="16822"/>
                <wp:lineTo x="20855" y="15880"/>
                <wp:lineTo x="2908" y="15207"/>
                <wp:lineTo x="18231" y="15207"/>
                <wp:lineTo x="18514" y="13054"/>
                <wp:lineTo x="8229" y="10901"/>
                <wp:lineTo x="19224" y="9690"/>
                <wp:lineTo x="19224" y="8882"/>
                <wp:lineTo x="8229" y="8748"/>
                <wp:lineTo x="8229" y="6191"/>
                <wp:lineTo x="8016" y="5518"/>
                <wp:lineTo x="6597" y="4441"/>
                <wp:lineTo x="2908" y="2288"/>
                <wp:lineTo x="1986" y="2288"/>
              </wp:wrapPolygon>
            </wp:wrapTight>
            <wp:docPr id="37"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Default="006737F5" w:rsidP="006737F5">
      <w:pPr>
        <w:pStyle w:val="PargrafodaLista"/>
        <w:tabs>
          <w:tab w:val="left" w:pos="993"/>
        </w:tabs>
        <w:ind w:left="1364"/>
        <w:jc w:val="both"/>
        <w:rPr>
          <w:rFonts w:ascii="Times New Roman" w:hAnsi="Times New Roman"/>
          <w:sz w:val="24"/>
          <w:szCs w:val="24"/>
        </w:rPr>
      </w:pPr>
    </w:p>
    <w:p w:rsidR="006737F5" w:rsidRPr="00BC3839" w:rsidRDefault="007B02FE" w:rsidP="006737F5">
      <w:pPr>
        <w:pStyle w:val="PargrafodaLista"/>
        <w:tabs>
          <w:tab w:val="left" w:pos="993"/>
        </w:tabs>
        <w:ind w:left="1364"/>
        <w:jc w:val="both"/>
        <w:rPr>
          <w:rFonts w:ascii="Times New Roman" w:hAnsi="Times New Roman"/>
          <w:sz w:val="20"/>
          <w:szCs w:val="24"/>
        </w:rPr>
      </w:pPr>
      <w:r w:rsidRPr="007B02FE">
        <w:rPr>
          <w:rFonts w:ascii="Times New Roman" w:hAnsi="Times New Roman"/>
          <w:noProof/>
          <w:sz w:val="24"/>
          <w:szCs w:val="24"/>
          <w:lang w:eastAsia="pt-PT"/>
        </w:rPr>
        <w:pict>
          <v:shape id="_x0000_s1110" type="#_x0000_t202" style="position:absolute;left:0;text-align:left;margin-left:97.3pt;margin-top:14.45pt;width:345pt;height:21.65pt;z-index:251759616" stroked="f">
            <v:textbox style="mso-next-textbox:#_x0000_s1110">
              <w:txbxContent>
                <w:p w:rsidR="00B766F9" w:rsidRPr="009C6119" w:rsidRDefault="00B766F9" w:rsidP="006737F5">
                  <w:pPr>
                    <w:rPr>
                      <w:sz w:val="18"/>
                    </w:rPr>
                  </w:pPr>
                  <w:r w:rsidRPr="009C6119">
                    <w:rPr>
                      <w:sz w:val="18"/>
                    </w:rPr>
                    <w:t xml:space="preserve">100 </w:t>
                  </w:r>
                  <w:r>
                    <w:rPr>
                      <w:sz w:val="18"/>
                    </w:rPr>
                    <w:t xml:space="preserve">          </w:t>
                  </w:r>
                  <w:r w:rsidRPr="009C6119">
                    <w:rPr>
                      <w:sz w:val="18"/>
                    </w:rPr>
                    <w:t xml:space="preserve">500 </w:t>
                  </w:r>
                  <w:r>
                    <w:rPr>
                      <w:sz w:val="18"/>
                    </w:rPr>
                    <w:t xml:space="preserve">        </w:t>
                  </w:r>
                  <w:r w:rsidRPr="009C6119">
                    <w:rPr>
                      <w:sz w:val="18"/>
                    </w:rPr>
                    <w:t xml:space="preserve">1500 </w:t>
                  </w:r>
                  <w:r>
                    <w:rPr>
                      <w:sz w:val="18"/>
                    </w:rPr>
                    <w:t xml:space="preserve">       </w:t>
                  </w:r>
                  <w:r w:rsidRPr="009C6119">
                    <w:rPr>
                      <w:sz w:val="18"/>
                    </w:rPr>
                    <w:t xml:space="preserve">3000 </w:t>
                  </w:r>
                  <w:r>
                    <w:rPr>
                      <w:sz w:val="18"/>
                    </w:rPr>
                    <w:t xml:space="preserve">        </w:t>
                  </w:r>
                  <w:r w:rsidRPr="009C6119">
                    <w:rPr>
                      <w:sz w:val="18"/>
                    </w:rPr>
                    <w:t xml:space="preserve">6000 </w:t>
                  </w:r>
                  <w:r>
                    <w:rPr>
                      <w:sz w:val="18"/>
                    </w:rPr>
                    <w:t xml:space="preserve">        </w:t>
                  </w:r>
                  <w:r w:rsidRPr="009C6119">
                    <w:rPr>
                      <w:sz w:val="18"/>
                    </w:rPr>
                    <w:t xml:space="preserve">9000 </w:t>
                  </w:r>
                  <w:r>
                    <w:rPr>
                      <w:sz w:val="18"/>
                    </w:rPr>
                    <w:t xml:space="preserve">       </w:t>
                  </w:r>
                  <w:r w:rsidRPr="009C6119">
                    <w:rPr>
                      <w:sz w:val="18"/>
                    </w:rPr>
                    <w:t xml:space="preserve">12000 </w:t>
                  </w:r>
                  <w:r>
                    <w:rPr>
                      <w:sz w:val="18"/>
                    </w:rPr>
                    <w:t xml:space="preserve">     </w:t>
                  </w:r>
                  <w:r w:rsidRPr="009C6119">
                    <w:rPr>
                      <w:sz w:val="18"/>
                    </w:rPr>
                    <w:t xml:space="preserve">15000   </w:t>
                  </w:r>
                  <w:r>
                    <w:rPr>
                      <w:sz w:val="18"/>
                    </w:rPr>
                    <w:t xml:space="preserve"> </w:t>
                  </w:r>
                  <w:r>
                    <w:rPr>
                      <w:b/>
                      <w:sz w:val="18"/>
                    </w:rPr>
                    <w:t>ERC</w:t>
                  </w:r>
                  <w:r w:rsidRPr="009C6119">
                    <w:rPr>
                      <w:b/>
                      <w:sz w:val="18"/>
                    </w:rPr>
                    <w:t>(µg/mL)</w:t>
                  </w:r>
                </w:p>
              </w:txbxContent>
            </v:textbox>
          </v:shape>
        </w:pict>
      </w:r>
      <w:r w:rsidRPr="007B02FE">
        <w:rPr>
          <w:rFonts w:ascii="Times New Roman" w:hAnsi="Times New Roman"/>
          <w:noProof/>
          <w:sz w:val="24"/>
          <w:szCs w:val="24"/>
          <w:lang w:eastAsia="pt-PT"/>
        </w:rPr>
        <w:pict>
          <v:shape id="_x0000_s1109" type="#_x0000_t32" style="position:absolute;left:0;text-align:left;margin-left:98.2pt;margin-top:12.7pt;width:270.65pt;height:0;z-index:251758592" o:connectortype="straight" wrapcoords="1 1 322 1 322 1 1 1 1 1" strokecolor="#a5a5a5 [2092]">
            <w10:wrap type="tight"/>
          </v:shape>
        </w:pict>
      </w:r>
    </w:p>
    <w:p w:rsidR="006737F5" w:rsidRPr="00BC3839" w:rsidRDefault="007B02FE" w:rsidP="006737F5">
      <w:pPr>
        <w:pStyle w:val="PargrafodaLista"/>
        <w:tabs>
          <w:tab w:val="left" w:pos="993"/>
        </w:tabs>
        <w:ind w:left="1364"/>
        <w:jc w:val="both"/>
        <w:rPr>
          <w:rFonts w:ascii="Times New Roman" w:hAnsi="Times New Roman"/>
          <w:sz w:val="16"/>
          <w:szCs w:val="24"/>
        </w:rPr>
      </w:pPr>
      <w:r w:rsidRPr="007B02FE">
        <w:rPr>
          <w:rFonts w:asciiTheme="minorHAnsi" w:hAnsiTheme="minorHAnsi"/>
          <w:noProof/>
          <w:sz w:val="36"/>
        </w:rPr>
        <w:pict>
          <v:shape id="_x0000_s1113" type="#_x0000_t202" style="position:absolute;left:0;text-align:left;margin-left:4.5pt;margin-top:30.9pt;width:428.25pt;height:84.65pt;z-index:251762688" wrapcoords="-38 0 -38 20965 21600 20965 21600 0 -38 0" stroked="f">
            <v:textbox style="mso-next-textbox:#_x0000_s1113" inset="0,0,0,0">
              <w:txbxContent>
                <w:p w:rsidR="00B766F9" w:rsidRPr="00FE15B4" w:rsidRDefault="00B766F9" w:rsidP="006737F5">
                  <w:pPr>
                    <w:autoSpaceDE w:val="0"/>
                    <w:autoSpaceDN w:val="0"/>
                    <w:adjustRightInd w:val="0"/>
                    <w:spacing w:after="0" w:line="240" w:lineRule="auto"/>
                    <w:jc w:val="both"/>
                    <w:rPr>
                      <w:rFonts w:ascii="Times New Roman" w:hAnsi="Times New Roman"/>
                      <w:color w:val="000000"/>
                      <w:sz w:val="20"/>
                      <w:szCs w:val="20"/>
                    </w:rPr>
                  </w:pPr>
                  <w:r w:rsidRPr="00FE15B4">
                    <w:rPr>
                      <w:rFonts w:ascii="Times New Roman" w:hAnsi="Times New Roman"/>
                      <w:b/>
                      <w:color w:val="4F81BD" w:themeColor="accent1"/>
                      <w:sz w:val="20"/>
                      <w:szCs w:val="20"/>
                    </w:rPr>
                    <w:t xml:space="preserve">Figura </w:t>
                  </w:r>
                  <w:r>
                    <w:rPr>
                      <w:rFonts w:ascii="Times New Roman" w:hAnsi="Times New Roman"/>
                      <w:b/>
                      <w:color w:val="4F81BD" w:themeColor="accent1"/>
                      <w:sz w:val="20"/>
                      <w:szCs w:val="20"/>
                    </w:rPr>
                    <w:t>26</w:t>
                  </w:r>
                  <w:r w:rsidRPr="00FE15B4">
                    <w:rPr>
                      <w:rFonts w:ascii="Times New Roman" w:hAnsi="Times New Roman"/>
                      <w:b/>
                      <w:color w:val="4F81BD" w:themeColor="accent1"/>
                      <w:sz w:val="20"/>
                      <w:szCs w:val="20"/>
                    </w:rPr>
                    <w:t xml:space="preserve"> -</w:t>
                  </w:r>
                  <w:r w:rsidRPr="00FE15B4">
                    <w:rPr>
                      <w:sz w:val="20"/>
                      <w:szCs w:val="20"/>
                    </w:rPr>
                    <w:t xml:space="preserve"> </w:t>
                  </w:r>
                  <w:r>
                    <w:rPr>
                      <w:rFonts w:ascii="Times New Roman" w:hAnsi="Times New Roman"/>
                      <w:color w:val="000000"/>
                      <w:sz w:val="20"/>
                      <w:szCs w:val="20"/>
                    </w:rPr>
                    <w:t>E</w:t>
                  </w:r>
                  <w:r w:rsidRPr="00FE15B4">
                    <w:rPr>
                      <w:rFonts w:ascii="Times New Roman" w:hAnsi="Times New Roman"/>
                      <w:color w:val="000000"/>
                      <w:sz w:val="20"/>
                      <w:szCs w:val="20"/>
                    </w:rPr>
                    <w:t xml:space="preserve">feito da concentração do </w:t>
                  </w:r>
                  <w:r>
                    <w:rPr>
                      <w:rFonts w:ascii="Times New Roman" w:hAnsi="Times New Roman"/>
                      <w:color w:val="000000"/>
                      <w:sz w:val="20"/>
                      <w:szCs w:val="20"/>
                    </w:rPr>
                    <w:t>ERC</w:t>
                  </w:r>
                  <w:r w:rsidRPr="00FE15B4">
                    <w:rPr>
                      <w:rFonts w:ascii="Times New Roman" w:hAnsi="Times New Roman"/>
                      <w:color w:val="000000"/>
                      <w:sz w:val="20"/>
                      <w:szCs w:val="20"/>
                    </w:rPr>
                    <w:t xml:space="preserve"> de </w:t>
                  </w:r>
                  <w:r>
                    <w:rPr>
                      <w:rFonts w:ascii="Times New Roman" w:hAnsi="Times New Roman"/>
                      <w:iCs/>
                      <w:color w:val="000000"/>
                      <w:sz w:val="20"/>
                      <w:szCs w:val="20"/>
                    </w:rPr>
                    <w:t xml:space="preserve">BAE </w:t>
                  </w:r>
                  <w:r w:rsidRPr="00FE15B4">
                    <w:rPr>
                      <w:rFonts w:ascii="Times New Roman" w:hAnsi="Times New Roman"/>
                      <w:color w:val="000000"/>
                      <w:sz w:val="20"/>
                      <w:szCs w:val="20"/>
                    </w:rPr>
                    <w:t xml:space="preserve">no crescimento </w:t>
                  </w:r>
                  <w:r>
                    <w:rPr>
                      <w:rFonts w:ascii="Times New Roman" w:hAnsi="Times New Roman"/>
                      <w:color w:val="000000"/>
                      <w:sz w:val="20"/>
                      <w:szCs w:val="20"/>
                    </w:rPr>
                    <w:t xml:space="preserve">da linha </w:t>
                  </w:r>
                  <w:r w:rsidRPr="00FE15B4">
                    <w:rPr>
                      <w:rFonts w:ascii="Times New Roman" w:hAnsi="Times New Roman"/>
                      <w:color w:val="000000"/>
                      <w:sz w:val="20"/>
                      <w:szCs w:val="20"/>
                    </w:rPr>
                    <w:t xml:space="preserve">celular MDA-MB-231. As células foram incubadas durante 48h, com concentrações crescentes de extracto </w:t>
                  </w:r>
                  <w:r>
                    <w:rPr>
                      <w:rFonts w:ascii="Times New Roman" w:hAnsi="Times New Roman"/>
                      <w:color w:val="000000"/>
                      <w:sz w:val="20"/>
                      <w:szCs w:val="20"/>
                    </w:rPr>
                    <w:t>expressas em expressas em unidades mássicas</w:t>
                  </w:r>
                  <w:r w:rsidRPr="00FE15B4">
                    <w:rPr>
                      <w:rFonts w:ascii="Times New Roman" w:hAnsi="Times New Roman"/>
                      <w:color w:val="000000"/>
                      <w:sz w:val="20"/>
                      <w:szCs w:val="20"/>
                    </w:rPr>
                    <w:t xml:space="preserve"> </w:t>
                  </w:r>
                  <w:r>
                    <w:rPr>
                      <w:rFonts w:ascii="Times New Roman" w:hAnsi="Times New Roman"/>
                      <w:color w:val="000000"/>
                      <w:sz w:val="20"/>
                      <w:szCs w:val="20"/>
                    </w:rPr>
                    <w:t>(100 – 1500μg/mL) e em concentração de Hidroxitirosol presente na concentração mássica de cada extracto (8 - 1207</w:t>
                  </w:r>
                  <w:r w:rsidRPr="00FE15B4">
                    <w:rPr>
                      <w:rFonts w:ascii="Times New Roman" w:hAnsi="Times New Roman"/>
                      <w:color w:val="000000"/>
                      <w:sz w:val="20"/>
                      <w:szCs w:val="20"/>
                    </w:rPr>
                    <w:t>μ</w:t>
                  </w:r>
                  <w:r>
                    <w:rPr>
                      <w:rFonts w:ascii="Times New Roman" w:hAnsi="Times New Roman"/>
                      <w:color w:val="000000"/>
                      <w:sz w:val="20"/>
                      <w:szCs w:val="20"/>
                    </w:rPr>
                    <w:t xml:space="preserve">M). </w:t>
                  </w:r>
                  <w:r w:rsidRPr="00FE15B4">
                    <w:rPr>
                      <w:rFonts w:ascii="Times New Roman" w:hAnsi="Times New Roman"/>
                      <w:color w:val="000000"/>
                      <w:sz w:val="20"/>
                      <w:szCs w:val="20"/>
                    </w:rPr>
                    <w:t xml:space="preserve">Como controlo foram utilizadas células MDA-MB-231 sem tratamento de extracto. Os valores vêm afectados dos erros padrões médios, obtidos pelos triplicados efectuados, independentemente, para cada uma das concentrações testadas. </w:t>
                  </w:r>
                </w:p>
                <w:p w:rsidR="00B766F9" w:rsidRPr="00E619FB" w:rsidRDefault="00B766F9" w:rsidP="006737F5">
                  <w:pPr>
                    <w:pStyle w:val="Legenda"/>
                    <w:rPr>
                      <w:rFonts w:ascii="Times New Roman" w:hAnsi="Times New Roman"/>
                      <w:noProof/>
                      <w:sz w:val="24"/>
                      <w:szCs w:val="24"/>
                    </w:rPr>
                  </w:pPr>
                </w:p>
              </w:txbxContent>
            </v:textbox>
            <w10:wrap type="tight"/>
          </v:shape>
        </w:pict>
      </w:r>
    </w:p>
    <w:p w:rsidR="006737F5" w:rsidRDefault="006737F5" w:rsidP="006737F5">
      <w:pPr>
        <w:pStyle w:val="PargrafodaLista"/>
        <w:tabs>
          <w:tab w:val="left" w:pos="993"/>
        </w:tabs>
        <w:ind w:left="1364"/>
        <w:jc w:val="both"/>
        <w:rPr>
          <w:rFonts w:ascii="Times New Roman" w:hAnsi="Times New Roman"/>
          <w:sz w:val="24"/>
          <w:szCs w:val="24"/>
        </w:rPr>
      </w:pPr>
    </w:p>
    <w:p w:rsidR="006737F5" w:rsidRPr="00D65C4B" w:rsidRDefault="006737F5" w:rsidP="00BC3839">
      <w:pPr>
        <w:pStyle w:val="PargrafodaLista"/>
        <w:tabs>
          <w:tab w:val="left" w:pos="993"/>
        </w:tabs>
        <w:ind w:left="0"/>
        <w:jc w:val="both"/>
        <w:rPr>
          <w:rFonts w:ascii="Times New Roman" w:hAnsi="Times New Roman"/>
          <w:sz w:val="24"/>
          <w:szCs w:val="24"/>
        </w:rPr>
      </w:pPr>
      <w:r>
        <w:rPr>
          <w:rFonts w:ascii="Times New Roman" w:hAnsi="Times New Roman"/>
          <w:sz w:val="24"/>
          <w:szCs w:val="24"/>
        </w:rPr>
        <w:tab/>
        <w:t>Através das percentagens de viabilidade celular das concentrações dos três extractos em es</w:t>
      </w:r>
      <w:r w:rsidR="00A34F9C">
        <w:rPr>
          <w:rFonts w:ascii="Times New Roman" w:hAnsi="Times New Roman"/>
          <w:sz w:val="24"/>
          <w:szCs w:val="24"/>
        </w:rPr>
        <w:t>tudo e do padrão de referência H</w:t>
      </w:r>
      <w:r>
        <w:rPr>
          <w:rFonts w:ascii="Times New Roman" w:hAnsi="Times New Roman"/>
          <w:sz w:val="24"/>
          <w:szCs w:val="24"/>
        </w:rPr>
        <w:t>idroxitirosol, determinaram-se os valores de IC</w:t>
      </w:r>
      <w:r w:rsidRPr="00081D99">
        <w:rPr>
          <w:rFonts w:ascii="Times New Roman" w:hAnsi="Times New Roman"/>
          <w:sz w:val="24"/>
          <w:szCs w:val="24"/>
          <w:vertAlign w:val="subscript"/>
        </w:rPr>
        <w:t>50</w:t>
      </w:r>
      <w:r>
        <w:rPr>
          <w:rFonts w:ascii="Times New Roman" w:hAnsi="Times New Roman"/>
          <w:sz w:val="24"/>
          <w:szCs w:val="24"/>
        </w:rPr>
        <w:t xml:space="preserve"> </w:t>
      </w:r>
      <w:r>
        <w:rPr>
          <w:rFonts w:ascii="Times New Roman" w:hAnsi="Times New Roman"/>
          <w:sz w:val="24"/>
        </w:rPr>
        <w:t>obtendo-se as curvas de dose resposta para cada extracto e respectivo padrão.</w:t>
      </w:r>
    </w:p>
    <w:p w:rsidR="006737F5" w:rsidRDefault="007B02FE" w:rsidP="006737F5">
      <w:pPr>
        <w:pStyle w:val="PargrafodaLista"/>
        <w:tabs>
          <w:tab w:val="left" w:pos="709"/>
        </w:tabs>
        <w:ind w:left="0"/>
        <w:jc w:val="center"/>
      </w:pPr>
      <w:r>
        <w:rPr>
          <w:noProof/>
          <w:lang w:eastAsia="pt-PT"/>
        </w:rPr>
        <w:pict>
          <v:shape id="_x0000_s1130" type="#_x0000_t202" style="position:absolute;left:0;text-align:left;margin-left:237.55pt;margin-top:107.9pt;width:123.2pt;height:27.75pt;z-index:251786240" filled="f" stroked="f">
            <v:textbox style="mso-next-textbox:#_x0000_s1130">
              <w:txbxContent>
                <w:p w:rsidR="00B766F9" w:rsidRPr="00EF0D51" w:rsidRDefault="00B766F9" w:rsidP="006737F5">
                  <w:pPr>
                    <w:rPr>
                      <w:sz w:val="20"/>
                    </w:rPr>
                  </w:pPr>
                  <w:r w:rsidRPr="00EF0D51">
                    <w:rPr>
                      <w:sz w:val="20"/>
                    </w:rPr>
                    <w:t>IC</w:t>
                  </w:r>
                  <w:r w:rsidRPr="00EF0D51">
                    <w:rPr>
                      <w:sz w:val="20"/>
                      <w:vertAlign w:val="subscript"/>
                    </w:rPr>
                    <w:t>50</w:t>
                  </w:r>
                  <w:r w:rsidRPr="00EF0D51">
                    <w:rPr>
                      <w:sz w:val="20"/>
                    </w:rPr>
                    <w:t xml:space="preserve"> = 359,93 ± 186µM</w:t>
                  </w:r>
                </w:p>
              </w:txbxContent>
            </v:textbox>
          </v:shape>
        </w:pict>
      </w:r>
      <w:r>
        <w:rPr>
          <w:noProof/>
          <w:lang w:eastAsia="pt-PT"/>
        </w:rPr>
        <w:pict>
          <v:shape id="_x0000_s1129" type="#_x0000_t32" style="position:absolute;left:0;text-align:left;margin-left:257.25pt;margin-top:134pt;width:0;height:71.05pt;z-index:251785216" o:connectortype="straight">
            <v:stroke dashstyle="dash"/>
          </v:shape>
        </w:pict>
      </w:r>
      <w:r>
        <w:rPr>
          <w:noProof/>
          <w:lang w:eastAsia="pt-PT"/>
        </w:rPr>
        <w:pict>
          <v:shape id="_x0000_s1128" type="#_x0000_t32" style="position:absolute;left:0;text-align:left;margin-left:100.55pt;margin-top:135.5pt;width:155.65pt;height:0;z-index:251784192" o:connectortype="straight">
            <v:stroke dashstyle="dash"/>
          </v:shape>
        </w:pict>
      </w:r>
      <w:r w:rsidR="00BC3839">
        <w:object w:dxaOrig="9296" w:dyaOrig="6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pt;height:262.35pt" o:ole="">
            <v:imagedata r:id="rId54" o:title=""/>
          </v:shape>
          <o:OLEObject Type="Embed" ProgID="SigmaPlotGraphicObject.10" ShapeID="_x0000_i1025" DrawAspect="Content" ObjectID="_1391773632" r:id="rId55"/>
        </w:object>
      </w:r>
    </w:p>
    <w:p w:rsidR="006737F5" w:rsidRPr="00F17BD0" w:rsidRDefault="006737F5" w:rsidP="00F17BD0">
      <w:pPr>
        <w:pStyle w:val="PargrafodaLista"/>
        <w:tabs>
          <w:tab w:val="left" w:pos="993"/>
        </w:tabs>
        <w:ind w:left="0"/>
        <w:jc w:val="both"/>
        <w:rPr>
          <w:rFonts w:ascii="Times New Roman" w:hAnsi="Times New Roman"/>
          <w:sz w:val="20"/>
          <w:szCs w:val="20"/>
        </w:rPr>
      </w:pPr>
      <w:r w:rsidRPr="00F17BD0">
        <w:rPr>
          <w:rFonts w:ascii="Times New Roman" w:hAnsi="Times New Roman"/>
          <w:b/>
          <w:color w:val="4F81BD" w:themeColor="accent1"/>
          <w:sz w:val="20"/>
          <w:szCs w:val="20"/>
        </w:rPr>
        <w:t>Figura 27 -</w:t>
      </w:r>
      <w:r w:rsidRPr="00257BFC">
        <w:rPr>
          <w:sz w:val="20"/>
        </w:rPr>
        <w:t xml:space="preserve"> </w:t>
      </w:r>
      <w:r w:rsidRPr="00F17BD0">
        <w:rPr>
          <w:rFonts w:ascii="Times New Roman" w:hAnsi="Times New Roman"/>
          <w:sz w:val="20"/>
          <w:szCs w:val="20"/>
        </w:rPr>
        <w:t>Determinação dos valores de IC</w:t>
      </w:r>
      <w:r w:rsidRPr="003A4190">
        <w:rPr>
          <w:rFonts w:ascii="Times New Roman" w:hAnsi="Times New Roman"/>
          <w:sz w:val="20"/>
          <w:szCs w:val="20"/>
          <w:vertAlign w:val="subscript"/>
        </w:rPr>
        <w:t>50</w:t>
      </w:r>
      <w:r w:rsidRPr="00F17BD0">
        <w:rPr>
          <w:rFonts w:ascii="Times New Roman" w:hAnsi="Times New Roman"/>
          <w:sz w:val="20"/>
          <w:szCs w:val="20"/>
        </w:rPr>
        <w:t xml:space="preserve"> relativos à viabilidade celular em termos de crescimento das células MDA-MB-231, incubadas durante 48h com concentrações crescentes de Hidroxitirosol. </w:t>
      </w:r>
      <w:r w:rsidR="00F17BD0" w:rsidRPr="00FE15B4">
        <w:rPr>
          <w:rFonts w:ascii="Times New Roman" w:hAnsi="Times New Roman"/>
          <w:sz w:val="20"/>
          <w:szCs w:val="20"/>
        </w:rPr>
        <w:t xml:space="preserve">Os valores vêm afectados dos erros padrões médios, obtidos pelos triplicados efectuados, independentemente, para cada uma das concentrações testadas. </w:t>
      </w:r>
    </w:p>
    <w:p w:rsidR="006737F5" w:rsidRPr="00257BFC" w:rsidRDefault="007B02FE" w:rsidP="006737F5">
      <w:pPr>
        <w:pStyle w:val="Legenda"/>
        <w:keepNext/>
        <w:jc w:val="center"/>
      </w:pPr>
      <w:r>
        <w:rPr>
          <w:noProof/>
          <w:lang w:eastAsia="pt-PT"/>
        </w:rPr>
        <w:lastRenderedPageBreak/>
        <w:pict>
          <v:shape id="_x0000_s1116" type="#_x0000_t202" style="position:absolute;left:0;text-align:left;margin-left:208.25pt;margin-top:85.25pt;width:151.2pt;height:27.75pt;z-index:251765760" filled="f" stroked="f">
            <v:textbox style="mso-next-textbox:#_x0000_s1116">
              <w:txbxContent>
                <w:p w:rsidR="00B766F9" w:rsidRPr="00EF0D51" w:rsidRDefault="00B766F9" w:rsidP="006737F5">
                  <w:pPr>
                    <w:rPr>
                      <w:sz w:val="20"/>
                    </w:rPr>
                  </w:pPr>
                  <w:r w:rsidRPr="00EF0D51">
                    <w:rPr>
                      <w:sz w:val="20"/>
                    </w:rPr>
                    <w:t>IC</w:t>
                  </w:r>
                  <w:r w:rsidRPr="00EF0D51">
                    <w:rPr>
                      <w:sz w:val="20"/>
                      <w:vertAlign w:val="subscript"/>
                    </w:rPr>
                    <w:t>50</w:t>
                  </w:r>
                  <w:r w:rsidRPr="00EF0D51">
                    <w:rPr>
                      <w:sz w:val="20"/>
                    </w:rPr>
                    <w:t xml:space="preserve"> = 36,23 ± 24,16µM</w:t>
                  </w:r>
                </w:p>
              </w:txbxContent>
            </v:textbox>
          </v:shape>
        </w:pict>
      </w:r>
      <w:r>
        <w:rPr>
          <w:noProof/>
          <w:lang w:eastAsia="pt-PT"/>
        </w:rPr>
        <w:pict>
          <v:shape id="_x0000_s1114" type="#_x0000_t32" style="position:absolute;left:0;text-align:left;margin-left:96.8pt;margin-top:98.8pt;width:111.45pt;height:0;z-index:251763712" o:connectortype="straight">
            <v:stroke dashstyle="dash"/>
          </v:shape>
        </w:pict>
      </w:r>
      <w:r>
        <w:rPr>
          <w:noProof/>
          <w:lang w:eastAsia="pt-PT"/>
        </w:rPr>
        <w:pict>
          <v:shape id="_x0000_s1115" type="#_x0000_t32" style="position:absolute;left:0;text-align:left;margin-left:208.25pt;margin-top:98.05pt;width:0;height:104.2pt;z-index:251764736" o:connectortype="straight">
            <v:stroke dashstyle="dash"/>
          </v:shape>
        </w:pict>
      </w:r>
      <w:r w:rsidR="006737F5">
        <w:object w:dxaOrig="9179" w:dyaOrig="6971">
          <v:shape id="_x0000_i1026" type="#_x0000_t75" style="width:4in;height:262.35pt" o:ole="">
            <v:imagedata r:id="rId56" o:title=""/>
          </v:shape>
          <o:OLEObject Type="Embed" ProgID="SigmaPlotGraphicObject.10" ShapeID="_x0000_i1026" DrawAspect="Content" ObjectID="_1391773633" r:id="rId57"/>
        </w:object>
      </w:r>
    </w:p>
    <w:p w:rsidR="006737F5" w:rsidRPr="00BC3839" w:rsidRDefault="006737F5" w:rsidP="00BC3839">
      <w:pPr>
        <w:pStyle w:val="PargrafodaLista"/>
        <w:tabs>
          <w:tab w:val="left" w:pos="993"/>
        </w:tabs>
        <w:ind w:left="0"/>
        <w:jc w:val="both"/>
        <w:rPr>
          <w:rFonts w:ascii="Times New Roman" w:hAnsi="Times New Roman"/>
          <w:sz w:val="20"/>
          <w:szCs w:val="20"/>
        </w:rPr>
      </w:pPr>
      <w:r w:rsidRPr="008E7E00">
        <w:rPr>
          <w:rFonts w:ascii="Times New Roman" w:hAnsi="Times New Roman"/>
          <w:b/>
          <w:color w:val="4F81BD" w:themeColor="accent1"/>
          <w:sz w:val="20"/>
        </w:rPr>
        <w:t>Figura 28 -</w:t>
      </w:r>
      <w:r w:rsidRPr="00257BFC">
        <w:rPr>
          <w:sz w:val="20"/>
        </w:rPr>
        <w:t xml:space="preserve"> </w:t>
      </w:r>
      <w:r w:rsidRPr="00F17BD0">
        <w:rPr>
          <w:rFonts w:ascii="Times New Roman" w:hAnsi="Times New Roman"/>
          <w:sz w:val="20"/>
          <w:szCs w:val="20"/>
        </w:rPr>
        <w:t>Determinação dos valores de IC</w:t>
      </w:r>
      <w:r w:rsidRPr="003A4190">
        <w:rPr>
          <w:rFonts w:ascii="Times New Roman" w:hAnsi="Times New Roman"/>
          <w:sz w:val="20"/>
          <w:szCs w:val="20"/>
          <w:vertAlign w:val="subscript"/>
        </w:rPr>
        <w:t>50</w:t>
      </w:r>
      <w:r w:rsidRPr="00F17BD0">
        <w:rPr>
          <w:rFonts w:ascii="Times New Roman" w:hAnsi="Times New Roman"/>
          <w:sz w:val="20"/>
          <w:szCs w:val="20"/>
        </w:rPr>
        <w:t xml:space="preserve"> relativos à viabilidade celular em termos de crescimento das células MDA-MB-231, incubadas durante 48h com concentrações crescentes de EB de BAE.</w:t>
      </w:r>
      <w:r w:rsidR="00F17BD0" w:rsidRPr="00F17BD0">
        <w:rPr>
          <w:rFonts w:ascii="Times New Roman" w:hAnsi="Times New Roman"/>
          <w:sz w:val="20"/>
          <w:szCs w:val="20"/>
        </w:rPr>
        <w:t xml:space="preserve"> </w:t>
      </w:r>
      <w:r w:rsidR="00F17BD0" w:rsidRPr="00FE15B4">
        <w:rPr>
          <w:rFonts w:ascii="Times New Roman" w:hAnsi="Times New Roman"/>
          <w:sz w:val="20"/>
          <w:szCs w:val="20"/>
        </w:rPr>
        <w:t xml:space="preserve">Os valores vêm afectados dos erros padrões médios, obtidos pelos triplicados efectuados, independentemente, para cada uma das concentrações testadas. </w:t>
      </w:r>
    </w:p>
    <w:p w:rsidR="006737F5" w:rsidRDefault="007B02FE" w:rsidP="006737F5">
      <w:pPr>
        <w:pStyle w:val="Legenda"/>
        <w:jc w:val="center"/>
      </w:pPr>
      <w:r w:rsidRPr="007B02FE">
        <w:rPr>
          <w:rFonts w:ascii="Times New Roman" w:hAnsi="Times New Roman"/>
          <w:b w:val="0"/>
          <w:noProof/>
          <w:sz w:val="20"/>
          <w:lang w:eastAsia="pt-PT"/>
        </w:rPr>
        <w:pict>
          <v:shape id="_x0000_s1118" type="#_x0000_t32" style="position:absolute;left:0;text-align:left;margin-left:102.45pt;margin-top:114.35pt;width:117.35pt;height:0;z-index:251767808" o:connectortype="straight">
            <v:stroke dashstyle="dash"/>
          </v:shape>
        </w:pict>
      </w:r>
      <w:r w:rsidRPr="007B02FE">
        <w:rPr>
          <w:rFonts w:ascii="Times New Roman" w:hAnsi="Times New Roman"/>
          <w:b w:val="0"/>
          <w:noProof/>
          <w:sz w:val="20"/>
          <w:lang w:eastAsia="pt-PT"/>
        </w:rPr>
        <w:pict>
          <v:shape id="_x0000_s1117" type="#_x0000_t202" style="position:absolute;left:0;text-align:left;margin-left:218.3pt;margin-top:95.6pt;width:118.9pt;height:27.75pt;z-index:251766784" filled="f" stroked="f">
            <v:textbox style="mso-next-textbox:#_x0000_s1117">
              <w:txbxContent>
                <w:p w:rsidR="00B766F9" w:rsidRPr="00EF0D51" w:rsidRDefault="00B766F9" w:rsidP="006737F5">
                  <w:pPr>
                    <w:rPr>
                      <w:sz w:val="20"/>
                    </w:rPr>
                  </w:pPr>
                  <w:r w:rsidRPr="00EF0D51">
                    <w:rPr>
                      <w:sz w:val="20"/>
                    </w:rPr>
                    <w:t>IC</w:t>
                  </w:r>
                  <w:r w:rsidRPr="00EF0D51">
                    <w:rPr>
                      <w:sz w:val="20"/>
                      <w:vertAlign w:val="subscript"/>
                    </w:rPr>
                    <w:t>50</w:t>
                  </w:r>
                  <w:r w:rsidRPr="00EF0D51">
                    <w:rPr>
                      <w:sz w:val="20"/>
                    </w:rPr>
                    <w:t xml:space="preserve"> = 23,00 ± 6,63µM</w:t>
                  </w:r>
                </w:p>
              </w:txbxContent>
            </v:textbox>
          </v:shape>
        </w:pict>
      </w:r>
      <w:r w:rsidRPr="007B02FE">
        <w:rPr>
          <w:rFonts w:ascii="Times New Roman" w:hAnsi="Times New Roman"/>
          <w:b w:val="0"/>
          <w:noProof/>
          <w:sz w:val="20"/>
          <w:lang w:eastAsia="pt-PT"/>
        </w:rPr>
        <w:pict>
          <v:shape id="_x0000_s1119" type="#_x0000_t32" style="position:absolute;left:0;text-align:left;margin-left:219.8pt;margin-top:114.35pt;width:0;height:104.85pt;z-index:251768832" o:connectortype="straight">
            <v:stroke dashstyle="dash"/>
          </v:shape>
        </w:pict>
      </w:r>
      <w:r w:rsidR="006737F5">
        <w:object w:dxaOrig="9296" w:dyaOrig="6971">
          <v:shape id="_x0000_i1027" type="#_x0000_t75" style="width:4in;height:277.35pt" o:ole="">
            <v:imagedata r:id="rId58" o:title=""/>
          </v:shape>
          <o:OLEObject Type="Embed" ProgID="SigmaPlotGraphicObject.10" ShapeID="_x0000_i1027" DrawAspect="Content" ObjectID="_1391773634" r:id="rId59"/>
        </w:object>
      </w:r>
    </w:p>
    <w:p w:rsidR="00F17BD0" w:rsidRPr="002A305E" w:rsidRDefault="006737F5" w:rsidP="00F17BD0">
      <w:pPr>
        <w:pStyle w:val="PargrafodaLista"/>
        <w:tabs>
          <w:tab w:val="left" w:pos="993"/>
        </w:tabs>
        <w:ind w:left="0"/>
        <w:jc w:val="both"/>
        <w:rPr>
          <w:rFonts w:ascii="Times New Roman" w:hAnsi="Times New Roman"/>
          <w:sz w:val="20"/>
          <w:szCs w:val="20"/>
        </w:rPr>
      </w:pPr>
      <w:r w:rsidRPr="00257BFC">
        <w:rPr>
          <w:rFonts w:ascii="Times New Roman" w:hAnsi="Times New Roman"/>
          <w:b/>
          <w:color w:val="4F81BD" w:themeColor="accent1"/>
          <w:sz w:val="20"/>
        </w:rPr>
        <w:t xml:space="preserve">Figura </w:t>
      </w:r>
      <w:r>
        <w:rPr>
          <w:rFonts w:ascii="Times New Roman" w:hAnsi="Times New Roman"/>
          <w:b/>
          <w:color w:val="4F81BD" w:themeColor="accent1"/>
          <w:sz w:val="20"/>
        </w:rPr>
        <w:t>29</w:t>
      </w:r>
      <w:r w:rsidRPr="00257BFC">
        <w:rPr>
          <w:rFonts w:ascii="Times New Roman" w:hAnsi="Times New Roman"/>
          <w:b/>
          <w:color w:val="4F81BD" w:themeColor="accent1"/>
          <w:sz w:val="20"/>
        </w:rPr>
        <w:t xml:space="preserve"> -</w:t>
      </w:r>
      <w:r w:rsidRPr="00257BFC">
        <w:rPr>
          <w:sz w:val="20"/>
        </w:rPr>
        <w:t xml:space="preserve"> </w:t>
      </w:r>
      <w:r>
        <w:rPr>
          <w:rFonts w:ascii="Times New Roman" w:hAnsi="Times New Roman"/>
          <w:sz w:val="20"/>
          <w:szCs w:val="20"/>
        </w:rPr>
        <w:t>D</w:t>
      </w:r>
      <w:r w:rsidRPr="00FE15B4">
        <w:rPr>
          <w:rFonts w:ascii="Times New Roman" w:hAnsi="Times New Roman"/>
          <w:sz w:val="20"/>
          <w:szCs w:val="20"/>
        </w:rPr>
        <w:t>eterminação dos valores de IC</w:t>
      </w:r>
      <w:r w:rsidRPr="00FE15B4">
        <w:rPr>
          <w:rFonts w:ascii="Times New Roman" w:hAnsi="Times New Roman"/>
          <w:sz w:val="20"/>
          <w:szCs w:val="20"/>
          <w:vertAlign w:val="subscript"/>
        </w:rPr>
        <w:t>50</w:t>
      </w:r>
      <w:r w:rsidRPr="00FE15B4">
        <w:rPr>
          <w:rFonts w:ascii="Times New Roman" w:hAnsi="Times New Roman"/>
          <w:sz w:val="20"/>
          <w:szCs w:val="20"/>
        </w:rPr>
        <w:t xml:space="preserve"> </w:t>
      </w:r>
      <w:r>
        <w:rPr>
          <w:rFonts w:ascii="Times New Roman" w:hAnsi="Times New Roman"/>
          <w:sz w:val="20"/>
          <w:szCs w:val="20"/>
        </w:rPr>
        <w:t>relativos à viabilidade celular em termos de crescimento</w:t>
      </w:r>
      <w:r w:rsidRPr="00FE15B4">
        <w:rPr>
          <w:rFonts w:ascii="Times New Roman" w:hAnsi="Times New Roman"/>
          <w:sz w:val="20"/>
          <w:szCs w:val="20"/>
        </w:rPr>
        <w:t xml:space="preserve"> d</w:t>
      </w:r>
      <w:r>
        <w:rPr>
          <w:rFonts w:ascii="Times New Roman" w:hAnsi="Times New Roman"/>
          <w:sz w:val="20"/>
          <w:szCs w:val="20"/>
        </w:rPr>
        <w:t>as células MDA-MB-231, incubadas durante 48h</w:t>
      </w:r>
      <w:r w:rsidRPr="00FE15B4">
        <w:rPr>
          <w:rFonts w:ascii="Times New Roman" w:hAnsi="Times New Roman"/>
          <w:sz w:val="20"/>
          <w:szCs w:val="20"/>
        </w:rPr>
        <w:t xml:space="preserve"> com concentrações </w:t>
      </w:r>
      <w:r>
        <w:rPr>
          <w:rFonts w:ascii="Times New Roman" w:hAnsi="Times New Roman"/>
          <w:sz w:val="20"/>
          <w:szCs w:val="20"/>
        </w:rPr>
        <w:t xml:space="preserve">crescentes </w:t>
      </w:r>
      <w:r w:rsidRPr="00FE15B4">
        <w:rPr>
          <w:rFonts w:ascii="Times New Roman" w:hAnsi="Times New Roman"/>
          <w:sz w:val="20"/>
          <w:szCs w:val="20"/>
        </w:rPr>
        <w:t xml:space="preserve">de </w:t>
      </w:r>
      <w:r>
        <w:rPr>
          <w:rFonts w:ascii="Times New Roman" w:hAnsi="Times New Roman"/>
          <w:sz w:val="20"/>
          <w:szCs w:val="20"/>
        </w:rPr>
        <w:t>EPC de BAE</w:t>
      </w:r>
      <w:r w:rsidRPr="00FE15B4">
        <w:rPr>
          <w:rFonts w:ascii="Times New Roman" w:hAnsi="Times New Roman"/>
          <w:sz w:val="20"/>
          <w:szCs w:val="20"/>
        </w:rPr>
        <w:t xml:space="preserve">. </w:t>
      </w:r>
      <w:r w:rsidR="00F17BD0" w:rsidRPr="00FE15B4">
        <w:rPr>
          <w:rFonts w:ascii="Times New Roman" w:hAnsi="Times New Roman"/>
          <w:sz w:val="20"/>
          <w:szCs w:val="20"/>
        </w:rPr>
        <w:t xml:space="preserve">Os valores vêm afectados dos erros padrões médios, obtidos pelos triplicados efectuados, independentemente, para cada uma das concentrações testadas. </w:t>
      </w:r>
    </w:p>
    <w:p w:rsidR="006737F5" w:rsidRPr="002A305E" w:rsidRDefault="006737F5" w:rsidP="006737F5">
      <w:pPr>
        <w:pStyle w:val="PargrafodaLista"/>
        <w:tabs>
          <w:tab w:val="left" w:pos="993"/>
        </w:tabs>
        <w:ind w:left="0"/>
        <w:jc w:val="both"/>
        <w:rPr>
          <w:rFonts w:ascii="Times New Roman" w:hAnsi="Times New Roman"/>
          <w:sz w:val="20"/>
          <w:szCs w:val="20"/>
        </w:rPr>
      </w:pPr>
    </w:p>
    <w:p w:rsidR="006737F5" w:rsidRDefault="007B02FE" w:rsidP="006737F5">
      <w:pPr>
        <w:pStyle w:val="PargrafodaLista"/>
        <w:tabs>
          <w:tab w:val="left" w:pos="993"/>
        </w:tabs>
        <w:ind w:left="0"/>
        <w:jc w:val="center"/>
      </w:pPr>
      <w:r w:rsidRPr="007B02FE">
        <w:rPr>
          <w:rFonts w:ascii="Times New Roman" w:hAnsi="Times New Roman"/>
          <w:b/>
          <w:noProof/>
          <w:color w:val="4F81BD" w:themeColor="accent1"/>
          <w:sz w:val="20"/>
          <w:lang w:eastAsia="pt-PT"/>
        </w:rPr>
        <w:lastRenderedPageBreak/>
        <w:pict>
          <v:shape id="_x0000_s1065" type="#_x0000_t32" style="position:absolute;left:0;text-align:left;margin-left:246.45pt;margin-top:130.5pt;width:0;height:89.2pt;z-index:251713536" o:connectortype="straight">
            <v:stroke dashstyle="dash"/>
          </v:shape>
        </w:pict>
      </w:r>
      <w:r w:rsidRPr="007B02FE">
        <w:rPr>
          <w:rFonts w:ascii="Times New Roman" w:hAnsi="Times New Roman"/>
          <w:b/>
          <w:noProof/>
          <w:color w:val="4F81BD" w:themeColor="accent1"/>
          <w:sz w:val="20"/>
          <w:lang w:eastAsia="pt-PT"/>
        </w:rPr>
        <w:pict>
          <v:shape id="_x0000_s1064" type="#_x0000_t32" style="position:absolute;left:0;text-align:left;margin-left:101.15pt;margin-top:129.95pt;width:145.3pt;height:0;z-index:251712512" o:connectortype="straight">
            <v:stroke dashstyle="dash"/>
          </v:shape>
        </w:pict>
      </w:r>
      <w:r w:rsidRPr="007B02FE">
        <w:rPr>
          <w:rFonts w:ascii="Times New Roman" w:hAnsi="Times New Roman"/>
          <w:b/>
          <w:noProof/>
          <w:color w:val="4F81BD" w:themeColor="accent1"/>
          <w:sz w:val="20"/>
          <w:lang w:eastAsia="pt-PT"/>
        </w:rPr>
        <w:pict>
          <v:shape id="_x0000_s1063" type="#_x0000_t202" style="position:absolute;left:0;text-align:left;margin-left:236.7pt;margin-top:111.7pt;width:189pt;height:27.75pt;z-index:251711488" filled="f" stroked="f">
            <v:textbox style="mso-next-textbox:#_x0000_s1063">
              <w:txbxContent>
                <w:p w:rsidR="00B766F9" w:rsidRPr="00EF0D51" w:rsidRDefault="00B766F9" w:rsidP="006737F5">
                  <w:pPr>
                    <w:rPr>
                      <w:sz w:val="20"/>
                    </w:rPr>
                  </w:pPr>
                  <w:r w:rsidRPr="00EF0D51">
                    <w:rPr>
                      <w:sz w:val="20"/>
                    </w:rPr>
                    <w:t>IC</w:t>
                  </w:r>
                  <w:r w:rsidRPr="00EF0D51">
                    <w:rPr>
                      <w:sz w:val="20"/>
                      <w:vertAlign w:val="subscript"/>
                    </w:rPr>
                    <w:t>50</w:t>
                  </w:r>
                  <w:r w:rsidRPr="00EF0D51">
                    <w:rPr>
                      <w:sz w:val="20"/>
                    </w:rPr>
                    <w:t xml:space="preserve"> = 94,60 ± 8,09µM</w:t>
                  </w:r>
                </w:p>
              </w:txbxContent>
            </v:textbox>
          </v:shape>
        </w:pict>
      </w:r>
      <w:r w:rsidR="00EF0D51">
        <w:object w:dxaOrig="9296" w:dyaOrig="6971">
          <v:shape id="_x0000_i1028" type="#_x0000_t75" style="width:293pt;height:277.35pt" o:ole="">
            <v:imagedata r:id="rId60" o:title=""/>
          </v:shape>
          <o:OLEObject Type="Embed" ProgID="SigmaPlotGraphicObject.10" ShapeID="_x0000_i1028" DrawAspect="Content" ObjectID="_1391773635" r:id="rId61"/>
        </w:object>
      </w:r>
    </w:p>
    <w:p w:rsidR="006737F5" w:rsidRDefault="006737F5" w:rsidP="006737F5">
      <w:pPr>
        <w:pStyle w:val="PargrafodaLista"/>
        <w:tabs>
          <w:tab w:val="left" w:pos="993"/>
        </w:tabs>
        <w:ind w:left="0"/>
        <w:jc w:val="both"/>
      </w:pPr>
    </w:p>
    <w:p w:rsidR="00F17BD0" w:rsidRPr="002A305E" w:rsidRDefault="006737F5" w:rsidP="00F17BD0">
      <w:pPr>
        <w:pStyle w:val="PargrafodaLista"/>
        <w:tabs>
          <w:tab w:val="left" w:pos="993"/>
        </w:tabs>
        <w:ind w:left="0"/>
        <w:jc w:val="both"/>
        <w:rPr>
          <w:rFonts w:ascii="Times New Roman" w:hAnsi="Times New Roman"/>
          <w:sz w:val="20"/>
          <w:szCs w:val="20"/>
        </w:rPr>
      </w:pPr>
      <w:r w:rsidRPr="002A305E">
        <w:rPr>
          <w:rFonts w:ascii="Times New Roman" w:hAnsi="Times New Roman"/>
          <w:b/>
          <w:color w:val="4F81BD" w:themeColor="accent1"/>
          <w:sz w:val="20"/>
        </w:rPr>
        <w:t xml:space="preserve">Figura </w:t>
      </w:r>
      <w:r>
        <w:rPr>
          <w:rFonts w:ascii="Times New Roman" w:hAnsi="Times New Roman"/>
          <w:b/>
          <w:color w:val="4F81BD" w:themeColor="accent1"/>
          <w:sz w:val="20"/>
        </w:rPr>
        <w:t>30</w:t>
      </w:r>
      <w:r w:rsidRPr="002A305E">
        <w:rPr>
          <w:rFonts w:ascii="Times New Roman" w:hAnsi="Times New Roman"/>
          <w:b/>
          <w:color w:val="4F81BD" w:themeColor="accent1"/>
          <w:sz w:val="20"/>
        </w:rPr>
        <w:t xml:space="preserve"> </w:t>
      </w:r>
      <w:r>
        <w:rPr>
          <w:rFonts w:ascii="Times New Roman" w:hAnsi="Times New Roman"/>
          <w:b/>
          <w:color w:val="4F81BD" w:themeColor="accent1"/>
          <w:sz w:val="20"/>
        </w:rPr>
        <w:t xml:space="preserve">- </w:t>
      </w:r>
      <w:r w:rsidRPr="004123E8">
        <w:rPr>
          <w:rFonts w:ascii="Times New Roman" w:hAnsi="Times New Roman"/>
          <w:sz w:val="20"/>
        </w:rPr>
        <w:t>D</w:t>
      </w:r>
      <w:r w:rsidRPr="00FE15B4">
        <w:rPr>
          <w:rFonts w:ascii="Times New Roman" w:hAnsi="Times New Roman"/>
          <w:sz w:val="20"/>
          <w:szCs w:val="20"/>
        </w:rPr>
        <w:t>eterminação dos valores de IC</w:t>
      </w:r>
      <w:r w:rsidRPr="00FE15B4">
        <w:rPr>
          <w:rFonts w:ascii="Times New Roman" w:hAnsi="Times New Roman"/>
          <w:sz w:val="20"/>
          <w:szCs w:val="20"/>
          <w:vertAlign w:val="subscript"/>
        </w:rPr>
        <w:t>50</w:t>
      </w:r>
      <w:r w:rsidRPr="00FE15B4">
        <w:rPr>
          <w:rFonts w:ascii="Times New Roman" w:hAnsi="Times New Roman"/>
          <w:sz w:val="20"/>
          <w:szCs w:val="20"/>
        </w:rPr>
        <w:t xml:space="preserve"> </w:t>
      </w:r>
      <w:r>
        <w:rPr>
          <w:rFonts w:ascii="Times New Roman" w:hAnsi="Times New Roman"/>
          <w:sz w:val="20"/>
          <w:szCs w:val="20"/>
        </w:rPr>
        <w:t>relativos à viabilidade celular em termos de crescimento</w:t>
      </w:r>
      <w:r w:rsidRPr="00FE15B4">
        <w:rPr>
          <w:rFonts w:ascii="Times New Roman" w:hAnsi="Times New Roman"/>
          <w:sz w:val="20"/>
          <w:szCs w:val="20"/>
        </w:rPr>
        <w:t xml:space="preserve"> d</w:t>
      </w:r>
      <w:r>
        <w:rPr>
          <w:rFonts w:ascii="Times New Roman" w:hAnsi="Times New Roman"/>
          <w:sz w:val="20"/>
          <w:szCs w:val="20"/>
        </w:rPr>
        <w:t>as células MDA-MB-231, incubadas durante 48h</w:t>
      </w:r>
      <w:r w:rsidRPr="00FE15B4">
        <w:rPr>
          <w:rFonts w:ascii="Times New Roman" w:hAnsi="Times New Roman"/>
          <w:sz w:val="20"/>
          <w:szCs w:val="20"/>
        </w:rPr>
        <w:t xml:space="preserve"> com concentrações </w:t>
      </w:r>
      <w:r>
        <w:rPr>
          <w:rFonts w:ascii="Times New Roman" w:hAnsi="Times New Roman"/>
          <w:sz w:val="20"/>
          <w:szCs w:val="20"/>
        </w:rPr>
        <w:t xml:space="preserve">crescentes </w:t>
      </w:r>
      <w:r w:rsidRPr="00FE15B4">
        <w:rPr>
          <w:rFonts w:ascii="Times New Roman" w:hAnsi="Times New Roman"/>
          <w:sz w:val="20"/>
          <w:szCs w:val="20"/>
        </w:rPr>
        <w:t xml:space="preserve">de </w:t>
      </w:r>
      <w:r>
        <w:rPr>
          <w:rFonts w:ascii="Times New Roman" w:hAnsi="Times New Roman"/>
          <w:sz w:val="20"/>
          <w:szCs w:val="20"/>
        </w:rPr>
        <w:t>ERC de BAE</w:t>
      </w:r>
      <w:r w:rsidRPr="00FE15B4">
        <w:rPr>
          <w:rFonts w:ascii="Times New Roman" w:hAnsi="Times New Roman"/>
          <w:sz w:val="20"/>
          <w:szCs w:val="20"/>
        </w:rPr>
        <w:t xml:space="preserve">. </w:t>
      </w:r>
      <w:r w:rsidR="00F17BD0" w:rsidRPr="00FE15B4">
        <w:rPr>
          <w:rFonts w:ascii="Times New Roman" w:hAnsi="Times New Roman"/>
          <w:sz w:val="20"/>
          <w:szCs w:val="20"/>
        </w:rPr>
        <w:t xml:space="preserve">Os valores vêm afectados dos erros padrões médios, obtidos pelos triplicados efectuados, independentemente, para cada uma das concentrações testadas. </w:t>
      </w:r>
    </w:p>
    <w:p w:rsidR="006737F5" w:rsidRDefault="006737F5" w:rsidP="006737F5">
      <w:pPr>
        <w:pStyle w:val="PargrafodaLista"/>
        <w:tabs>
          <w:tab w:val="left" w:pos="993"/>
        </w:tabs>
        <w:ind w:left="0"/>
        <w:jc w:val="both"/>
        <w:rPr>
          <w:rFonts w:ascii="Times New Roman" w:hAnsi="Times New Roman"/>
          <w:sz w:val="20"/>
          <w:szCs w:val="20"/>
        </w:rPr>
      </w:pPr>
    </w:p>
    <w:p w:rsidR="00A73250" w:rsidRPr="00EF0D51" w:rsidRDefault="00A73250" w:rsidP="006737F5">
      <w:pPr>
        <w:pStyle w:val="PargrafodaLista"/>
        <w:tabs>
          <w:tab w:val="left" w:pos="993"/>
        </w:tabs>
        <w:ind w:left="0"/>
        <w:jc w:val="both"/>
        <w:rPr>
          <w:rFonts w:ascii="Times New Roman" w:hAnsi="Times New Roman"/>
          <w:sz w:val="20"/>
          <w:szCs w:val="20"/>
        </w:rPr>
      </w:pPr>
    </w:p>
    <w:p w:rsidR="00A73250" w:rsidRPr="00A73250" w:rsidRDefault="00D05ECD" w:rsidP="00A73250">
      <w:pPr>
        <w:pStyle w:val="PargrafodaLista"/>
        <w:tabs>
          <w:tab w:val="left" w:pos="993"/>
        </w:tabs>
        <w:ind w:left="0"/>
        <w:jc w:val="both"/>
        <w:rPr>
          <w:rFonts w:ascii="Times New Roman" w:hAnsi="Times New Roman"/>
          <w:sz w:val="20"/>
          <w:szCs w:val="20"/>
        </w:rPr>
      </w:pPr>
      <w:r w:rsidRPr="00A73250">
        <w:rPr>
          <w:rFonts w:ascii="Times New Roman" w:hAnsi="Times New Roman"/>
          <w:b/>
          <w:color w:val="4F81BD" w:themeColor="accent1"/>
          <w:sz w:val="20"/>
          <w:szCs w:val="20"/>
        </w:rPr>
        <w:t xml:space="preserve"> </w:t>
      </w:r>
      <w:r w:rsidR="00A73250" w:rsidRPr="00A73250">
        <w:rPr>
          <w:rFonts w:ascii="Times New Roman" w:hAnsi="Times New Roman"/>
          <w:b/>
          <w:color w:val="4F81BD" w:themeColor="accent1"/>
          <w:sz w:val="20"/>
          <w:szCs w:val="20"/>
        </w:rPr>
        <w:t>Tabela IV -</w:t>
      </w:r>
      <w:r w:rsidR="00A73250" w:rsidRPr="00A73250">
        <w:rPr>
          <w:rFonts w:ascii="Times New Roman" w:hAnsi="Times New Roman"/>
          <w:sz w:val="20"/>
          <w:szCs w:val="20"/>
        </w:rPr>
        <w:t xml:space="preserve"> Valores de IC</w:t>
      </w:r>
      <w:r w:rsidR="00A73250" w:rsidRPr="00A73250">
        <w:rPr>
          <w:rFonts w:ascii="Times New Roman" w:hAnsi="Times New Roman"/>
          <w:sz w:val="20"/>
          <w:szCs w:val="20"/>
          <w:vertAlign w:val="subscript"/>
        </w:rPr>
        <w:t>50</w:t>
      </w:r>
      <w:r w:rsidR="00A73250" w:rsidRPr="00A73250">
        <w:rPr>
          <w:rFonts w:ascii="Times New Roman" w:hAnsi="Times New Roman"/>
          <w:sz w:val="20"/>
          <w:szCs w:val="20"/>
        </w:rPr>
        <w:t xml:space="preserve"> relativos à viabilidade celular determinada para a linha celular MDA-MB-231, incubadas dura</w:t>
      </w:r>
      <w:r w:rsidR="003F0E95">
        <w:rPr>
          <w:rFonts w:ascii="Times New Roman" w:hAnsi="Times New Roman"/>
          <w:sz w:val="20"/>
          <w:szCs w:val="20"/>
        </w:rPr>
        <w:t>n</w:t>
      </w:r>
      <w:r w:rsidR="00A73250" w:rsidRPr="00A73250">
        <w:rPr>
          <w:rFonts w:ascii="Times New Roman" w:hAnsi="Times New Roman"/>
          <w:sz w:val="20"/>
          <w:szCs w:val="20"/>
        </w:rPr>
        <w:t xml:space="preserve">te 48h com concentrações crescentes do padrão Hidroxitirosol, e dos três extractos derivados de BAE: EB, EPC e ERC. Os valores vêm afectados dos erros padrões médios, obtidos pelos triplicados efectuados, independentemente, para cada uma das concentrações testadas. </w:t>
      </w:r>
    </w:p>
    <w:tbl>
      <w:tblPr>
        <w:tblStyle w:val="Tabelacomgrelha"/>
        <w:tblpPr w:leftFromText="141" w:rightFromText="141" w:vertAnchor="page" w:horzAnchor="margin" w:tblpXSpec="center" w:tblpY="108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
        <w:gridCol w:w="1975"/>
        <w:gridCol w:w="1794"/>
      </w:tblGrid>
      <w:tr w:rsidR="00D05ECD" w:rsidTr="00D05ECD">
        <w:trPr>
          <w:trHeight w:val="271"/>
        </w:trPr>
        <w:tc>
          <w:tcPr>
            <w:tcW w:w="846" w:type="dxa"/>
            <w:vMerge w:val="restart"/>
            <w:vAlign w:val="center"/>
          </w:tcPr>
          <w:p w:rsidR="00D05ECD" w:rsidRDefault="00D05ECD" w:rsidP="00D05ECD">
            <w:pPr>
              <w:spacing w:after="0" w:line="240" w:lineRule="auto"/>
              <w:jc w:val="center"/>
            </w:pPr>
          </w:p>
        </w:tc>
        <w:tc>
          <w:tcPr>
            <w:tcW w:w="3769" w:type="dxa"/>
            <w:gridSpan w:val="2"/>
            <w:shd w:val="clear" w:color="auto" w:fill="244061" w:themeFill="accent1" w:themeFillShade="80"/>
            <w:vAlign w:val="center"/>
          </w:tcPr>
          <w:p w:rsidR="00D05ECD" w:rsidRPr="00F4192E" w:rsidRDefault="00D05ECD" w:rsidP="00D05ECD">
            <w:pPr>
              <w:spacing w:after="0" w:line="240" w:lineRule="auto"/>
              <w:jc w:val="center"/>
              <w:rPr>
                <w:b/>
              </w:rPr>
            </w:pPr>
            <w:r w:rsidRPr="00F4192E">
              <w:rPr>
                <w:b/>
                <w:sz w:val="24"/>
              </w:rPr>
              <w:t>IC</w:t>
            </w:r>
            <w:r w:rsidRPr="00F4192E">
              <w:rPr>
                <w:b/>
                <w:sz w:val="24"/>
                <w:vertAlign w:val="subscript"/>
              </w:rPr>
              <w:t>50</w:t>
            </w:r>
          </w:p>
        </w:tc>
      </w:tr>
      <w:tr w:rsidR="00D05ECD" w:rsidTr="00D05ECD">
        <w:trPr>
          <w:trHeight w:val="106"/>
        </w:trPr>
        <w:tc>
          <w:tcPr>
            <w:tcW w:w="846" w:type="dxa"/>
            <w:vMerge/>
            <w:vAlign w:val="center"/>
          </w:tcPr>
          <w:p w:rsidR="00D05ECD" w:rsidRDefault="00D05ECD" w:rsidP="00D05ECD">
            <w:pPr>
              <w:spacing w:after="0" w:line="240" w:lineRule="auto"/>
              <w:jc w:val="center"/>
            </w:pPr>
          </w:p>
        </w:tc>
        <w:tc>
          <w:tcPr>
            <w:tcW w:w="1975" w:type="dxa"/>
            <w:shd w:val="clear" w:color="auto" w:fill="DAEEF3" w:themeFill="accent5" w:themeFillTint="33"/>
            <w:vAlign w:val="center"/>
          </w:tcPr>
          <w:p w:rsidR="00D05ECD" w:rsidRPr="00A73250" w:rsidRDefault="00D05ECD" w:rsidP="00D05ECD">
            <w:pPr>
              <w:spacing w:after="0" w:line="240" w:lineRule="auto"/>
              <w:jc w:val="center"/>
              <w:rPr>
                <w:b/>
              </w:rPr>
            </w:pPr>
            <w:r>
              <w:rPr>
                <w:b/>
              </w:rPr>
              <w:t>µg/mL de extracto</w:t>
            </w:r>
          </w:p>
        </w:tc>
        <w:tc>
          <w:tcPr>
            <w:tcW w:w="1794" w:type="dxa"/>
            <w:shd w:val="clear" w:color="auto" w:fill="DAEEF3" w:themeFill="accent5" w:themeFillTint="33"/>
            <w:vAlign w:val="center"/>
          </w:tcPr>
          <w:p w:rsidR="00D05ECD" w:rsidRPr="00A73250" w:rsidRDefault="00D05ECD" w:rsidP="00D05ECD">
            <w:pPr>
              <w:spacing w:after="0" w:line="240" w:lineRule="auto"/>
              <w:jc w:val="center"/>
              <w:rPr>
                <w:b/>
              </w:rPr>
            </w:pPr>
            <w:r w:rsidRPr="00A73250">
              <w:rPr>
                <w:b/>
              </w:rPr>
              <w:t>µM de HT</w:t>
            </w:r>
          </w:p>
        </w:tc>
      </w:tr>
      <w:tr w:rsidR="00D05ECD" w:rsidTr="00D05ECD">
        <w:trPr>
          <w:trHeight w:val="296"/>
        </w:trPr>
        <w:tc>
          <w:tcPr>
            <w:tcW w:w="846" w:type="dxa"/>
            <w:shd w:val="clear" w:color="auto" w:fill="E36C0A" w:themeFill="accent6" w:themeFillShade="BF"/>
            <w:vAlign w:val="center"/>
          </w:tcPr>
          <w:p w:rsidR="00D05ECD" w:rsidRPr="00A73250" w:rsidRDefault="00D05ECD" w:rsidP="00D05ECD">
            <w:pPr>
              <w:spacing w:after="0" w:line="240" w:lineRule="auto"/>
              <w:jc w:val="center"/>
              <w:rPr>
                <w:b/>
              </w:rPr>
            </w:pPr>
            <w:r w:rsidRPr="00A73250">
              <w:rPr>
                <w:b/>
              </w:rPr>
              <w:t>HT</w:t>
            </w:r>
          </w:p>
        </w:tc>
        <w:tc>
          <w:tcPr>
            <w:tcW w:w="1975" w:type="dxa"/>
            <w:vAlign w:val="center"/>
          </w:tcPr>
          <w:p w:rsidR="00D05ECD" w:rsidRDefault="00D05ECD" w:rsidP="00D05ECD">
            <w:pPr>
              <w:spacing w:after="0" w:line="240" w:lineRule="auto"/>
              <w:jc w:val="center"/>
            </w:pPr>
            <w:r>
              <w:t>-</w:t>
            </w:r>
          </w:p>
        </w:tc>
        <w:tc>
          <w:tcPr>
            <w:tcW w:w="1794" w:type="dxa"/>
            <w:vAlign w:val="center"/>
          </w:tcPr>
          <w:p w:rsidR="00D05ECD" w:rsidRDefault="00D05ECD" w:rsidP="00D05ECD">
            <w:pPr>
              <w:spacing w:after="0" w:line="240" w:lineRule="auto"/>
              <w:jc w:val="center"/>
            </w:pPr>
            <w:r>
              <w:t>359,93 ± 186</w:t>
            </w:r>
          </w:p>
        </w:tc>
      </w:tr>
      <w:tr w:rsidR="00D05ECD" w:rsidTr="00D05ECD">
        <w:trPr>
          <w:trHeight w:val="296"/>
        </w:trPr>
        <w:tc>
          <w:tcPr>
            <w:tcW w:w="846" w:type="dxa"/>
            <w:shd w:val="clear" w:color="auto" w:fill="92D050"/>
            <w:vAlign w:val="center"/>
          </w:tcPr>
          <w:p w:rsidR="00D05ECD" w:rsidRPr="00A73250" w:rsidRDefault="00D05ECD" w:rsidP="00D05ECD">
            <w:pPr>
              <w:spacing w:after="0" w:line="240" w:lineRule="auto"/>
              <w:jc w:val="center"/>
              <w:rPr>
                <w:b/>
              </w:rPr>
            </w:pPr>
            <w:r w:rsidRPr="00A73250">
              <w:rPr>
                <w:b/>
              </w:rPr>
              <w:t>EB</w:t>
            </w:r>
          </w:p>
        </w:tc>
        <w:tc>
          <w:tcPr>
            <w:tcW w:w="1975" w:type="dxa"/>
            <w:vAlign w:val="center"/>
          </w:tcPr>
          <w:p w:rsidR="00D05ECD" w:rsidRDefault="00D05ECD" w:rsidP="00D05ECD">
            <w:pPr>
              <w:spacing w:after="0" w:line="240" w:lineRule="auto"/>
              <w:jc w:val="center"/>
            </w:pPr>
            <w:r>
              <w:t>454,44 ± 302,97</w:t>
            </w:r>
          </w:p>
        </w:tc>
        <w:tc>
          <w:tcPr>
            <w:tcW w:w="1794" w:type="dxa"/>
            <w:vAlign w:val="center"/>
          </w:tcPr>
          <w:p w:rsidR="00D05ECD" w:rsidRDefault="00D05ECD" w:rsidP="00D05ECD">
            <w:pPr>
              <w:spacing w:after="0" w:line="240" w:lineRule="auto"/>
              <w:jc w:val="center"/>
            </w:pPr>
            <w:r>
              <w:t>36,23 ± 24,16</w:t>
            </w:r>
          </w:p>
        </w:tc>
      </w:tr>
      <w:tr w:rsidR="00D05ECD" w:rsidTr="00D05ECD">
        <w:trPr>
          <w:trHeight w:val="278"/>
        </w:trPr>
        <w:tc>
          <w:tcPr>
            <w:tcW w:w="846" w:type="dxa"/>
            <w:shd w:val="clear" w:color="auto" w:fill="31849B" w:themeFill="accent5" w:themeFillShade="BF"/>
            <w:vAlign w:val="center"/>
          </w:tcPr>
          <w:p w:rsidR="00D05ECD" w:rsidRPr="00A73250" w:rsidRDefault="00D05ECD" w:rsidP="00D05ECD">
            <w:pPr>
              <w:spacing w:after="0" w:line="240" w:lineRule="auto"/>
              <w:jc w:val="center"/>
              <w:rPr>
                <w:b/>
              </w:rPr>
            </w:pPr>
            <w:r w:rsidRPr="00A73250">
              <w:rPr>
                <w:b/>
              </w:rPr>
              <w:t>EPC</w:t>
            </w:r>
          </w:p>
        </w:tc>
        <w:tc>
          <w:tcPr>
            <w:tcW w:w="1975" w:type="dxa"/>
            <w:shd w:val="clear" w:color="auto" w:fill="FFFFFF" w:themeFill="background1"/>
            <w:vAlign w:val="center"/>
          </w:tcPr>
          <w:p w:rsidR="00D05ECD" w:rsidRPr="00A73250" w:rsidRDefault="00D05ECD" w:rsidP="00D05ECD">
            <w:pPr>
              <w:spacing w:after="0" w:line="240" w:lineRule="auto"/>
              <w:jc w:val="center"/>
              <w:rPr>
                <w:b/>
              </w:rPr>
            </w:pPr>
            <w:r w:rsidRPr="00A73250">
              <w:rPr>
                <w:b/>
              </w:rPr>
              <w:t>736,96 ± 212,45</w:t>
            </w:r>
          </w:p>
        </w:tc>
        <w:tc>
          <w:tcPr>
            <w:tcW w:w="1794" w:type="dxa"/>
            <w:shd w:val="clear" w:color="auto" w:fill="FFFFFF" w:themeFill="background1"/>
            <w:vAlign w:val="center"/>
          </w:tcPr>
          <w:p w:rsidR="00D05ECD" w:rsidRPr="00A73250" w:rsidRDefault="00D05ECD" w:rsidP="00D05ECD">
            <w:pPr>
              <w:spacing w:after="0" w:line="240" w:lineRule="auto"/>
              <w:jc w:val="center"/>
              <w:rPr>
                <w:b/>
              </w:rPr>
            </w:pPr>
            <w:r w:rsidRPr="00A73250">
              <w:rPr>
                <w:b/>
              </w:rPr>
              <w:t>23,00 ± 6,63</w:t>
            </w:r>
          </w:p>
        </w:tc>
      </w:tr>
      <w:tr w:rsidR="00D05ECD" w:rsidTr="00D05ECD">
        <w:trPr>
          <w:trHeight w:val="278"/>
        </w:trPr>
        <w:tc>
          <w:tcPr>
            <w:tcW w:w="846" w:type="dxa"/>
            <w:shd w:val="clear" w:color="auto" w:fill="2BD39B"/>
            <w:vAlign w:val="center"/>
          </w:tcPr>
          <w:p w:rsidR="00D05ECD" w:rsidRPr="00A73250" w:rsidRDefault="00D05ECD" w:rsidP="00D05ECD">
            <w:pPr>
              <w:spacing w:after="0" w:line="240" w:lineRule="auto"/>
              <w:jc w:val="center"/>
              <w:rPr>
                <w:b/>
              </w:rPr>
            </w:pPr>
            <w:r w:rsidRPr="00A73250">
              <w:rPr>
                <w:b/>
              </w:rPr>
              <w:t>ERC</w:t>
            </w:r>
          </w:p>
        </w:tc>
        <w:tc>
          <w:tcPr>
            <w:tcW w:w="1975" w:type="dxa"/>
            <w:shd w:val="clear" w:color="auto" w:fill="FFFFFF" w:themeFill="background1"/>
            <w:vAlign w:val="center"/>
          </w:tcPr>
          <w:p w:rsidR="00D05ECD" w:rsidRDefault="00D05ECD" w:rsidP="00D05ECD">
            <w:pPr>
              <w:spacing w:after="0" w:line="240" w:lineRule="auto"/>
              <w:jc w:val="center"/>
            </w:pPr>
            <w:r>
              <w:t>1175,67 ± 100,55</w:t>
            </w:r>
          </w:p>
        </w:tc>
        <w:tc>
          <w:tcPr>
            <w:tcW w:w="1794" w:type="dxa"/>
            <w:shd w:val="clear" w:color="auto" w:fill="FFFFFF" w:themeFill="background1"/>
            <w:vAlign w:val="center"/>
          </w:tcPr>
          <w:p w:rsidR="00D05ECD" w:rsidRDefault="00D05ECD" w:rsidP="00D05ECD">
            <w:pPr>
              <w:spacing w:after="0" w:line="240" w:lineRule="auto"/>
              <w:jc w:val="center"/>
            </w:pPr>
            <w:r>
              <w:t>94,60 ± 8,09</w:t>
            </w:r>
          </w:p>
        </w:tc>
      </w:tr>
    </w:tbl>
    <w:p w:rsidR="00A73250" w:rsidRPr="00A73250" w:rsidRDefault="00A73250" w:rsidP="00A73250">
      <w:pPr>
        <w:pStyle w:val="Legenda"/>
        <w:keepNext/>
        <w:spacing w:line="276" w:lineRule="auto"/>
        <w:rPr>
          <w:rFonts w:ascii="Times New Roman" w:hAnsi="Times New Roman"/>
          <w:sz w:val="20"/>
          <w:szCs w:val="20"/>
        </w:rPr>
      </w:pPr>
    </w:p>
    <w:p w:rsidR="006737F5" w:rsidRDefault="006737F5" w:rsidP="006737F5">
      <w:pPr>
        <w:pStyle w:val="PargrafodaLista"/>
        <w:tabs>
          <w:tab w:val="left" w:pos="993"/>
        </w:tabs>
        <w:ind w:left="0"/>
        <w:jc w:val="both"/>
        <w:rPr>
          <w:rFonts w:ascii="Times New Roman" w:hAnsi="Times New Roman"/>
          <w:sz w:val="24"/>
        </w:rPr>
      </w:pPr>
    </w:p>
    <w:p w:rsidR="000C1367" w:rsidRDefault="006737F5" w:rsidP="00EF0D51">
      <w:pPr>
        <w:jc w:val="both"/>
        <w:rPr>
          <w:rFonts w:ascii="Times New Roman" w:hAnsi="Times New Roman"/>
          <w:sz w:val="24"/>
        </w:rPr>
      </w:pPr>
      <w:r w:rsidRPr="007A52EA">
        <w:rPr>
          <w:rFonts w:ascii="Times New Roman" w:hAnsi="Times New Roman"/>
          <w:sz w:val="24"/>
        </w:rPr>
        <w:tab/>
      </w:r>
    </w:p>
    <w:p w:rsidR="000C1367" w:rsidRDefault="000C1367" w:rsidP="00EF0D51">
      <w:pPr>
        <w:jc w:val="both"/>
        <w:rPr>
          <w:rFonts w:ascii="Times New Roman" w:hAnsi="Times New Roman"/>
          <w:sz w:val="24"/>
        </w:rPr>
      </w:pPr>
    </w:p>
    <w:p w:rsidR="00D05ECD" w:rsidRDefault="00D05ECD" w:rsidP="00EF0D51">
      <w:pPr>
        <w:jc w:val="both"/>
        <w:rPr>
          <w:rFonts w:ascii="Times New Roman" w:hAnsi="Times New Roman"/>
          <w:sz w:val="24"/>
        </w:rPr>
      </w:pPr>
    </w:p>
    <w:p w:rsidR="000C1367" w:rsidRDefault="000C1367" w:rsidP="00EF0D51">
      <w:pPr>
        <w:jc w:val="both"/>
        <w:rPr>
          <w:rFonts w:ascii="Times New Roman" w:hAnsi="Times New Roman"/>
          <w:sz w:val="24"/>
        </w:rPr>
      </w:pPr>
    </w:p>
    <w:p w:rsidR="007A52EA" w:rsidRDefault="007A52EA" w:rsidP="000C1367">
      <w:pPr>
        <w:ind w:firstLine="708"/>
        <w:jc w:val="both"/>
        <w:rPr>
          <w:sz w:val="23"/>
          <w:szCs w:val="23"/>
        </w:rPr>
      </w:pPr>
      <w:r w:rsidRPr="007A52EA">
        <w:rPr>
          <w:rFonts w:ascii="Times New Roman" w:hAnsi="Times New Roman"/>
          <w:sz w:val="24"/>
        </w:rPr>
        <w:t xml:space="preserve">As concentrações de extracto neste ensaio apresentam-se em </w:t>
      </w:r>
      <w:r w:rsidR="00031E6B">
        <w:rPr>
          <w:rFonts w:ascii="Times New Roman" w:hAnsi="Times New Roman"/>
          <w:sz w:val="24"/>
        </w:rPr>
        <w:t>duas unidades, mássica (</w:t>
      </w:r>
      <w:r w:rsidR="00031E6B" w:rsidRPr="00875385">
        <w:rPr>
          <w:rFonts w:ascii="Times New Roman" w:hAnsi="Times New Roman"/>
          <w:sz w:val="24"/>
        </w:rPr>
        <w:t>µ</w:t>
      </w:r>
      <w:r w:rsidR="00031E6B">
        <w:rPr>
          <w:rFonts w:ascii="Times New Roman" w:hAnsi="Times New Roman"/>
          <w:sz w:val="24"/>
        </w:rPr>
        <w:t>g/mL), e molar (</w:t>
      </w:r>
      <w:r w:rsidRPr="00875385">
        <w:rPr>
          <w:rFonts w:ascii="Times New Roman" w:hAnsi="Times New Roman"/>
          <w:sz w:val="24"/>
        </w:rPr>
        <w:t>µM</w:t>
      </w:r>
      <w:r w:rsidR="00031E6B">
        <w:rPr>
          <w:rFonts w:ascii="Times New Roman" w:hAnsi="Times New Roman"/>
          <w:sz w:val="24"/>
        </w:rPr>
        <w:t>) de Hidroxitirosol</w:t>
      </w:r>
      <w:r>
        <w:rPr>
          <w:rFonts w:ascii="Times New Roman" w:hAnsi="Times New Roman"/>
          <w:sz w:val="24"/>
        </w:rPr>
        <w:t xml:space="preserve"> presente na fracção fenólica de cada um dos três extractos, para assim existir um termo de comparação </w:t>
      </w:r>
      <w:r w:rsidR="00031E6B">
        <w:rPr>
          <w:rFonts w:ascii="Times New Roman" w:hAnsi="Times New Roman"/>
          <w:sz w:val="24"/>
        </w:rPr>
        <w:t>entre os valores obtidos de IC</w:t>
      </w:r>
      <w:r w:rsidR="00031E6B" w:rsidRPr="00031E6B">
        <w:rPr>
          <w:rFonts w:ascii="Times New Roman" w:hAnsi="Times New Roman"/>
          <w:sz w:val="24"/>
          <w:vertAlign w:val="subscript"/>
        </w:rPr>
        <w:t>50</w:t>
      </w:r>
      <w:r w:rsidR="00031E6B">
        <w:rPr>
          <w:rFonts w:ascii="Times New Roman" w:hAnsi="Times New Roman"/>
          <w:sz w:val="24"/>
        </w:rPr>
        <w:t xml:space="preserve"> entre os três extractos </w:t>
      </w:r>
      <w:r w:rsidR="00192313">
        <w:rPr>
          <w:rFonts w:ascii="Times New Roman" w:hAnsi="Times New Roman"/>
          <w:sz w:val="24"/>
        </w:rPr>
        <w:t xml:space="preserve">derivados de BAE </w:t>
      </w:r>
      <w:r>
        <w:rPr>
          <w:rFonts w:ascii="Times New Roman" w:hAnsi="Times New Roman"/>
          <w:sz w:val="24"/>
        </w:rPr>
        <w:t>e o co</w:t>
      </w:r>
      <w:r w:rsidR="00192313">
        <w:rPr>
          <w:rFonts w:ascii="Times New Roman" w:hAnsi="Times New Roman"/>
          <w:sz w:val="24"/>
        </w:rPr>
        <w:t>m</w:t>
      </w:r>
      <w:r>
        <w:rPr>
          <w:rFonts w:ascii="Times New Roman" w:hAnsi="Times New Roman"/>
          <w:sz w:val="24"/>
        </w:rPr>
        <w:t xml:space="preserve">posto fenólico de referência Hidroxitirosol. </w:t>
      </w:r>
      <w:r>
        <w:rPr>
          <w:sz w:val="23"/>
          <w:szCs w:val="23"/>
        </w:rPr>
        <w:t xml:space="preserve"> </w:t>
      </w:r>
    </w:p>
    <w:p w:rsidR="00483FB5" w:rsidRDefault="006737F5" w:rsidP="007A52EA">
      <w:pPr>
        <w:ind w:firstLine="708"/>
        <w:jc w:val="both"/>
        <w:rPr>
          <w:rFonts w:ascii="Times New Roman" w:hAnsi="Times New Roman"/>
          <w:sz w:val="24"/>
        </w:rPr>
      </w:pPr>
      <w:r w:rsidRPr="00012EDF">
        <w:rPr>
          <w:rFonts w:ascii="Times New Roman" w:hAnsi="Times New Roman"/>
          <w:sz w:val="24"/>
        </w:rPr>
        <w:lastRenderedPageBreak/>
        <w:t xml:space="preserve">Os resultados apresentados </w:t>
      </w:r>
      <w:r>
        <w:rPr>
          <w:rFonts w:ascii="Times New Roman" w:hAnsi="Times New Roman"/>
          <w:sz w:val="24"/>
        </w:rPr>
        <w:t xml:space="preserve">pelos gráficos de viabilidade celular </w:t>
      </w:r>
      <w:r w:rsidRPr="00012EDF">
        <w:rPr>
          <w:rFonts w:ascii="Times New Roman" w:hAnsi="Times New Roman"/>
          <w:sz w:val="24"/>
        </w:rPr>
        <w:t xml:space="preserve">sugerem uma </w:t>
      </w:r>
      <w:r>
        <w:rPr>
          <w:rFonts w:ascii="Times New Roman" w:hAnsi="Times New Roman"/>
          <w:sz w:val="24"/>
        </w:rPr>
        <w:t>actividade anti</w:t>
      </w:r>
      <w:r w:rsidR="003A4190">
        <w:rPr>
          <w:rFonts w:ascii="Times New Roman" w:hAnsi="Times New Roman"/>
          <w:sz w:val="24"/>
        </w:rPr>
        <w:t xml:space="preserve">proliferativa </w:t>
      </w:r>
      <w:r>
        <w:rPr>
          <w:rFonts w:ascii="Times New Roman" w:hAnsi="Times New Roman"/>
          <w:sz w:val="24"/>
        </w:rPr>
        <w:t>para os extractos de BAE: EB</w:t>
      </w:r>
      <w:r w:rsidR="003A4190">
        <w:rPr>
          <w:rFonts w:ascii="Times New Roman" w:hAnsi="Times New Roman"/>
          <w:sz w:val="24"/>
        </w:rPr>
        <w:t xml:space="preserve"> (Figura 24)</w:t>
      </w:r>
      <w:r>
        <w:rPr>
          <w:rFonts w:ascii="Times New Roman" w:hAnsi="Times New Roman"/>
          <w:sz w:val="24"/>
        </w:rPr>
        <w:t>, EPC</w:t>
      </w:r>
      <w:r w:rsidR="003A4190">
        <w:rPr>
          <w:rFonts w:ascii="Times New Roman" w:hAnsi="Times New Roman"/>
          <w:sz w:val="24"/>
        </w:rPr>
        <w:t xml:space="preserve"> (Figura 25)</w:t>
      </w:r>
      <w:r>
        <w:rPr>
          <w:rFonts w:ascii="Times New Roman" w:hAnsi="Times New Roman"/>
          <w:sz w:val="24"/>
        </w:rPr>
        <w:t>, e ERC</w:t>
      </w:r>
      <w:r w:rsidR="003A4190">
        <w:rPr>
          <w:rFonts w:ascii="Times New Roman" w:hAnsi="Times New Roman"/>
          <w:sz w:val="24"/>
        </w:rPr>
        <w:t xml:space="preserve"> (Figura 26)</w:t>
      </w:r>
      <w:r>
        <w:rPr>
          <w:rFonts w:ascii="Times New Roman" w:hAnsi="Times New Roman"/>
          <w:sz w:val="24"/>
        </w:rPr>
        <w:t xml:space="preserve">, </w:t>
      </w:r>
      <w:r w:rsidRPr="00012EDF">
        <w:rPr>
          <w:rFonts w:ascii="Times New Roman" w:hAnsi="Times New Roman"/>
          <w:sz w:val="24"/>
        </w:rPr>
        <w:t>em células de cancro da mama de fenóti</w:t>
      </w:r>
      <w:r>
        <w:rPr>
          <w:rFonts w:ascii="Times New Roman" w:hAnsi="Times New Roman"/>
          <w:sz w:val="24"/>
        </w:rPr>
        <w:t>po triplo negativo (MDA</w:t>
      </w:r>
      <w:r w:rsidR="00875385">
        <w:rPr>
          <w:rFonts w:ascii="Times New Roman" w:hAnsi="Times New Roman"/>
          <w:sz w:val="24"/>
        </w:rPr>
        <w:t>-MB-231)</w:t>
      </w:r>
      <w:r w:rsidR="00334C3B">
        <w:rPr>
          <w:rFonts w:ascii="Times New Roman" w:hAnsi="Times New Roman"/>
          <w:sz w:val="24"/>
        </w:rPr>
        <w:t>,</w:t>
      </w:r>
      <w:r w:rsidR="00875385">
        <w:rPr>
          <w:rFonts w:ascii="Times New Roman" w:hAnsi="Times New Roman"/>
          <w:sz w:val="24"/>
        </w:rPr>
        <w:t xml:space="preserve"> </w:t>
      </w:r>
      <w:r w:rsidR="00334C3B">
        <w:rPr>
          <w:rFonts w:ascii="Times New Roman" w:hAnsi="Times New Roman"/>
          <w:sz w:val="24"/>
        </w:rPr>
        <w:t>incubadas por um período de 48h com os referidos extractos</w:t>
      </w:r>
      <w:r w:rsidR="00E53BF7">
        <w:rPr>
          <w:rFonts w:ascii="Times New Roman" w:hAnsi="Times New Roman"/>
          <w:sz w:val="24"/>
        </w:rPr>
        <w:t xml:space="preserve">. A actividade antiproliferativa </w:t>
      </w:r>
      <w:r w:rsidR="00F71D83">
        <w:rPr>
          <w:rFonts w:ascii="Times New Roman" w:hAnsi="Times New Roman"/>
          <w:sz w:val="24"/>
        </w:rPr>
        <w:t>exercida pelos</w:t>
      </w:r>
      <w:r w:rsidR="00E53BF7">
        <w:rPr>
          <w:rFonts w:ascii="Times New Roman" w:hAnsi="Times New Roman"/>
          <w:sz w:val="24"/>
        </w:rPr>
        <w:t xml:space="preserve"> três </w:t>
      </w:r>
      <w:r w:rsidR="00F71D83">
        <w:rPr>
          <w:rFonts w:ascii="Times New Roman" w:hAnsi="Times New Roman"/>
          <w:sz w:val="24"/>
        </w:rPr>
        <w:t xml:space="preserve">extractos </w:t>
      </w:r>
      <w:r w:rsidR="00E53BF7">
        <w:rPr>
          <w:rFonts w:ascii="Times New Roman" w:hAnsi="Times New Roman"/>
          <w:sz w:val="24"/>
        </w:rPr>
        <w:t>na presente lin</w:t>
      </w:r>
      <w:r w:rsidR="00F71D83">
        <w:rPr>
          <w:rFonts w:ascii="Times New Roman" w:hAnsi="Times New Roman"/>
          <w:sz w:val="24"/>
        </w:rPr>
        <w:t>h</w:t>
      </w:r>
      <w:r w:rsidR="00E53BF7">
        <w:rPr>
          <w:rFonts w:ascii="Times New Roman" w:hAnsi="Times New Roman"/>
          <w:sz w:val="24"/>
        </w:rPr>
        <w:t xml:space="preserve">a celular </w:t>
      </w:r>
      <w:r w:rsidR="00F71D83">
        <w:rPr>
          <w:rFonts w:ascii="Times New Roman" w:hAnsi="Times New Roman"/>
          <w:sz w:val="24"/>
        </w:rPr>
        <w:t>observa-se</w:t>
      </w:r>
      <w:r w:rsidR="00E53BF7">
        <w:rPr>
          <w:rFonts w:ascii="Times New Roman" w:hAnsi="Times New Roman"/>
          <w:sz w:val="24"/>
        </w:rPr>
        <w:t xml:space="preserve"> pela inibição do</w:t>
      </w:r>
      <w:r w:rsidR="00F71D83">
        <w:rPr>
          <w:rFonts w:ascii="Times New Roman" w:hAnsi="Times New Roman"/>
          <w:sz w:val="24"/>
        </w:rPr>
        <w:t xml:space="preserve"> seu</w:t>
      </w:r>
      <w:r w:rsidR="00E53BF7">
        <w:rPr>
          <w:rFonts w:ascii="Times New Roman" w:hAnsi="Times New Roman"/>
          <w:sz w:val="24"/>
        </w:rPr>
        <w:t xml:space="preserve"> crescimento celular </w:t>
      </w:r>
      <w:r w:rsidR="00F71D83">
        <w:rPr>
          <w:rFonts w:ascii="Times New Roman" w:hAnsi="Times New Roman"/>
          <w:sz w:val="24"/>
        </w:rPr>
        <w:t>de</w:t>
      </w:r>
      <w:r w:rsidR="00165FE3">
        <w:rPr>
          <w:rFonts w:ascii="Times New Roman" w:hAnsi="Times New Roman"/>
          <w:sz w:val="24"/>
        </w:rPr>
        <w:t xml:space="preserve"> forma dose </w:t>
      </w:r>
      <w:r w:rsidR="00E53BF7">
        <w:rPr>
          <w:rFonts w:ascii="Times New Roman" w:hAnsi="Times New Roman"/>
          <w:sz w:val="24"/>
        </w:rPr>
        <w:t xml:space="preserve">dependente. </w:t>
      </w:r>
      <w:r w:rsidR="00B4072C">
        <w:rPr>
          <w:rFonts w:ascii="Times New Roman" w:hAnsi="Times New Roman"/>
          <w:sz w:val="24"/>
        </w:rPr>
        <w:t>Pela observação dos gráficos de percentagem de viabilidade celular obtidas nos três extractos</w:t>
      </w:r>
      <w:r w:rsidR="00575C51">
        <w:rPr>
          <w:rFonts w:ascii="Times New Roman" w:hAnsi="Times New Roman"/>
          <w:sz w:val="24"/>
        </w:rPr>
        <w:t xml:space="preserve">, </w:t>
      </w:r>
      <w:r w:rsidR="00A039D4">
        <w:rPr>
          <w:rFonts w:ascii="Times New Roman" w:hAnsi="Times New Roman"/>
          <w:sz w:val="24"/>
        </w:rPr>
        <w:t>verifica-se que o EPC à concentração de 468</w:t>
      </w:r>
      <w:r w:rsidR="00A039D4" w:rsidRPr="00875385">
        <w:rPr>
          <w:rFonts w:ascii="Times New Roman" w:hAnsi="Times New Roman"/>
          <w:sz w:val="24"/>
        </w:rPr>
        <w:t>µM</w:t>
      </w:r>
      <w:r w:rsidR="00A039D4">
        <w:rPr>
          <w:rFonts w:ascii="Times New Roman" w:hAnsi="Times New Roman"/>
          <w:sz w:val="24"/>
        </w:rPr>
        <w:t xml:space="preserve"> (</w:t>
      </w:r>
      <w:r w:rsidR="00031E6B">
        <w:rPr>
          <w:rFonts w:ascii="Times New Roman" w:hAnsi="Times New Roman"/>
          <w:sz w:val="24"/>
        </w:rPr>
        <w:t>F</w:t>
      </w:r>
      <w:r w:rsidR="00A039D4">
        <w:rPr>
          <w:rFonts w:ascii="Times New Roman" w:hAnsi="Times New Roman"/>
          <w:sz w:val="24"/>
        </w:rPr>
        <w:t>igura 25) apresentou uma percentagem de viabilidade celular próxima de zero, que para o ERC só se verificou a partir dos 483</w:t>
      </w:r>
      <w:r w:rsidR="00A039D4" w:rsidRPr="00875385">
        <w:rPr>
          <w:rFonts w:ascii="Times New Roman" w:hAnsi="Times New Roman"/>
          <w:sz w:val="24"/>
        </w:rPr>
        <w:t>µM</w:t>
      </w:r>
      <w:r w:rsidR="00A039D4">
        <w:rPr>
          <w:rFonts w:ascii="Times New Roman" w:hAnsi="Times New Roman"/>
          <w:sz w:val="24"/>
        </w:rPr>
        <w:t xml:space="preserve"> (</w:t>
      </w:r>
      <w:r w:rsidR="00031E6B">
        <w:rPr>
          <w:rFonts w:ascii="Times New Roman" w:hAnsi="Times New Roman"/>
          <w:sz w:val="24"/>
        </w:rPr>
        <w:t>F</w:t>
      </w:r>
      <w:r w:rsidR="00A039D4">
        <w:rPr>
          <w:rFonts w:ascii="Times New Roman" w:hAnsi="Times New Roman"/>
          <w:sz w:val="24"/>
        </w:rPr>
        <w:t>igura 26), e para o EB a partir dos 239</w:t>
      </w:r>
      <w:r w:rsidR="00A039D4" w:rsidRPr="00875385">
        <w:rPr>
          <w:rFonts w:ascii="Times New Roman" w:hAnsi="Times New Roman"/>
          <w:sz w:val="24"/>
        </w:rPr>
        <w:t>µM</w:t>
      </w:r>
      <w:r w:rsidR="00A039D4">
        <w:rPr>
          <w:rFonts w:ascii="Times New Roman" w:hAnsi="Times New Roman"/>
          <w:sz w:val="24"/>
        </w:rPr>
        <w:t xml:space="preserve">, oscilando até </w:t>
      </w:r>
      <w:r w:rsidR="007A52EA">
        <w:rPr>
          <w:rFonts w:ascii="Times New Roman" w:hAnsi="Times New Roman"/>
          <w:sz w:val="24"/>
        </w:rPr>
        <w:t>à concentração máxima testada de</w:t>
      </w:r>
      <w:r w:rsidR="00A039D4">
        <w:rPr>
          <w:rFonts w:ascii="Times New Roman" w:hAnsi="Times New Roman"/>
          <w:sz w:val="24"/>
        </w:rPr>
        <w:t xml:space="preserve"> 1196</w:t>
      </w:r>
      <w:r w:rsidR="00A039D4" w:rsidRPr="00875385">
        <w:rPr>
          <w:rFonts w:ascii="Times New Roman" w:hAnsi="Times New Roman"/>
          <w:sz w:val="24"/>
        </w:rPr>
        <w:t>µM</w:t>
      </w:r>
      <w:r w:rsidR="00A039D4">
        <w:rPr>
          <w:rFonts w:ascii="Times New Roman" w:hAnsi="Times New Roman"/>
          <w:sz w:val="24"/>
        </w:rPr>
        <w:t xml:space="preserve"> (</w:t>
      </w:r>
      <w:r w:rsidR="00031E6B">
        <w:rPr>
          <w:rFonts w:ascii="Times New Roman" w:hAnsi="Times New Roman"/>
          <w:sz w:val="24"/>
        </w:rPr>
        <w:t>F</w:t>
      </w:r>
      <w:r w:rsidR="00A039D4">
        <w:rPr>
          <w:rFonts w:ascii="Times New Roman" w:hAnsi="Times New Roman"/>
          <w:sz w:val="24"/>
        </w:rPr>
        <w:t xml:space="preserve">igura 24). Já no caso do fenol de referência, </w:t>
      </w:r>
      <w:r w:rsidR="007A52EA">
        <w:rPr>
          <w:rFonts w:ascii="Times New Roman" w:hAnsi="Times New Roman"/>
          <w:sz w:val="24"/>
        </w:rPr>
        <w:t xml:space="preserve">Hidroxitirosol, </w:t>
      </w:r>
      <w:r w:rsidR="00A039D4">
        <w:rPr>
          <w:rFonts w:ascii="Times New Roman" w:hAnsi="Times New Roman"/>
          <w:sz w:val="24"/>
        </w:rPr>
        <w:t xml:space="preserve">este só atinge valores de percentagem </w:t>
      </w:r>
      <w:r w:rsidR="007A52EA">
        <w:rPr>
          <w:rFonts w:ascii="Times New Roman" w:hAnsi="Times New Roman"/>
          <w:sz w:val="24"/>
        </w:rPr>
        <w:t>p</w:t>
      </w:r>
      <w:r w:rsidR="00A039D4">
        <w:rPr>
          <w:rFonts w:ascii="Times New Roman" w:hAnsi="Times New Roman"/>
          <w:sz w:val="24"/>
        </w:rPr>
        <w:t xml:space="preserve">róximos de zero de viabilidade </w:t>
      </w:r>
      <w:r w:rsidR="007A52EA">
        <w:rPr>
          <w:rFonts w:ascii="Times New Roman" w:hAnsi="Times New Roman"/>
          <w:sz w:val="24"/>
        </w:rPr>
        <w:t>celular aos 2595</w:t>
      </w:r>
      <w:r w:rsidR="007A52EA" w:rsidRPr="00875385">
        <w:rPr>
          <w:rFonts w:ascii="Times New Roman" w:hAnsi="Times New Roman"/>
          <w:sz w:val="24"/>
        </w:rPr>
        <w:t>µM</w:t>
      </w:r>
      <w:r w:rsidR="007A52EA">
        <w:rPr>
          <w:rFonts w:ascii="Times New Roman" w:hAnsi="Times New Roman"/>
          <w:sz w:val="24"/>
        </w:rPr>
        <w:t>, oscilando bastante até à concentração mais elevada testada de 6487</w:t>
      </w:r>
      <w:r w:rsidR="007A52EA" w:rsidRPr="00875385">
        <w:rPr>
          <w:rFonts w:ascii="Times New Roman" w:hAnsi="Times New Roman"/>
          <w:sz w:val="24"/>
        </w:rPr>
        <w:t>µM</w:t>
      </w:r>
      <w:r w:rsidR="007A52EA">
        <w:rPr>
          <w:rFonts w:ascii="Times New Roman" w:hAnsi="Times New Roman"/>
          <w:sz w:val="24"/>
        </w:rPr>
        <w:t>,</w:t>
      </w:r>
      <w:r w:rsidR="007A52EA" w:rsidRPr="007A52EA">
        <w:rPr>
          <w:rFonts w:ascii="Times New Roman" w:hAnsi="Times New Roman"/>
          <w:sz w:val="24"/>
        </w:rPr>
        <w:t xml:space="preserve"> </w:t>
      </w:r>
      <w:r w:rsidR="007A52EA">
        <w:rPr>
          <w:rFonts w:ascii="Times New Roman" w:hAnsi="Times New Roman"/>
          <w:sz w:val="24"/>
        </w:rPr>
        <w:t>sem nunca atingir completamente o valor zero de perce</w:t>
      </w:r>
      <w:r w:rsidR="00031E6B">
        <w:rPr>
          <w:rFonts w:ascii="Times New Roman" w:hAnsi="Times New Roman"/>
          <w:sz w:val="24"/>
        </w:rPr>
        <w:t>ntagem de viabilidade celular (F</w:t>
      </w:r>
      <w:r w:rsidR="007A52EA">
        <w:rPr>
          <w:rFonts w:ascii="Times New Roman" w:hAnsi="Times New Roman"/>
          <w:sz w:val="24"/>
        </w:rPr>
        <w:t xml:space="preserve">igura 23). </w:t>
      </w:r>
    </w:p>
    <w:p w:rsidR="00053808" w:rsidRPr="00053808" w:rsidRDefault="00053808" w:rsidP="00483FB5">
      <w:pPr>
        <w:ind w:firstLine="708"/>
        <w:jc w:val="both"/>
        <w:rPr>
          <w:rFonts w:ascii="Times New Roman" w:hAnsi="Times New Roman"/>
          <w:sz w:val="24"/>
        </w:rPr>
      </w:pPr>
      <w:r>
        <w:rPr>
          <w:rFonts w:ascii="Times New Roman" w:hAnsi="Times New Roman"/>
          <w:sz w:val="24"/>
        </w:rPr>
        <w:t>Analisando os valores de IC</w:t>
      </w:r>
      <w:r w:rsidRPr="00053808">
        <w:rPr>
          <w:rFonts w:ascii="Times New Roman" w:hAnsi="Times New Roman"/>
          <w:sz w:val="24"/>
          <w:vertAlign w:val="subscript"/>
        </w:rPr>
        <w:t>50</w:t>
      </w:r>
      <w:r>
        <w:rPr>
          <w:rFonts w:ascii="Times New Roman" w:hAnsi="Times New Roman"/>
          <w:sz w:val="24"/>
        </w:rPr>
        <w:t xml:space="preserve"> em unidade de massa (Tabela IV) o EB apresenta o IC</w:t>
      </w:r>
      <w:r w:rsidRPr="00053808">
        <w:rPr>
          <w:rFonts w:ascii="Times New Roman" w:hAnsi="Times New Roman"/>
          <w:sz w:val="24"/>
          <w:vertAlign w:val="subscript"/>
        </w:rPr>
        <w:t>50</w:t>
      </w:r>
      <w:r w:rsidRPr="00053808">
        <w:rPr>
          <w:rFonts w:ascii="Times New Roman" w:hAnsi="Times New Roman"/>
          <w:sz w:val="24"/>
        </w:rPr>
        <w:t xml:space="preserve"> mais </w:t>
      </w:r>
      <w:r>
        <w:rPr>
          <w:rFonts w:ascii="Times New Roman" w:hAnsi="Times New Roman"/>
          <w:sz w:val="24"/>
        </w:rPr>
        <w:t>baixo de entre os três extractos (IC</w:t>
      </w:r>
      <w:r w:rsidRPr="00053808">
        <w:rPr>
          <w:rFonts w:ascii="Times New Roman" w:hAnsi="Times New Roman"/>
          <w:sz w:val="24"/>
          <w:vertAlign w:val="subscript"/>
        </w:rPr>
        <w:t>50</w:t>
      </w:r>
      <w:r>
        <w:rPr>
          <w:rFonts w:ascii="Times New Roman" w:hAnsi="Times New Roman"/>
          <w:sz w:val="24"/>
        </w:rPr>
        <w:t>=</w:t>
      </w:r>
      <w:r w:rsidRPr="00053808">
        <w:rPr>
          <w:rFonts w:ascii="Times New Roman" w:hAnsi="Times New Roman"/>
          <w:sz w:val="24"/>
        </w:rPr>
        <w:t>454,44 ± 302,97</w:t>
      </w:r>
      <w:r w:rsidRPr="00875385">
        <w:rPr>
          <w:rFonts w:ascii="Times New Roman" w:hAnsi="Times New Roman"/>
          <w:sz w:val="24"/>
        </w:rPr>
        <w:t>µ</w:t>
      </w:r>
      <w:r>
        <w:rPr>
          <w:rFonts w:ascii="Times New Roman" w:hAnsi="Times New Roman"/>
          <w:sz w:val="24"/>
        </w:rPr>
        <w:t>g/mL), seguido do EPC (IC</w:t>
      </w:r>
      <w:r w:rsidRPr="00053808">
        <w:rPr>
          <w:rFonts w:ascii="Times New Roman" w:hAnsi="Times New Roman"/>
          <w:sz w:val="24"/>
          <w:vertAlign w:val="subscript"/>
        </w:rPr>
        <w:t>50</w:t>
      </w:r>
      <w:r>
        <w:rPr>
          <w:rFonts w:ascii="Times New Roman" w:hAnsi="Times New Roman"/>
          <w:sz w:val="24"/>
        </w:rPr>
        <w:t>=</w:t>
      </w:r>
      <w:r w:rsidRPr="00053808">
        <w:rPr>
          <w:rFonts w:ascii="Times New Roman" w:hAnsi="Times New Roman"/>
          <w:sz w:val="24"/>
        </w:rPr>
        <w:t>736,96 ± 212,45</w:t>
      </w:r>
      <w:r w:rsidRPr="00875385">
        <w:rPr>
          <w:rFonts w:ascii="Times New Roman" w:hAnsi="Times New Roman"/>
          <w:sz w:val="24"/>
        </w:rPr>
        <w:t>µ</w:t>
      </w:r>
      <w:r>
        <w:rPr>
          <w:rFonts w:ascii="Times New Roman" w:hAnsi="Times New Roman"/>
          <w:sz w:val="24"/>
        </w:rPr>
        <w:t>g/mL</w:t>
      </w:r>
      <w:r w:rsidRPr="00053808">
        <w:rPr>
          <w:rFonts w:ascii="Times New Roman" w:hAnsi="Times New Roman"/>
          <w:sz w:val="24"/>
        </w:rPr>
        <w:t>)</w:t>
      </w:r>
      <w:r>
        <w:rPr>
          <w:rFonts w:ascii="Times New Roman" w:hAnsi="Times New Roman"/>
          <w:sz w:val="24"/>
        </w:rPr>
        <w:t>, e por fim do ERC (IC</w:t>
      </w:r>
      <w:r w:rsidRPr="00053808">
        <w:rPr>
          <w:rFonts w:ascii="Times New Roman" w:hAnsi="Times New Roman"/>
          <w:sz w:val="24"/>
          <w:vertAlign w:val="subscript"/>
        </w:rPr>
        <w:t>50</w:t>
      </w:r>
      <w:r>
        <w:rPr>
          <w:rFonts w:ascii="Times New Roman" w:hAnsi="Times New Roman"/>
          <w:sz w:val="24"/>
        </w:rPr>
        <w:t>=</w:t>
      </w:r>
      <w:r w:rsidRPr="00053808">
        <w:rPr>
          <w:rFonts w:ascii="Times New Roman" w:hAnsi="Times New Roman"/>
          <w:sz w:val="24"/>
        </w:rPr>
        <w:t>1175,67 ± 100,55</w:t>
      </w:r>
      <w:r w:rsidRPr="00875385">
        <w:rPr>
          <w:rFonts w:ascii="Times New Roman" w:hAnsi="Times New Roman"/>
          <w:sz w:val="24"/>
        </w:rPr>
        <w:t>µ</w:t>
      </w:r>
      <w:r>
        <w:rPr>
          <w:rFonts w:ascii="Times New Roman" w:hAnsi="Times New Roman"/>
          <w:sz w:val="24"/>
        </w:rPr>
        <w:t xml:space="preserve">g/mL). Mas na conversão destes valores para molaridade, de acordo com a concentração de Hidroxitirosol presente em cada extracto quantificada anteriormente </w:t>
      </w:r>
      <w:r w:rsidR="003F0E95">
        <w:rPr>
          <w:rFonts w:ascii="Times New Roman" w:hAnsi="Times New Roman"/>
          <w:sz w:val="24"/>
        </w:rPr>
        <w:t>(Figura 19), a ordem anterior altera-se, passando o EPC a ser o extracto com o IC</w:t>
      </w:r>
      <w:r w:rsidR="003F0E95" w:rsidRPr="00012EDF">
        <w:rPr>
          <w:rFonts w:ascii="Times New Roman" w:hAnsi="Times New Roman"/>
          <w:sz w:val="24"/>
          <w:vertAlign w:val="subscript"/>
        </w:rPr>
        <w:t>50</w:t>
      </w:r>
      <w:r w:rsidR="003F0E95">
        <w:rPr>
          <w:rFonts w:ascii="Times New Roman" w:hAnsi="Times New Roman"/>
          <w:sz w:val="24"/>
        </w:rPr>
        <w:t xml:space="preserve"> mais baixo (</w:t>
      </w:r>
      <w:r w:rsidR="003F0E95" w:rsidRPr="00701F79">
        <w:rPr>
          <w:rFonts w:ascii="Times New Roman" w:hAnsi="Times New Roman"/>
          <w:sz w:val="24"/>
        </w:rPr>
        <w:t>IC</w:t>
      </w:r>
      <w:r w:rsidR="003F0E95" w:rsidRPr="00701F79">
        <w:rPr>
          <w:rFonts w:ascii="Times New Roman" w:hAnsi="Times New Roman"/>
          <w:sz w:val="24"/>
          <w:vertAlign w:val="subscript"/>
        </w:rPr>
        <w:t>50</w:t>
      </w:r>
      <w:r w:rsidR="003F0E95">
        <w:rPr>
          <w:rFonts w:ascii="Times New Roman" w:hAnsi="Times New Roman"/>
          <w:sz w:val="24"/>
        </w:rPr>
        <w:t>=</w:t>
      </w:r>
      <w:r w:rsidR="003F0E95" w:rsidRPr="00701F79">
        <w:rPr>
          <w:rFonts w:ascii="Times New Roman" w:hAnsi="Times New Roman"/>
          <w:sz w:val="24"/>
        </w:rPr>
        <w:t>23,00 ± 6,63µM</w:t>
      </w:r>
      <w:r w:rsidR="003F0E95">
        <w:rPr>
          <w:rFonts w:ascii="Times New Roman" w:hAnsi="Times New Roman"/>
          <w:sz w:val="24"/>
        </w:rPr>
        <w:t>) (Figura 29), seguido do EB (</w:t>
      </w:r>
      <w:r w:rsidR="003F0E95" w:rsidRPr="00875385">
        <w:rPr>
          <w:rFonts w:ascii="Times New Roman" w:hAnsi="Times New Roman"/>
          <w:sz w:val="24"/>
        </w:rPr>
        <w:t>IC</w:t>
      </w:r>
      <w:r w:rsidR="003F0E95" w:rsidRPr="00875385">
        <w:rPr>
          <w:rFonts w:ascii="Times New Roman" w:hAnsi="Times New Roman"/>
          <w:sz w:val="24"/>
          <w:vertAlign w:val="subscript"/>
        </w:rPr>
        <w:t>50</w:t>
      </w:r>
      <w:r w:rsidR="003F0E95">
        <w:rPr>
          <w:rFonts w:ascii="Times New Roman" w:hAnsi="Times New Roman"/>
          <w:sz w:val="24"/>
        </w:rPr>
        <w:t>=</w:t>
      </w:r>
      <w:r w:rsidR="003F0E95" w:rsidRPr="00875385">
        <w:rPr>
          <w:rFonts w:ascii="Times New Roman" w:hAnsi="Times New Roman"/>
          <w:sz w:val="24"/>
        </w:rPr>
        <w:t>36,23 ± 24,16µM</w:t>
      </w:r>
      <w:r w:rsidR="003F0E95">
        <w:rPr>
          <w:rFonts w:ascii="Times New Roman" w:hAnsi="Times New Roman"/>
          <w:sz w:val="24"/>
        </w:rPr>
        <w:t>) (Figura 28), e por fim do ERC (</w:t>
      </w:r>
      <w:r w:rsidR="003F0E95" w:rsidRPr="00875385">
        <w:rPr>
          <w:rFonts w:ascii="Times New Roman" w:hAnsi="Times New Roman"/>
          <w:sz w:val="24"/>
        </w:rPr>
        <w:t>IC</w:t>
      </w:r>
      <w:r w:rsidR="003F0E95" w:rsidRPr="00875385">
        <w:rPr>
          <w:rFonts w:ascii="Times New Roman" w:hAnsi="Times New Roman"/>
          <w:sz w:val="24"/>
          <w:vertAlign w:val="subscript"/>
        </w:rPr>
        <w:t>50</w:t>
      </w:r>
      <w:r w:rsidR="003F0E95">
        <w:rPr>
          <w:rFonts w:ascii="Times New Roman" w:hAnsi="Times New Roman"/>
          <w:sz w:val="24"/>
        </w:rPr>
        <w:t>=94,60±8,09µM)</w:t>
      </w:r>
      <w:r w:rsidR="003F0E95">
        <w:t xml:space="preserve"> </w:t>
      </w:r>
      <w:r w:rsidR="003F0E95">
        <w:rPr>
          <w:rFonts w:ascii="Times New Roman" w:hAnsi="Times New Roman"/>
          <w:sz w:val="24"/>
        </w:rPr>
        <w:t>(Figuras 30). Possivelmente isto deverse-á ao grau de pureza superior do EPC em Hidroxitirosol (Tabela III).</w:t>
      </w:r>
    </w:p>
    <w:p w:rsidR="007E37B5" w:rsidRDefault="00875385" w:rsidP="00D50227">
      <w:pPr>
        <w:autoSpaceDE w:val="0"/>
        <w:autoSpaceDN w:val="0"/>
        <w:adjustRightInd w:val="0"/>
        <w:spacing w:after="0"/>
        <w:ind w:firstLine="708"/>
        <w:jc w:val="both"/>
        <w:rPr>
          <w:rFonts w:ascii="Times New Roman" w:eastAsia="Times New Roman" w:hAnsi="Times New Roman"/>
          <w:sz w:val="24"/>
          <w:szCs w:val="24"/>
          <w:lang w:eastAsia="pt-PT"/>
        </w:rPr>
      </w:pPr>
      <w:r>
        <w:rPr>
          <w:rFonts w:ascii="Times New Roman" w:hAnsi="Times New Roman"/>
          <w:sz w:val="24"/>
        </w:rPr>
        <w:t>O EPC demo</w:t>
      </w:r>
      <w:r w:rsidR="00334C3B">
        <w:rPr>
          <w:rFonts w:ascii="Times New Roman" w:hAnsi="Times New Roman"/>
          <w:sz w:val="24"/>
        </w:rPr>
        <w:t>n</w:t>
      </w:r>
      <w:r>
        <w:rPr>
          <w:rFonts w:ascii="Times New Roman" w:hAnsi="Times New Roman"/>
          <w:sz w:val="24"/>
        </w:rPr>
        <w:t>strou também um valor de IC</w:t>
      </w:r>
      <w:r w:rsidRPr="00875385">
        <w:rPr>
          <w:rFonts w:ascii="Times New Roman" w:hAnsi="Times New Roman"/>
          <w:sz w:val="24"/>
          <w:vertAlign w:val="subscript"/>
        </w:rPr>
        <w:t>50</w:t>
      </w:r>
      <w:r>
        <w:rPr>
          <w:rFonts w:ascii="Times New Roman" w:hAnsi="Times New Roman"/>
          <w:sz w:val="24"/>
        </w:rPr>
        <w:t xml:space="preserve"> </w:t>
      </w:r>
      <w:r w:rsidR="00B17406">
        <w:rPr>
          <w:rFonts w:ascii="Times New Roman" w:hAnsi="Times New Roman"/>
          <w:sz w:val="24"/>
        </w:rPr>
        <w:t>inferior</w:t>
      </w:r>
      <w:r>
        <w:rPr>
          <w:rFonts w:ascii="Times New Roman" w:hAnsi="Times New Roman"/>
          <w:sz w:val="24"/>
        </w:rPr>
        <w:t xml:space="preserve"> ao padrão de referência utilizado, o composto fenólico Hidroxitirosol (IC</w:t>
      </w:r>
      <w:r w:rsidRPr="00875385">
        <w:rPr>
          <w:rFonts w:ascii="Times New Roman" w:hAnsi="Times New Roman"/>
          <w:sz w:val="24"/>
          <w:vertAlign w:val="subscript"/>
        </w:rPr>
        <w:t>50</w:t>
      </w:r>
      <w:r w:rsidRPr="00875385">
        <w:rPr>
          <w:rFonts w:ascii="Times New Roman" w:hAnsi="Times New Roman"/>
          <w:sz w:val="24"/>
        </w:rPr>
        <w:t>=</w:t>
      </w:r>
      <w:r w:rsidRPr="001C5438">
        <w:rPr>
          <w:rFonts w:ascii="Times New Roman" w:hAnsi="Times New Roman"/>
          <w:sz w:val="24"/>
        </w:rPr>
        <w:t>359,93 ± 186µM)</w:t>
      </w:r>
      <w:r>
        <w:rPr>
          <w:rFonts w:ascii="Times New Roman" w:hAnsi="Times New Roman"/>
          <w:sz w:val="24"/>
        </w:rPr>
        <w:t xml:space="preserve"> (figura 27</w:t>
      </w:r>
      <w:r w:rsidR="00334C3B">
        <w:rPr>
          <w:rFonts w:ascii="Times New Roman" w:hAnsi="Times New Roman"/>
          <w:sz w:val="24"/>
        </w:rPr>
        <w:t xml:space="preserve"> e 29</w:t>
      </w:r>
      <w:r>
        <w:rPr>
          <w:rFonts w:ascii="Times New Roman" w:hAnsi="Times New Roman"/>
          <w:sz w:val="24"/>
        </w:rPr>
        <w:t>)</w:t>
      </w:r>
      <w:r w:rsidR="00334C3B">
        <w:rPr>
          <w:rFonts w:ascii="Times New Roman" w:hAnsi="Times New Roman"/>
          <w:sz w:val="24"/>
        </w:rPr>
        <w:t xml:space="preserve">. </w:t>
      </w:r>
      <w:r w:rsidR="001C5438">
        <w:rPr>
          <w:rFonts w:ascii="Times New Roman" w:hAnsi="Times New Roman"/>
          <w:sz w:val="24"/>
        </w:rPr>
        <w:t xml:space="preserve">Assim, o EPC representa um extracto </w:t>
      </w:r>
      <w:r w:rsidR="003A4190">
        <w:rPr>
          <w:rFonts w:ascii="Times New Roman" w:hAnsi="Times New Roman"/>
          <w:sz w:val="24"/>
        </w:rPr>
        <w:t>cujo efeito antiproliferativo, no presente modelo in vitro</w:t>
      </w:r>
      <w:r w:rsidR="001C5438">
        <w:rPr>
          <w:rFonts w:ascii="Times New Roman" w:hAnsi="Times New Roman"/>
          <w:sz w:val="24"/>
        </w:rPr>
        <w:t xml:space="preserve"> </w:t>
      </w:r>
      <w:r w:rsidR="003A4190">
        <w:rPr>
          <w:rFonts w:ascii="Times New Roman" w:hAnsi="Times New Roman"/>
          <w:sz w:val="24"/>
        </w:rPr>
        <w:t xml:space="preserve">estudado, </w:t>
      </w:r>
      <w:r w:rsidR="001C5438">
        <w:rPr>
          <w:rFonts w:ascii="Times New Roman" w:hAnsi="Times New Roman"/>
          <w:sz w:val="24"/>
        </w:rPr>
        <w:t xml:space="preserve">é manifestamente superior ao composto puro Hidroxitirosol. </w:t>
      </w:r>
      <w:r w:rsidR="00EF0D51">
        <w:rPr>
          <w:rFonts w:ascii="Times New Roman" w:hAnsi="Times New Roman"/>
          <w:sz w:val="24"/>
        </w:rPr>
        <w:t xml:space="preserve">A concentração necessária para inibir em 50% a proliferação celular nos extractos de BAE, apresenta-se inferior </w:t>
      </w:r>
      <w:r w:rsidR="001C5438">
        <w:rPr>
          <w:rFonts w:ascii="Times New Roman" w:hAnsi="Times New Roman"/>
          <w:sz w:val="24"/>
        </w:rPr>
        <w:t>também para os restantes extractos, EB</w:t>
      </w:r>
      <w:r w:rsidR="00407588">
        <w:rPr>
          <w:rFonts w:ascii="Times New Roman" w:hAnsi="Times New Roman"/>
          <w:sz w:val="24"/>
        </w:rPr>
        <w:t xml:space="preserve"> (Figura 28)</w:t>
      </w:r>
      <w:r w:rsidR="001C5438">
        <w:rPr>
          <w:rFonts w:ascii="Times New Roman" w:hAnsi="Times New Roman"/>
          <w:sz w:val="24"/>
        </w:rPr>
        <w:t xml:space="preserve"> e ERC</w:t>
      </w:r>
      <w:r w:rsidR="00407588">
        <w:rPr>
          <w:rFonts w:ascii="Times New Roman" w:hAnsi="Times New Roman"/>
          <w:sz w:val="24"/>
        </w:rPr>
        <w:t xml:space="preserve"> (Figura 30)</w:t>
      </w:r>
      <w:r w:rsidR="001C5438">
        <w:rPr>
          <w:rFonts w:ascii="Times New Roman" w:hAnsi="Times New Roman"/>
          <w:sz w:val="24"/>
        </w:rPr>
        <w:t xml:space="preserve">, </w:t>
      </w:r>
      <w:r w:rsidR="00EF0D51">
        <w:rPr>
          <w:rFonts w:ascii="Times New Roman" w:hAnsi="Times New Roman"/>
          <w:sz w:val="24"/>
        </w:rPr>
        <w:t>em relação ao fenol Hidroxitirosol (</w:t>
      </w:r>
      <w:r w:rsidR="00407588">
        <w:rPr>
          <w:rFonts w:ascii="Times New Roman" w:hAnsi="Times New Roman"/>
          <w:sz w:val="24"/>
        </w:rPr>
        <w:t>Figura</w:t>
      </w:r>
      <w:r w:rsidR="00EF0D51">
        <w:rPr>
          <w:rFonts w:ascii="Times New Roman" w:hAnsi="Times New Roman"/>
          <w:sz w:val="24"/>
        </w:rPr>
        <w:t xml:space="preserve"> </w:t>
      </w:r>
      <w:r w:rsidR="00407588">
        <w:rPr>
          <w:rFonts w:ascii="Times New Roman" w:hAnsi="Times New Roman"/>
          <w:sz w:val="24"/>
        </w:rPr>
        <w:t>27</w:t>
      </w:r>
      <w:r w:rsidR="00EF0D51">
        <w:rPr>
          <w:rFonts w:ascii="Times New Roman" w:hAnsi="Times New Roman"/>
          <w:sz w:val="24"/>
        </w:rPr>
        <w:t xml:space="preserve">). </w:t>
      </w:r>
      <w:r w:rsidR="00407588">
        <w:rPr>
          <w:rFonts w:ascii="Times New Roman" w:hAnsi="Times New Roman"/>
          <w:sz w:val="24"/>
        </w:rPr>
        <w:t>Seria relativamente previsível que o IC</w:t>
      </w:r>
      <w:r w:rsidR="00407588" w:rsidRPr="00407588">
        <w:rPr>
          <w:rFonts w:ascii="Times New Roman" w:hAnsi="Times New Roman"/>
          <w:sz w:val="24"/>
          <w:vertAlign w:val="subscript"/>
        </w:rPr>
        <w:t>50</w:t>
      </w:r>
      <w:r w:rsidR="00407588">
        <w:rPr>
          <w:rFonts w:ascii="Times New Roman" w:hAnsi="Times New Roman"/>
          <w:sz w:val="24"/>
        </w:rPr>
        <w:t xml:space="preserve"> do fenol Hidroxitirosol se apresentasse superior em comparação com os extractos em estudo, pois a gama de concentrações testadas foi muito mais alargada, por consequência da resposta antiproliferativa na linha celular ao composto ao longo dos ensaios de optimização de concentrações. </w:t>
      </w:r>
      <w:r w:rsidR="0061443B">
        <w:rPr>
          <w:rFonts w:ascii="Times New Roman" w:hAnsi="Times New Roman"/>
          <w:sz w:val="24"/>
        </w:rPr>
        <w:t xml:space="preserve">Estudos prévios </w:t>
      </w:r>
      <w:r w:rsidR="0061443B" w:rsidRPr="00C56F91">
        <w:rPr>
          <w:rStyle w:val="apple-style-span"/>
          <w:rFonts w:ascii="Times New Roman" w:hAnsi="Times New Roman"/>
          <w:color w:val="000000"/>
          <w:sz w:val="24"/>
          <w:szCs w:val="15"/>
        </w:rPr>
        <w:t>do grupo de investigação de compostos bioactivos do CEBAL</w:t>
      </w:r>
      <w:r w:rsidR="0061443B">
        <w:rPr>
          <w:rStyle w:val="apple-style-span"/>
          <w:rFonts w:ascii="Times New Roman" w:hAnsi="Times New Roman"/>
          <w:color w:val="000000"/>
          <w:sz w:val="24"/>
          <w:szCs w:val="15"/>
        </w:rPr>
        <w:t>, obtiveram um valor de IC</w:t>
      </w:r>
      <w:r w:rsidR="0061443B" w:rsidRPr="0061443B">
        <w:rPr>
          <w:rStyle w:val="apple-style-span"/>
          <w:rFonts w:ascii="Times New Roman" w:hAnsi="Times New Roman"/>
          <w:color w:val="000000"/>
          <w:sz w:val="24"/>
          <w:szCs w:val="15"/>
          <w:vertAlign w:val="subscript"/>
        </w:rPr>
        <w:t>50</w:t>
      </w:r>
      <w:r w:rsidR="0061443B">
        <w:rPr>
          <w:rStyle w:val="apple-style-span"/>
          <w:rFonts w:ascii="Times New Roman" w:hAnsi="Times New Roman"/>
          <w:color w:val="000000"/>
          <w:sz w:val="24"/>
          <w:szCs w:val="15"/>
        </w:rPr>
        <w:t xml:space="preserve"> para o composto fenólico Hidroxitirosol, </w:t>
      </w:r>
      <w:r w:rsidR="0061443B">
        <w:rPr>
          <w:rFonts w:ascii="Times New Roman" w:eastAsia="Times New Roman" w:hAnsi="Times New Roman"/>
          <w:sz w:val="24"/>
          <w:szCs w:val="24"/>
          <w:lang w:eastAsia="pt-PT"/>
        </w:rPr>
        <w:t>obtido com recurso ao método de determinação da viabilidade celular pelo corante azul de tripano</w:t>
      </w:r>
      <w:r w:rsidR="0061443B" w:rsidRPr="0061443B">
        <w:rPr>
          <w:rStyle w:val="apple-style-span"/>
          <w:rFonts w:ascii="Times New Roman" w:hAnsi="Times New Roman"/>
          <w:color w:val="000000"/>
          <w:sz w:val="24"/>
          <w:szCs w:val="15"/>
        </w:rPr>
        <w:t xml:space="preserve"> </w:t>
      </w:r>
      <w:r w:rsidR="0061443B">
        <w:rPr>
          <w:rStyle w:val="apple-style-span"/>
          <w:rFonts w:ascii="Times New Roman" w:hAnsi="Times New Roman"/>
          <w:color w:val="000000"/>
          <w:sz w:val="24"/>
          <w:szCs w:val="15"/>
        </w:rPr>
        <w:t>na presente linha celular</w:t>
      </w:r>
      <w:r w:rsidR="0061443B">
        <w:rPr>
          <w:rFonts w:ascii="Times New Roman" w:eastAsia="Times New Roman" w:hAnsi="Times New Roman"/>
          <w:sz w:val="24"/>
          <w:szCs w:val="24"/>
          <w:lang w:eastAsia="pt-PT"/>
        </w:rPr>
        <w:t>,</w:t>
      </w:r>
      <w:r w:rsidR="0061443B">
        <w:rPr>
          <w:rStyle w:val="apple-style-span"/>
          <w:rFonts w:ascii="Times New Roman" w:hAnsi="Times New Roman"/>
          <w:color w:val="000000"/>
          <w:sz w:val="24"/>
          <w:szCs w:val="15"/>
        </w:rPr>
        <w:t xml:space="preserve"> de </w:t>
      </w:r>
      <w:r w:rsidR="0061443B" w:rsidRPr="0061443B">
        <w:rPr>
          <w:rFonts w:ascii="Times New Roman" w:hAnsi="Times New Roman"/>
          <w:sz w:val="24"/>
        </w:rPr>
        <w:t>IC50</w:t>
      </w:r>
      <w:r w:rsidR="0061443B">
        <w:rPr>
          <w:rFonts w:ascii="Times New Roman" w:hAnsi="Times New Roman"/>
          <w:sz w:val="24"/>
        </w:rPr>
        <w:t>=</w:t>
      </w:r>
      <w:r w:rsidR="0061443B" w:rsidRPr="0061443B">
        <w:rPr>
          <w:rFonts w:ascii="Times New Roman" w:eastAsia="Times New Roman" w:hAnsi="Times New Roman"/>
          <w:sz w:val="24"/>
          <w:szCs w:val="24"/>
          <w:lang w:eastAsia="pt-PT"/>
        </w:rPr>
        <w:t>367.43 ± 21.10µM</w:t>
      </w:r>
      <w:r w:rsidR="0061443B">
        <w:rPr>
          <w:rFonts w:ascii="Times New Roman" w:eastAsia="Times New Roman" w:hAnsi="Times New Roman"/>
          <w:sz w:val="24"/>
          <w:szCs w:val="24"/>
          <w:lang w:eastAsia="pt-PT"/>
        </w:rPr>
        <w:t xml:space="preserve"> (Ramos </w:t>
      </w:r>
      <w:r w:rsidR="0061443B" w:rsidRPr="00C56F91">
        <w:rPr>
          <w:rFonts w:ascii="Times New Roman" w:eastAsia="Times New Roman" w:hAnsi="Times New Roman"/>
          <w:i/>
          <w:sz w:val="24"/>
          <w:szCs w:val="24"/>
          <w:lang w:eastAsia="pt-PT"/>
        </w:rPr>
        <w:t>et al</w:t>
      </w:r>
      <w:r w:rsidR="0061443B">
        <w:rPr>
          <w:rFonts w:ascii="Times New Roman" w:eastAsia="Times New Roman" w:hAnsi="Times New Roman"/>
          <w:i/>
          <w:sz w:val="24"/>
          <w:szCs w:val="24"/>
          <w:lang w:eastAsia="pt-PT"/>
        </w:rPr>
        <w:t>.</w:t>
      </w:r>
      <w:r w:rsidR="0061443B">
        <w:rPr>
          <w:rFonts w:ascii="Times New Roman" w:eastAsia="Times New Roman" w:hAnsi="Times New Roman"/>
          <w:sz w:val="24"/>
          <w:szCs w:val="24"/>
          <w:lang w:eastAsia="pt-PT"/>
        </w:rPr>
        <w:t xml:space="preserve">, artigo submetido). </w:t>
      </w:r>
    </w:p>
    <w:p w:rsidR="00BD18A7" w:rsidRPr="00165FE3" w:rsidRDefault="00BD18A7" w:rsidP="00F71D83">
      <w:pPr>
        <w:autoSpaceDE w:val="0"/>
        <w:autoSpaceDN w:val="0"/>
        <w:adjustRightInd w:val="0"/>
        <w:spacing w:after="0" w:line="240" w:lineRule="auto"/>
        <w:rPr>
          <w:rFonts w:ascii="Times New Roman" w:eastAsia="AdvGulliv-R" w:hAnsi="Times New Roman"/>
          <w:sz w:val="21"/>
          <w:szCs w:val="13"/>
          <w:lang w:eastAsia="pt-PT"/>
        </w:rPr>
      </w:pPr>
    </w:p>
    <w:p w:rsidR="002E1CAA" w:rsidRDefault="0061443B" w:rsidP="00483FB5">
      <w:pPr>
        <w:ind w:firstLine="708"/>
        <w:jc w:val="both"/>
        <w:rPr>
          <w:rFonts w:ascii="Times New Roman" w:hAnsi="Times New Roman"/>
          <w:sz w:val="24"/>
        </w:rPr>
      </w:pPr>
      <w:r>
        <w:rPr>
          <w:rFonts w:ascii="Times New Roman" w:hAnsi="Times New Roman"/>
          <w:sz w:val="24"/>
        </w:rPr>
        <w:t>Os</w:t>
      </w:r>
      <w:r w:rsidR="00875385">
        <w:rPr>
          <w:rFonts w:ascii="Times New Roman" w:hAnsi="Times New Roman"/>
          <w:sz w:val="24"/>
        </w:rPr>
        <w:t xml:space="preserve"> resultados sugerem que a actividade antiproliferativa </w:t>
      </w:r>
      <w:r w:rsidR="00EF0D51">
        <w:rPr>
          <w:rFonts w:ascii="Times New Roman" w:hAnsi="Times New Roman"/>
          <w:sz w:val="24"/>
        </w:rPr>
        <w:t xml:space="preserve">evidente </w:t>
      </w:r>
      <w:r w:rsidR="00875385">
        <w:rPr>
          <w:rFonts w:ascii="Times New Roman" w:hAnsi="Times New Roman"/>
          <w:sz w:val="24"/>
        </w:rPr>
        <w:t>demo</w:t>
      </w:r>
      <w:r w:rsidR="001C5438">
        <w:rPr>
          <w:rFonts w:ascii="Times New Roman" w:hAnsi="Times New Roman"/>
          <w:sz w:val="24"/>
        </w:rPr>
        <w:t>n</w:t>
      </w:r>
      <w:r w:rsidR="00875385">
        <w:rPr>
          <w:rFonts w:ascii="Times New Roman" w:hAnsi="Times New Roman"/>
          <w:sz w:val="24"/>
        </w:rPr>
        <w:t>strada pelos extractos de BAE</w:t>
      </w:r>
      <w:r w:rsidR="00EF0D51">
        <w:rPr>
          <w:rFonts w:ascii="Times New Roman" w:hAnsi="Times New Roman"/>
          <w:sz w:val="24"/>
        </w:rPr>
        <w:t xml:space="preserve"> na linha celular MDA-MB-231</w:t>
      </w:r>
      <w:r w:rsidR="00875385">
        <w:rPr>
          <w:rFonts w:ascii="Times New Roman" w:hAnsi="Times New Roman"/>
          <w:sz w:val="24"/>
        </w:rPr>
        <w:t xml:space="preserve">, </w:t>
      </w:r>
      <w:r w:rsidR="00E53BF7">
        <w:rPr>
          <w:rFonts w:ascii="Times New Roman" w:hAnsi="Times New Roman"/>
          <w:sz w:val="24"/>
        </w:rPr>
        <w:t>devendo-se</w:t>
      </w:r>
      <w:r w:rsidR="00875385">
        <w:rPr>
          <w:rFonts w:ascii="Times New Roman" w:hAnsi="Times New Roman"/>
          <w:sz w:val="24"/>
        </w:rPr>
        <w:t xml:space="preserve"> </w:t>
      </w:r>
      <w:r w:rsidR="00334C3B">
        <w:rPr>
          <w:rFonts w:ascii="Times New Roman" w:hAnsi="Times New Roman"/>
          <w:sz w:val="24"/>
        </w:rPr>
        <w:t>não só à presença do fenol de interesse nos três extractos (maioritariamente no EPC</w:t>
      </w:r>
      <w:r w:rsidR="001C5438">
        <w:rPr>
          <w:rFonts w:ascii="Times New Roman" w:hAnsi="Times New Roman"/>
          <w:sz w:val="24"/>
        </w:rPr>
        <w:t xml:space="preserve"> (tabela III)</w:t>
      </w:r>
      <w:r w:rsidR="00334C3B">
        <w:rPr>
          <w:rFonts w:ascii="Times New Roman" w:hAnsi="Times New Roman"/>
          <w:sz w:val="24"/>
        </w:rPr>
        <w:t xml:space="preserve">), mas bem </w:t>
      </w:r>
      <w:r w:rsidR="00334C3B">
        <w:rPr>
          <w:rFonts w:ascii="Times New Roman" w:hAnsi="Times New Roman"/>
          <w:sz w:val="24"/>
        </w:rPr>
        <w:lastRenderedPageBreak/>
        <w:t xml:space="preserve">como </w:t>
      </w:r>
      <w:r w:rsidR="00875385">
        <w:rPr>
          <w:rFonts w:ascii="Times New Roman" w:hAnsi="Times New Roman"/>
          <w:sz w:val="24"/>
        </w:rPr>
        <w:t xml:space="preserve">ao efeito sinergético dos compostos presentes </w:t>
      </w:r>
      <w:r w:rsidR="00EF0D51">
        <w:rPr>
          <w:rFonts w:ascii="Times New Roman" w:hAnsi="Times New Roman"/>
          <w:sz w:val="24"/>
        </w:rPr>
        <w:t xml:space="preserve">nos três extractos. </w:t>
      </w:r>
      <w:r w:rsidR="002E1CAA">
        <w:rPr>
          <w:rFonts w:ascii="Times New Roman" w:hAnsi="Times New Roman"/>
          <w:sz w:val="24"/>
        </w:rPr>
        <w:t>Os compostos presentes nos extractos de BAE</w:t>
      </w:r>
      <w:r w:rsidR="00927F67">
        <w:rPr>
          <w:rFonts w:ascii="Times New Roman" w:hAnsi="Times New Roman"/>
          <w:sz w:val="24"/>
        </w:rPr>
        <w:t xml:space="preserve"> podem assim actuar de modo sinergético, aumentando o efeito antiproliferativo dos extractos, facto que </w:t>
      </w:r>
      <w:r w:rsidR="00407588">
        <w:rPr>
          <w:rFonts w:ascii="Times New Roman" w:hAnsi="Times New Roman"/>
          <w:sz w:val="24"/>
        </w:rPr>
        <w:t>remete para a importância da</w:t>
      </w:r>
      <w:r w:rsidR="00927F67">
        <w:rPr>
          <w:rFonts w:ascii="Times New Roman" w:hAnsi="Times New Roman"/>
          <w:sz w:val="24"/>
        </w:rPr>
        <w:t xml:space="preserve"> optimização do processo de nanofiltração, </w:t>
      </w:r>
      <w:r w:rsidR="00407588">
        <w:rPr>
          <w:rFonts w:ascii="Times New Roman" w:hAnsi="Times New Roman"/>
          <w:sz w:val="24"/>
        </w:rPr>
        <w:t>com subsequente aumento do rendimento</w:t>
      </w:r>
      <w:r w:rsidR="00927F67">
        <w:rPr>
          <w:rFonts w:ascii="Times New Roman" w:hAnsi="Times New Roman"/>
          <w:sz w:val="24"/>
        </w:rPr>
        <w:t xml:space="preserve">. </w:t>
      </w:r>
    </w:p>
    <w:p w:rsidR="00927F67" w:rsidRDefault="00927F67" w:rsidP="00EF0D51">
      <w:pPr>
        <w:jc w:val="both"/>
        <w:rPr>
          <w:rFonts w:ascii="Times New Roman" w:hAnsi="Times New Roman"/>
          <w:sz w:val="24"/>
        </w:rPr>
      </w:pPr>
      <w:r>
        <w:rPr>
          <w:rFonts w:ascii="Times New Roman" w:hAnsi="Times New Roman"/>
          <w:sz w:val="24"/>
        </w:rPr>
        <w:tab/>
        <w:t>Os resultados de viabilidade celular obtidos para os extractos EB, EPC e ERC na linha celular tumoral MDA-MB-231, evidenciam a importância da caracterização química dos compostos responsáveis por esta bioactividade nos presentes extractos</w:t>
      </w:r>
      <w:r w:rsidR="007E37B5">
        <w:rPr>
          <w:rFonts w:ascii="Times New Roman" w:hAnsi="Times New Roman"/>
          <w:sz w:val="24"/>
        </w:rPr>
        <w:t>. De acrescentar que a caracterização química do EB</w:t>
      </w:r>
      <w:r w:rsidR="00B17406">
        <w:rPr>
          <w:rFonts w:ascii="Times New Roman" w:hAnsi="Times New Roman"/>
          <w:sz w:val="24"/>
        </w:rPr>
        <w:t xml:space="preserve"> já se encontra em curso</w:t>
      </w:r>
      <w:r w:rsidR="007E37B5">
        <w:rPr>
          <w:rFonts w:ascii="Times New Roman" w:hAnsi="Times New Roman"/>
          <w:sz w:val="24"/>
        </w:rPr>
        <w:t>,</w:t>
      </w:r>
      <w:r w:rsidR="00B17406">
        <w:rPr>
          <w:rFonts w:ascii="Times New Roman" w:hAnsi="Times New Roman"/>
          <w:sz w:val="24"/>
        </w:rPr>
        <w:t xml:space="preserve"> </w:t>
      </w:r>
      <w:r w:rsidR="00B17406" w:rsidRPr="00B17406">
        <w:rPr>
          <w:rFonts w:ascii="Times New Roman" w:hAnsi="Times New Roman"/>
          <w:sz w:val="24"/>
        </w:rPr>
        <w:t>no âmbito de uma tese de doutoramento em parceria com o CICECO, da Universidade de Aveiro</w:t>
      </w:r>
      <w:r w:rsidR="007E37B5">
        <w:rPr>
          <w:rFonts w:ascii="Times New Roman" w:hAnsi="Times New Roman"/>
          <w:sz w:val="24"/>
        </w:rPr>
        <w:t xml:space="preserve"> (Ramos </w:t>
      </w:r>
      <w:r w:rsidR="007E37B5" w:rsidRPr="007E37B5">
        <w:rPr>
          <w:rFonts w:ascii="Times New Roman" w:hAnsi="Times New Roman"/>
          <w:i/>
          <w:sz w:val="24"/>
        </w:rPr>
        <w:t>et al</w:t>
      </w:r>
      <w:r w:rsidR="00B17406">
        <w:rPr>
          <w:rFonts w:ascii="Times New Roman" w:hAnsi="Times New Roman"/>
          <w:sz w:val="24"/>
        </w:rPr>
        <w:t>.</w:t>
      </w:r>
      <w:r w:rsidR="007E37B5">
        <w:rPr>
          <w:rFonts w:ascii="Times New Roman" w:hAnsi="Times New Roman"/>
          <w:sz w:val="24"/>
        </w:rPr>
        <w:t>).</w:t>
      </w:r>
      <w:r w:rsidR="00483FB5">
        <w:rPr>
          <w:rFonts w:ascii="Times New Roman" w:hAnsi="Times New Roman"/>
          <w:sz w:val="24"/>
        </w:rPr>
        <w:t xml:space="preserve"> </w:t>
      </w:r>
    </w:p>
    <w:p w:rsidR="002D752D" w:rsidRDefault="002D752D" w:rsidP="006B27BF">
      <w:pPr>
        <w:autoSpaceDE w:val="0"/>
        <w:autoSpaceDN w:val="0"/>
        <w:adjustRightInd w:val="0"/>
        <w:spacing w:after="0"/>
        <w:ind w:firstLine="708"/>
        <w:jc w:val="both"/>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À semelhança de um dos objectivos deste trabalho, em demonstrar a actividade antiproliferativa de um subproduto da indústria do azeite o BAE numa linha celular de cancro da mama, </w:t>
      </w:r>
      <w:r w:rsidR="00BD18A7">
        <w:rPr>
          <w:rFonts w:ascii="Times New Roman" w:eastAsia="Times New Roman" w:hAnsi="Times New Roman"/>
          <w:sz w:val="24"/>
          <w:szCs w:val="24"/>
          <w:lang w:eastAsia="pt-PT"/>
        </w:rPr>
        <w:t xml:space="preserve">Bouallagui </w:t>
      </w:r>
      <w:r w:rsidR="00BD18A7" w:rsidRPr="00BD18A7">
        <w:rPr>
          <w:rFonts w:ascii="Times New Roman" w:eastAsia="Times New Roman" w:hAnsi="Times New Roman"/>
          <w:i/>
          <w:sz w:val="24"/>
          <w:szCs w:val="24"/>
          <w:lang w:eastAsia="pt-PT"/>
        </w:rPr>
        <w:t>et al</w:t>
      </w:r>
      <w:r w:rsidR="00BD18A7">
        <w:rPr>
          <w:rFonts w:ascii="Times New Roman" w:eastAsia="Times New Roman" w:hAnsi="Times New Roman"/>
          <w:sz w:val="24"/>
          <w:szCs w:val="24"/>
          <w:lang w:eastAsia="pt-PT"/>
        </w:rPr>
        <w:t xml:space="preserve">. estudou o efeito de um extracto de folha de oliveira rico em Hidroxitirosol na inibição do crescimento de células </w:t>
      </w:r>
      <w:r w:rsidR="006B27BF">
        <w:rPr>
          <w:rFonts w:ascii="Times New Roman" w:eastAsia="Times New Roman" w:hAnsi="Times New Roman"/>
          <w:sz w:val="24"/>
          <w:szCs w:val="24"/>
          <w:lang w:eastAsia="pt-PT"/>
        </w:rPr>
        <w:t xml:space="preserve">humanas </w:t>
      </w:r>
      <w:r w:rsidR="00BD18A7">
        <w:rPr>
          <w:rFonts w:ascii="Times New Roman" w:eastAsia="Times New Roman" w:hAnsi="Times New Roman"/>
          <w:sz w:val="24"/>
          <w:szCs w:val="24"/>
          <w:lang w:eastAsia="pt-PT"/>
        </w:rPr>
        <w:t xml:space="preserve">de </w:t>
      </w:r>
      <w:r w:rsidR="006B27BF">
        <w:rPr>
          <w:rFonts w:ascii="Times New Roman" w:eastAsia="Times New Roman" w:hAnsi="Times New Roman"/>
          <w:sz w:val="24"/>
          <w:szCs w:val="24"/>
          <w:lang w:eastAsia="pt-PT"/>
        </w:rPr>
        <w:t xml:space="preserve">adenocarcinoma mamário </w:t>
      </w:r>
      <w:r w:rsidR="00BD18A7" w:rsidRPr="00E53BF7">
        <w:rPr>
          <w:rFonts w:ascii="Times New Roman" w:eastAsia="Times New Roman" w:hAnsi="Times New Roman"/>
          <w:sz w:val="24"/>
          <w:szCs w:val="24"/>
          <w:lang w:eastAsia="pt-PT"/>
        </w:rPr>
        <w:t>MCF-7</w:t>
      </w:r>
      <w:r>
        <w:rPr>
          <w:rFonts w:ascii="Times New Roman" w:eastAsia="Times New Roman" w:hAnsi="Times New Roman"/>
          <w:sz w:val="24"/>
          <w:szCs w:val="24"/>
          <w:lang w:eastAsia="pt-PT"/>
        </w:rPr>
        <w:t>. A</w:t>
      </w:r>
      <w:r w:rsidR="00BD18A7">
        <w:rPr>
          <w:rFonts w:ascii="Times New Roman" w:eastAsia="Times New Roman" w:hAnsi="Times New Roman"/>
          <w:sz w:val="24"/>
          <w:szCs w:val="24"/>
          <w:lang w:eastAsia="pt-PT"/>
        </w:rPr>
        <w:t xml:space="preserve">través </w:t>
      </w:r>
      <w:r w:rsidR="004C2FA3">
        <w:rPr>
          <w:rFonts w:ascii="Times New Roman" w:eastAsia="Times New Roman" w:hAnsi="Times New Roman"/>
          <w:sz w:val="24"/>
          <w:szCs w:val="24"/>
          <w:lang w:eastAsia="pt-PT"/>
        </w:rPr>
        <w:t>do ensaio de incorporação</w:t>
      </w:r>
      <w:r w:rsidR="00BD18A7">
        <w:rPr>
          <w:rFonts w:ascii="Times New Roman" w:eastAsia="Times New Roman" w:hAnsi="Times New Roman"/>
          <w:sz w:val="24"/>
          <w:szCs w:val="24"/>
          <w:lang w:eastAsia="pt-PT"/>
        </w:rPr>
        <w:t xml:space="preserve"> d</w:t>
      </w:r>
      <w:r w:rsidR="004C2FA3">
        <w:rPr>
          <w:rFonts w:ascii="Times New Roman" w:eastAsia="Times New Roman" w:hAnsi="Times New Roman"/>
          <w:sz w:val="24"/>
          <w:szCs w:val="24"/>
          <w:lang w:eastAsia="pt-PT"/>
        </w:rPr>
        <w:t>o</w:t>
      </w:r>
      <w:r w:rsidR="00BD18A7">
        <w:rPr>
          <w:rFonts w:ascii="Times New Roman" w:eastAsia="Times New Roman" w:hAnsi="Times New Roman"/>
          <w:sz w:val="24"/>
          <w:szCs w:val="24"/>
          <w:lang w:eastAsia="pt-PT"/>
        </w:rPr>
        <w:t xml:space="preserve"> </w:t>
      </w:r>
      <w:r w:rsidR="004C2FA3">
        <w:rPr>
          <w:rFonts w:ascii="Times New Roman" w:eastAsia="Times New Roman" w:hAnsi="Times New Roman"/>
          <w:sz w:val="24"/>
          <w:szCs w:val="24"/>
          <w:lang w:eastAsia="pt-PT"/>
        </w:rPr>
        <w:t>V</w:t>
      </w:r>
      <w:r w:rsidR="00BD18A7">
        <w:rPr>
          <w:rFonts w:ascii="Times New Roman" w:eastAsia="Times New Roman" w:hAnsi="Times New Roman"/>
          <w:sz w:val="24"/>
          <w:szCs w:val="24"/>
          <w:lang w:eastAsia="pt-PT"/>
        </w:rPr>
        <w:t xml:space="preserve">ermelho </w:t>
      </w:r>
      <w:r w:rsidR="004C2FA3">
        <w:rPr>
          <w:rFonts w:ascii="Times New Roman" w:eastAsia="Times New Roman" w:hAnsi="Times New Roman"/>
          <w:sz w:val="24"/>
          <w:szCs w:val="24"/>
          <w:lang w:eastAsia="pt-PT"/>
        </w:rPr>
        <w:t>N</w:t>
      </w:r>
      <w:r w:rsidR="00BD18A7">
        <w:rPr>
          <w:rFonts w:ascii="Times New Roman" w:eastAsia="Times New Roman" w:hAnsi="Times New Roman"/>
          <w:sz w:val="24"/>
          <w:szCs w:val="24"/>
          <w:lang w:eastAsia="pt-PT"/>
        </w:rPr>
        <w:t xml:space="preserve">eutro </w:t>
      </w:r>
      <w:r w:rsidR="004C2FA3">
        <w:rPr>
          <w:rFonts w:ascii="Times New Roman" w:eastAsia="Times New Roman" w:hAnsi="Times New Roman"/>
          <w:sz w:val="24"/>
          <w:szCs w:val="24"/>
          <w:lang w:eastAsia="pt-PT"/>
        </w:rPr>
        <w:t>em células viáveis</w:t>
      </w:r>
      <w:r w:rsidR="00D50227">
        <w:rPr>
          <w:rFonts w:ascii="Times New Roman" w:eastAsia="Times New Roman" w:hAnsi="Times New Roman"/>
          <w:sz w:val="24"/>
          <w:szCs w:val="24"/>
          <w:lang w:eastAsia="pt-PT"/>
        </w:rPr>
        <w:t>,</w:t>
      </w:r>
      <w:r w:rsidR="004C2FA3">
        <w:rPr>
          <w:rFonts w:ascii="Times New Roman" w:eastAsia="Times New Roman" w:hAnsi="Times New Roman"/>
          <w:sz w:val="24"/>
          <w:szCs w:val="24"/>
          <w:lang w:eastAsia="pt-PT"/>
        </w:rPr>
        <w:t xml:space="preserve"> </w:t>
      </w:r>
      <w:r>
        <w:rPr>
          <w:rFonts w:ascii="Times New Roman" w:eastAsia="Times New Roman" w:hAnsi="Times New Roman"/>
          <w:sz w:val="24"/>
          <w:szCs w:val="24"/>
          <w:lang w:eastAsia="pt-PT"/>
        </w:rPr>
        <w:t xml:space="preserve">Bouallagui </w:t>
      </w:r>
      <w:r w:rsidRPr="00BD18A7">
        <w:rPr>
          <w:rFonts w:ascii="Times New Roman" w:eastAsia="Times New Roman" w:hAnsi="Times New Roman"/>
          <w:i/>
          <w:sz w:val="24"/>
          <w:szCs w:val="24"/>
          <w:lang w:eastAsia="pt-PT"/>
        </w:rPr>
        <w:t>et al</w:t>
      </w:r>
      <w:r>
        <w:rPr>
          <w:rFonts w:ascii="Times New Roman" w:eastAsia="Times New Roman" w:hAnsi="Times New Roman"/>
          <w:sz w:val="24"/>
          <w:szCs w:val="24"/>
          <w:lang w:eastAsia="pt-PT"/>
        </w:rPr>
        <w:t xml:space="preserve">. obteve </w:t>
      </w:r>
      <w:r w:rsidR="00BD18A7">
        <w:rPr>
          <w:rFonts w:ascii="Times New Roman" w:eastAsia="Times New Roman" w:hAnsi="Times New Roman"/>
          <w:sz w:val="24"/>
          <w:szCs w:val="24"/>
          <w:lang w:eastAsia="pt-PT"/>
        </w:rPr>
        <w:t>para o ext</w:t>
      </w:r>
      <w:r>
        <w:rPr>
          <w:rFonts w:ascii="Times New Roman" w:eastAsia="Times New Roman" w:hAnsi="Times New Roman"/>
          <w:sz w:val="24"/>
          <w:szCs w:val="24"/>
          <w:lang w:eastAsia="pt-PT"/>
        </w:rPr>
        <w:t>racto de folha de oliveira o valor de IC</w:t>
      </w:r>
      <w:r w:rsidRPr="002D752D">
        <w:rPr>
          <w:rFonts w:ascii="Times New Roman" w:eastAsia="Times New Roman" w:hAnsi="Times New Roman"/>
          <w:sz w:val="24"/>
          <w:szCs w:val="24"/>
          <w:vertAlign w:val="subscript"/>
          <w:lang w:eastAsia="pt-PT"/>
        </w:rPr>
        <w:t>50</w:t>
      </w:r>
      <w:r>
        <w:rPr>
          <w:rFonts w:ascii="Times New Roman" w:eastAsia="Times New Roman" w:hAnsi="Times New Roman"/>
          <w:sz w:val="24"/>
          <w:szCs w:val="24"/>
          <w:lang w:eastAsia="pt-PT"/>
        </w:rPr>
        <w:t>=2207</w:t>
      </w:r>
      <w:r>
        <w:rPr>
          <w:rFonts w:eastAsia="Times New Roman"/>
          <w:sz w:val="24"/>
          <w:szCs w:val="24"/>
          <w:lang w:eastAsia="pt-PT"/>
        </w:rPr>
        <w:t>µ</w:t>
      </w:r>
      <w:r>
        <w:rPr>
          <w:rFonts w:ascii="Times New Roman" w:eastAsia="Times New Roman" w:hAnsi="Times New Roman"/>
          <w:sz w:val="24"/>
          <w:szCs w:val="24"/>
          <w:lang w:eastAsia="pt-PT"/>
        </w:rPr>
        <w:t xml:space="preserve">g/mL. </w:t>
      </w:r>
      <w:r w:rsidR="00D50227">
        <w:rPr>
          <w:rFonts w:ascii="Times New Roman" w:eastAsia="Times New Roman" w:hAnsi="Times New Roman"/>
          <w:sz w:val="24"/>
          <w:szCs w:val="24"/>
          <w:lang w:eastAsia="pt-PT"/>
        </w:rPr>
        <w:t xml:space="preserve">Goulas </w:t>
      </w:r>
      <w:r w:rsidR="00D50227" w:rsidRPr="00D50227">
        <w:rPr>
          <w:rFonts w:ascii="Times New Roman" w:eastAsia="Times New Roman" w:hAnsi="Times New Roman"/>
          <w:i/>
          <w:sz w:val="24"/>
          <w:szCs w:val="24"/>
          <w:lang w:eastAsia="pt-PT"/>
        </w:rPr>
        <w:t>et al</w:t>
      </w:r>
      <w:r w:rsidR="00D50227">
        <w:rPr>
          <w:rFonts w:ascii="Times New Roman" w:eastAsia="Times New Roman" w:hAnsi="Times New Roman"/>
          <w:sz w:val="24"/>
          <w:szCs w:val="24"/>
          <w:lang w:eastAsia="pt-PT"/>
        </w:rPr>
        <w:t xml:space="preserve">. </w:t>
      </w:r>
      <w:r w:rsidR="006B27BF">
        <w:rPr>
          <w:rFonts w:ascii="Times New Roman" w:eastAsia="Times New Roman" w:hAnsi="Times New Roman"/>
          <w:sz w:val="24"/>
          <w:szCs w:val="24"/>
          <w:lang w:eastAsia="pt-PT"/>
        </w:rPr>
        <w:t>também determinou o efeito antiproliferativo de um extracto de folha de oliveira em células MCF-7, com obtenção de IC</w:t>
      </w:r>
      <w:r w:rsidR="006B27BF" w:rsidRPr="002D752D">
        <w:rPr>
          <w:rFonts w:ascii="Times New Roman" w:eastAsia="Times New Roman" w:hAnsi="Times New Roman"/>
          <w:sz w:val="24"/>
          <w:szCs w:val="24"/>
          <w:vertAlign w:val="subscript"/>
          <w:lang w:eastAsia="pt-PT"/>
        </w:rPr>
        <w:t>50</w:t>
      </w:r>
      <w:r w:rsidR="006B27BF">
        <w:rPr>
          <w:rFonts w:ascii="Times New Roman" w:eastAsia="Times New Roman" w:hAnsi="Times New Roman"/>
          <w:sz w:val="24"/>
          <w:szCs w:val="24"/>
          <w:lang w:eastAsia="pt-PT"/>
        </w:rPr>
        <w:t>=24,86</w:t>
      </w:r>
      <w:r w:rsidR="006B27BF">
        <w:rPr>
          <w:rFonts w:ascii="Times New Roman" w:hAnsi="Times New Roman"/>
          <w:sz w:val="24"/>
        </w:rPr>
        <w:t xml:space="preserve">±8,15µM. Para linhas tumorais mamárias têm surgido vários estudos analisando o efeito antiproliferativo de extractos derivados de oliveira, </w:t>
      </w:r>
      <w:r w:rsidR="00D77802">
        <w:rPr>
          <w:rFonts w:ascii="Times New Roman" w:hAnsi="Times New Roman"/>
          <w:sz w:val="24"/>
        </w:rPr>
        <w:t xml:space="preserve">particularmente extractos das suas folhas, permanecendo por explorar a utilização de extractos derivados de resíduos ou de subprodutos da indústria do azeite, em ensaios deste tipo, em particular na linha celular MDA-MB-231.  </w:t>
      </w:r>
    </w:p>
    <w:p w:rsidR="00BD18A7" w:rsidRPr="00F90C40" w:rsidRDefault="00BD18A7" w:rsidP="00F90C40">
      <w:pPr>
        <w:autoSpaceDE w:val="0"/>
        <w:autoSpaceDN w:val="0"/>
        <w:adjustRightInd w:val="0"/>
        <w:spacing w:after="0"/>
        <w:jc w:val="both"/>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 </w:t>
      </w:r>
    </w:p>
    <w:p w:rsidR="006737F5" w:rsidRDefault="00EF0D51" w:rsidP="00F17BD0">
      <w:pPr>
        <w:pStyle w:val="PargrafodaLista"/>
        <w:tabs>
          <w:tab w:val="left" w:pos="993"/>
        </w:tabs>
        <w:ind w:left="0"/>
        <w:jc w:val="both"/>
        <w:rPr>
          <w:rFonts w:ascii="Times New Roman" w:hAnsi="Times New Roman"/>
          <w:sz w:val="24"/>
          <w:szCs w:val="24"/>
        </w:rPr>
      </w:pPr>
      <w:r w:rsidRPr="00165FE3">
        <w:rPr>
          <w:rFonts w:ascii="Times New Roman" w:hAnsi="Times New Roman"/>
          <w:sz w:val="24"/>
          <w:szCs w:val="24"/>
        </w:rPr>
        <w:tab/>
      </w:r>
      <w:r w:rsidR="006737F5">
        <w:rPr>
          <w:rFonts w:ascii="Times New Roman" w:hAnsi="Times New Roman"/>
          <w:sz w:val="24"/>
          <w:szCs w:val="24"/>
        </w:rPr>
        <w:t>O método de MTT como referido anteriormente é bastante sensível</w:t>
      </w:r>
      <w:r w:rsidR="00E54632">
        <w:rPr>
          <w:rFonts w:ascii="Times New Roman" w:hAnsi="Times New Roman"/>
          <w:sz w:val="24"/>
          <w:szCs w:val="24"/>
        </w:rPr>
        <w:t xml:space="preserve"> na determinação da viabil</w:t>
      </w:r>
      <w:r w:rsidR="00FF5185">
        <w:rPr>
          <w:rFonts w:ascii="Times New Roman" w:hAnsi="Times New Roman"/>
          <w:sz w:val="24"/>
          <w:szCs w:val="24"/>
        </w:rPr>
        <w:t>i</w:t>
      </w:r>
      <w:r w:rsidR="00E54632">
        <w:rPr>
          <w:rFonts w:ascii="Times New Roman" w:hAnsi="Times New Roman"/>
          <w:sz w:val="24"/>
          <w:szCs w:val="24"/>
        </w:rPr>
        <w:t>dade celular</w:t>
      </w:r>
      <w:r w:rsidR="006737F5">
        <w:rPr>
          <w:rFonts w:ascii="Times New Roman" w:hAnsi="Times New Roman"/>
          <w:sz w:val="24"/>
          <w:szCs w:val="24"/>
        </w:rPr>
        <w:t xml:space="preserve">, </w:t>
      </w:r>
      <w:r w:rsidR="00165FE3">
        <w:rPr>
          <w:rFonts w:ascii="Times New Roman" w:hAnsi="Times New Roman"/>
          <w:sz w:val="24"/>
          <w:szCs w:val="24"/>
        </w:rPr>
        <w:t>por</w:t>
      </w:r>
      <w:r w:rsidR="007E37B5">
        <w:rPr>
          <w:rFonts w:ascii="Times New Roman" w:hAnsi="Times New Roman"/>
          <w:sz w:val="24"/>
          <w:szCs w:val="24"/>
        </w:rPr>
        <w:t xml:space="preserve"> isso mesmo </w:t>
      </w:r>
      <w:r w:rsidR="00165FE3">
        <w:rPr>
          <w:rFonts w:ascii="Times New Roman" w:hAnsi="Times New Roman"/>
          <w:sz w:val="24"/>
          <w:szCs w:val="24"/>
        </w:rPr>
        <w:t xml:space="preserve">é </w:t>
      </w:r>
      <w:r w:rsidR="007E37B5">
        <w:rPr>
          <w:rFonts w:ascii="Times New Roman" w:hAnsi="Times New Roman"/>
          <w:sz w:val="24"/>
          <w:szCs w:val="24"/>
        </w:rPr>
        <w:t xml:space="preserve">complicado </w:t>
      </w:r>
      <w:r>
        <w:rPr>
          <w:rFonts w:ascii="Times New Roman" w:hAnsi="Times New Roman"/>
          <w:sz w:val="24"/>
          <w:szCs w:val="24"/>
        </w:rPr>
        <w:t>a normalizaç</w:t>
      </w:r>
      <w:r w:rsidR="007E37B5">
        <w:rPr>
          <w:rFonts w:ascii="Times New Roman" w:hAnsi="Times New Roman"/>
          <w:sz w:val="24"/>
          <w:szCs w:val="24"/>
        </w:rPr>
        <w:t xml:space="preserve">ão na reprodução de resultados. </w:t>
      </w:r>
      <w:r>
        <w:rPr>
          <w:rFonts w:ascii="Times New Roman" w:hAnsi="Times New Roman"/>
          <w:sz w:val="24"/>
          <w:szCs w:val="24"/>
        </w:rPr>
        <w:t xml:space="preserve">Este facto pode estar na origem da obtenção de </w:t>
      </w:r>
      <w:r w:rsidR="005738C2">
        <w:rPr>
          <w:rFonts w:ascii="Times New Roman" w:hAnsi="Times New Roman"/>
          <w:sz w:val="24"/>
          <w:szCs w:val="24"/>
        </w:rPr>
        <w:t xml:space="preserve">uma grande variabilidade nos resultados entre réplicas obtidas, e consequentemente nos </w:t>
      </w:r>
      <w:r>
        <w:rPr>
          <w:rFonts w:ascii="Times New Roman" w:hAnsi="Times New Roman"/>
          <w:sz w:val="24"/>
          <w:szCs w:val="24"/>
        </w:rPr>
        <w:t xml:space="preserve">desvios padrão acentuados </w:t>
      </w:r>
      <w:r w:rsidR="00334C3B">
        <w:rPr>
          <w:rFonts w:ascii="Times New Roman" w:hAnsi="Times New Roman"/>
          <w:sz w:val="24"/>
          <w:szCs w:val="24"/>
        </w:rPr>
        <w:t>em alguns dos</w:t>
      </w:r>
      <w:r>
        <w:rPr>
          <w:rFonts w:ascii="Times New Roman" w:hAnsi="Times New Roman"/>
          <w:sz w:val="24"/>
          <w:szCs w:val="24"/>
        </w:rPr>
        <w:t xml:space="preserve"> ensaio</w:t>
      </w:r>
      <w:r w:rsidR="00334C3B">
        <w:rPr>
          <w:rFonts w:ascii="Times New Roman" w:hAnsi="Times New Roman"/>
          <w:sz w:val="24"/>
          <w:szCs w:val="24"/>
        </w:rPr>
        <w:t>s</w:t>
      </w:r>
      <w:r>
        <w:rPr>
          <w:rFonts w:ascii="Times New Roman" w:hAnsi="Times New Roman"/>
          <w:sz w:val="24"/>
          <w:szCs w:val="24"/>
        </w:rPr>
        <w:t xml:space="preserve"> de antiproliferação realizado</w:t>
      </w:r>
      <w:r w:rsidR="00334C3B">
        <w:rPr>
          <w:rFonts w:ascii="Times New Roman" w:hAnsi="Times New Roman"/>
          <w:sz w:val="24"/>
          <w:szCs w:val="24"/>
        </w:rPr>
        <w:t>s</w:t>
      </w:r>
      <w:r>
        <w:rPr>
          <w:rFonts w:ascii="Times New Roman" w:hAnsi="Times New Roman"/>
          <w:sz w:val="24"/>
          <w:szCs w:val="24"/>
        </w:rPr>
        <w:t>.</w:t>
      </w:r>
      <w:r w:rsidR="00334C3B">
        <w:rPr>
          <w:rFonts w:ascii="Times New Roman" w:hAnsi="Times New Roman"/>
          <w:sz w:val="24"/>
          <w:szCs w:val="24"/>
        </w:rPr>
        <w:t xml:space="preserve"> </w:t>
      </w:r>
      <w:r w:rsidR="00EA7ACF">
        <w:rPr>
          <w:rFonts w:ascii="Times New Roman" w:hAnsi="Times New Roman"/>
          <w:sz w:val="24"/>
          <w:szCs w:val="24"/>
        </w:rPr>
        <w:t>Para o</w:t>
      </w:r>
      <w:r w:rsidR="00E54632">
        <w:rPr>
          <w:rFonts w:ascii="Times New Roman" w:hAnsi="Times New Roman"/>
          <w:sz w:val="24"/>
          <w:szCs w:val="24"/>
        </w:rPr>
        <w:t>utros métodos menos sensíveis utilizados para o mesmo propósito, esta dificuldade</w:t>
      </w:r>
      <w:r w:rsidR="00EA7ACF">
        <w:rPr>
          <w:rFonts w:ascii="Times New Roman" w:hAnsi="Times New Roman"/>
          <w:sz w:val="24"/>
          <w:szCs w:val="24"/>
        </w:rPr>
        <w:t xml:space="preserve"> pode ser menos acentuada</w:t>
      </w:r>
      <w:r w:rsidR="00E54632">
        <w:rPr>
          <w:rFonts w:ascii="Times New Roman" w:hAnsi="Times New Roman"/>
          <w:sz w:val="24"/>
          <w:szCs w:val="24"/>
        </w:rPr>
        <w:t>, mas possuem a desvantagem de uma menor precisão</w:t>
      </w:r>
      <w:r w:rsidR="00EA7ACF">
        <w:rPr>
          <w:rFonts w:ascii="Times New Roman" w:hAnsi="Times New Roman"/>
          <w:sz w:val="24"/>
          <w:szCs w:val="24"/>
        </w:rPr>
        <w:t xml:space="preserve"> em comparação com o método de MTT</w:t>
      </w:r>
      <w:r w:rsidR="00E54632">
        <w:rPr>
          <w:rFonts w:ascii="Times New Roman" w:hAnsi="Times New Roman"/>
          <w:sz w:val="24"/>
          <w:szCs w:val="24"/>
        </w:rPr>
        <w:t>.</w:t>
      </w:r>
    </w:p>
    <w:p w:rsidR="00F17BD0" w:rsidRPr="00F90C40" w:rsidRDefault="00133444" w:rsidP="00F90C40">
      <w:pPr>
        <w:ind w:firstLine="708"/>
        <w:jc w:val="both"/>
        <w:rPr>
          <w:rFonts w:ascii="Times New Roman" w:hAnsi="Times New Roman"/>
          <w:sz w:val="44"/>
          <w:lang w:eastAsia="pt-PT"/>
        </w:rPr>
      </w:pPr>
      <w:r w:rsidRPr="00C56F91">
        <w:rPr>
          <w:rStyle w:val="apple-style-span"/>
          <w:rFonts w:ascii="Times New Roman" w:hAnsi="Times New Roman"/>
          <w:color w:val="000000"/>
          <w:sz w:val="24"/>
          <w:szCs w:val="15"/>
        </w:rPr>
        <w:t>Estudos prévios do grupo de investigação de compostos bioactivos do CEBAL, demonstraram que extractos aquosos de bagaço de azeitona extractado e bagaço húmido, não sujeitos à aplicação das tecnologias de membranas, exerciam um efeito antiproliferativo significativo na mesma linha celular,</w:t>
      </w:r>
      <w:r>
        <w:rPr>
          <w:rStyle w:val="apple-style-span"/>
          <w:rFonts w:ascii="Times New Roman" w:hAnsi="Times New Roman"/>
          <w:color w:val="000000"/>
          <w:sz w:val="24"/>
          <w:szCs w:val="15"/>
        </w:rPr>
        <w:t xml:space="preserve"> IC</w:t>
      </w:r>
      <w:r w:rsidRPr="00C56F91">
        <w:rPr>
          <w:rStyle w:val="apple-style-span"/>
          <w:rFonts w:ascii="Times New Roman" w:hAnsi="Times New Roman"/>
          <w:color w:val="000000"/>
          <w:sz w:val="24"/>
          <w:szCs w:val="15"/>
          <w:vertAlign w:val="subscript"/>
        </w:rPr>
        <w:t>50</w:t>
      </w:r>
      <w:r>
        <w:rPr>
          <w:rStyle w:val="apple-style-span"/>
          <w:rFonts w:ascii="Times New Roman" w:hAnsi="Times New Roman"/>
          <w:color w:val="000000"/>
          <w:sz w:val="24"/>
          <w:szCs w:val="15"/>
        </w:rPr>
        <w:t>=856,24 ± 231,11µg/mL</w:t>
      </w:r>
      <w:r w:rsidRPr="00C56F91">
        <w:rPr>
          <w:rStyle w:val="apple-style-span"/>
          <w:rFonts w:ascii="Times New Roman" w:hAnsi="Times New Roman"/>
          <w:color w:val="000000"/>
          <w:sz w:val="24"/>
          <w:szCs w:val="15"/>
        </w:rPr>
        <w:t xml:space="preserve"> </w:t>
      </w:r>
      <w:r>
        <w:rPr>
          <w:rStyle w:val="apple-style-span"/>
          <w:rFonts w:ascii="Times New Roman" w:hAnsi="Times New Roman"/>
          <w:color w:val="000000"/>
          <w:sz w:val="24"/>
          <w:szCs w:val="15"/>
        </w:rPr>
        <w:t>e IC</w:t>
      </w:r>
      <w:r w:rsidRPr="00C56F91">
        <w:rPr>
          <w:rStyle w:val="apple-style-span"/>
          <w:rFonts w:ascii="Times New Roman" w:hAnsi="Times New Roman"/>
          <w:color w:val="000000"/>
          <w:sz w:val="24"/>
          <w:szCs w:val="15"/>
          <w:vertAlign w:val="subscript"/>
        </w:rPr>
        <w:t>50</w:t>
      </w:r>
      <w:r>
        <w:rPr>
          <w:rStyle w:val="apple-style-span"/>
          <w:rFonts w:ascii="Times New Roman" w:hAnsi="Times New Roman"/>
          <w:color w:val="000000"/>
          <w:sz w:val="24"/>
          <w:szCs w:val="15"/>
        </w:rPr>
        <w:t>=</w:t>
      </w:r>
      <w:r w:rsidRPr="00C56F91">
        <w:rPr>
          <w:rFonts w:ascii="Times New Roman" w:eastAsia="Times New Roman" w:hAnsi="Times New Roman"/>
          <w:sz w:val="24"/>
          <w:szCs w:val="24"/>
          <w:lang w:eastAsia="pt-PT"/>
        </w:rPr>
        <w:t>6114.72 ± 519.85</w:t>
      </w:r>
      <w:r>
        <w:rPr>
          <w:rFonts w:ascii="Times New Roman" w:eastAsia="Times New Roman" w:hAnsi="Times New Roman"/>
          <w:sz w:val="24"/>
          <w:szCs w:val="24"/>
          <w:lang w:eastAsia="pt-PT"/>
        </w:rPr>
        <w:t xml:space="preserve">, respectivamente, determinado com recurso ao método de determinação da viabilidade celular pelo corante azul de tripano (Ramos </w:t>
      </w:r>
      <w:r w:rsidRPr="00C56F91">
        <w:rPr>
          <w:rFonts w:ascii="Times New Roman" w:eastAsia="Times New Roman" w:hAnsi="Times New Roman"/>
          <w:i/>
          <w:sz w:val="24"/>
          <w:szCs w:val="24"/>
          <w:lang w:eastAsia="pt-PT"/>
        </w:rPr>
        <w:t>et al</w:t>
      </w:r>
      <w:r>
        <w:rPr>
          <w:rFonts w:ascii="Times New Roman" w:eastAsia="Times New Roman" w:hAnsi="Times New Roman"/>
          <w:i/>
          <w:sz w:val="24"/>
          <w:szCs w:val="24"/>
          <w:lang w:eastAsia="pt-PT"/>
        </w:rPr>
        <w:t>.</w:t>
      </w:r>
      <w:r>
        <w:rPr>
          <w:rFonts w:ascii="Times New Roman" w:eastAsia="Times New Roman" w:hAnsi="Times New Roman"/>
          <w:sz w:val="24"/>
          <w:szCs w:val="24"/>
          <w:lang w:eastAsia="pt-PT"/>
        </w:rPr>
        <w:t>, artigo submetido).</w:t>
      </w:r>
    </w:p>
    <w:p w:rsidR="006737F5" w:rsidRPr="004E4A79" w:rsidRDefault="006737F5" w:rsidP="006737F5">
      <w:pPr>
        <w:pStyle w:val="PargrafodaLista"/>
        <w:tabs>
          <w:tab w:val="left" w:pos="993"/>
        </w:tabs>
        <w:ind w:left="1364"/>
        <w:jc w:val="both"/>
        <w:rPr>
          <w:rFonts w:ascii="Times New Roman" w:hAnsi="Times New Roman"/>
          <w:b/>
          <w:sz w:val="28"/>
        </w:rPr>
      </w:pPr>
    </w:p>
    <w:p w:rsidR="006737F5" w:rsidRPr="00FF5185" w:rsidRDefault="006737F5" w:rsidP="00FF5185">
      <w:pPr>
        <w:pStyle w:val="PargrafodaLista"/>
        <w:numPr>
          <w:ilvl w:val="1"/>
          <w:numId w:val="32"/>
        </w:numPr>
        <w:tabs>
          <w:tab w:val="left" w:pos="993"/>
        </w:tabs>
        <w:jc w:val="both"/>
        <w:rPr>
          <w:rFonts w:ascii="Times New Roman" w:hAnsi="Times New Roman"/>
          <w:b/>
          <w:sz w:val="28"/>
        </w:rPr>
      </w:pPr>
      <w:r w:rsidRPr="00FF5185">
        <w:rPr>
          <w:rFonts w:ascii="Times New Roman" w:hAnsi="Times New Roman"/>
          <w:b/>
          <w:sz w:val="28"/>
          <w:szCs w:val="24"/>
        </w:rPr>
        <w:lastRenderedPageBreak/>
        <w:t>Ensaio preliminar de actividade antioxidante in vivo: Avaliação do efeito de protecção dos extractos de BAE contra radicais de H</w:t>
      </w:r>
      <w:r w:rsidRPr="00FF5185">
        <w:rPr>
          <w:rFonts w:ascii="Times New Roman" w:hAnsi="Times New Roman"/>
          <w:b/>
          <w:sz w:val="28"/>
          <w:szCs w:val="24"/>
          <w:vertAlign w:val="subscript"/>
        </w:rPr>
        <w:t>2</w:t>
      </w:r>
      <w:r w:rsidRPr="00FF5185">
        <w:rPr>
          <w:rFonts w:ascii="Times New Roman" w:hAnsi="Times New Roman"/>
          <w:b/>
          <w:sz w:val="28"/>
          <w:szCs w:val="24"/>
        </w:rPr>
        <w:t>O</w:t>
      </w:r>
      <w:r w:rsidRPr="00FF5185">
        <w:rPr>
          <w:rFonts w:ascii="Times New Roman" w:hAnsi="Times New Roman"/>
          <w:b/>
          <w:sz w:val="28"/>
          <w:szCs w:val="24"/>
          <w:vertAlign w:val="subscript"/>
        </w:rPr>
        <w:t>2</w:t>
      </w:r>
      <w:r w:rsidRPr="00FF5185">
        <w:rPr>
          <w:rFonts w:ascii="Times New Roman" w:hAnsi="Times New Roman"/>
          <w:b/>
          <w:sz w:val="28"/>
          <w:szCs w:val="24"/>
        </w:rPr>
        <w:t xml:space="preserve"> em </w:t>
      </w:r>
      <w:r w:rsidRPr="00FF5185">
        <w:rPr>
          <w:rFonts w:ascii="Times New Roman" w:hAnsi="Times New Roman"/>
          <w:b/>
          <w:i/>
          <w:sz w:val="28"/>
          <w:szCs w:val="24"/>
        </w:rPr>
        <w:t>Saccharomyces cerevisiae</w:t>
      </w:r>
    </w:p>
    <w:p w:rsidR="006737F5" w:rsidRDefault="006737F5" w:rsidP="006737F5">
      <w:pPr>
        <w:jc w:val="both"/>
        <w:rPr>
          <w:rFonts w:ascii="Times New Roman" w:hAnsi="Times New Roman"/>
          <w:sz w:val="24"/>
          <w:szCs w:val="24"/>
        </w:rPr>
      </w:pPr>
    </w:p>
    <w:p w:rsidR="006737F5" w:rsidRDefault="006737F5" w:rsidP="006737F5">
      <w:pPr>
        <w:ind w:left="360" w:firstLine="633"/>
        <w:jc w:val="both"/>
        <w:rPr>
          <w:rFonts w:ascii="Times New Roman" w:hAnsi="Times New Roman"/>
          <w:sz w:val="24"/>
          <w:szCs w:val="24"/>
        </w:rPr>
      </w:pPr>
      <w:r>
        <w:rPr>
          <w:rFonts w:ascii="Times New Roman" w:hAnsi="Times New Roman"/>
          <w:sz w:val="24"/>
          <w:szCs w:val="24"/>
        </w:rPr>
        <w:t xml:space="preserve">Para avaliar se os resultados de actividade antioxidante </w:t>
      </w:r>
      <w:r w:rsidRPr="00300945">
        <w:rPr>
          <w:rFonts w:ascii="Times New Roman" w:hAnsi="Times New Roman"/>
          <w:sz w:val="24"/>
          <w:szCs w:val="24"/>
        </w:rPr>
        <w:t>in vitro</w:t>
      </w:r>
      <w:r>
        <w:rPr>
          <w:rFonts w:ascii="Times New Roman" w:hAnsi="Times New Roman"/>
          <w:sz w:val="24"/>
          <w:szCs w:val="24"/>
        </w:rPr>
        <w:t xml:space="preserve"> demonstrada pelos extractos EB, ERC e EPC de bagaço de azeitona extractado, se podiam extrapolar para um modelo </w:t>
      </w:r>
      <w:r w:rsidRPr="00300945">
        <w:rPr>
          <w:rFonts w:ascii="Times New Roman" w:hAnsi="Times New Roman"/>
          <w:sz w:val="24"/>
          <w:szCs w:val="24"/>
        </w:rPr>
        <w:t>in vivo</w:t>
      </w:r>
      <w:r>
        <w:rPr>
          <w:rFonts w:ascii="Times New Roman" w:hAnsi="Times New Roman"/>
          <w:sz w:val="24"/>
          <w:szCs w:val="24"/>
        </w:rPr>
        <w:t xml:space="preserve">, incubaram-se leveduras </w:t>
      </w:r>
      <w:r w:rsidRPr="00343EE7">
        <w:rPr>
          <w:rFonts w:ascii="Times New Roman" w:hAnsi="Times New Roman"/>
          <w:i/>
          <w:sz w:val="24"/>
          <w:szCs w:val="24"/>
        </w:rPr>
        <w:t>Saccharomyces cerevisiae</w:t>
      </w:r>
      <w:r>
        <w:rPr>
          <w:rFonts w:ascii="Times New Roman" w:hAnsi="Times New Roman"/>
          <w:sz w:val="24"/>
          <w:szCs w:val="24"/>
        </w:rPr>
        <w:t xml:space="preserve"> com um agente oxidante o peróxido de hidrogénio juntamente com uma concentração de 100</w:t>
      </w:r>
      <w:r>
        <w:rPr>
          <w:sz w:val="24"/>
          <w:szCs w:val="24"/>
        </w:rPr>
        <w:t>µ</w:t>
      </w:r>
      <w:r>
        <w:rPr>
          <w:rFonts w:ascii="Times New Roman" w:hAnsi="Times New Roman"/>
          <w:sz w:val="24"/>
          <w:szCs w:val="24"/>
        </w:rPr>
        <w:t>g/mL de cada um dos três extractos, EB, EPC e ERC, ou com o padrão de referência Hidroxitirosol. O crescimento da população de leveduras foi acompanhado durante 12h, e comparado com o crescimento celular em condições controlo apenas meio YPD (controlo positivo), em leveduras incubadas apenas com H</w:t>
      </w:r>
      <w:r w:rsidRPr="00343EE7">
        <w:rPr>
          <w:rFonts w:ascii="Times New Roman" w:hAnsi="Times New Roman"/>
          <w:sz w:val="24"/>
          <w:szCs w:val="24"/>
          <w:vertAlign w:val="subscript"/>
        </w:rPr>
        <w:t>2</w:t>
      </w:r>
      <w:r>
        <w:rPr>
          <w:rFonts w:ascii="Times New Roman" w:hAnsi="Times New Roman"/>
          <w:sz w:val="24"/>
          <w:szCs w:val="24"/>
        </w:rPr>
        <w:t>O</w:t>
      </w:r>
      <w:r w:rsidRPr="00343EE7">
        <w:rPr>
          <w:rFonts w:ascii="Times New Roman" w:hAnsi="Times New Roman"/>
          <w:sz w:val="24"/>
          <w:szCs w:val="24"/>
          <w:vertAlign w:val="subscript"/>
        </w:rPr>
        <w:t>2</w:t>
      </w:r>
      <w:r>
        <w:rPr>
          <w:rFonts w:ascii="Times New Roman" w:hAnsi="Times New Roman"/>
          <w:sz w:val="24"/>
          <w:szCs w:val="24"/>
        </w:rPr>
        <w:t xml:space="preserve"> (controlo negativo), e em leveduras incubadas apenas com os extractos sem o agente oxidante (controlos dos extractos EB, ERC e</w:t>
      </w:r>
      <w:r w:rsidR="00E24117">
        <w:rPr>
          <w:rFonts w:ascii="Times New Roman" w:hAnsi="Times New Roman"/>
          <w:sz w:val="24"/>
          <w:szCs w:val="24"/>
        </w:rPr>
        <w:t xml:space="preserve"> EPC) (anexo I</w:t>
      </w:r>
      <w:r>
        <w:rPr>
          <w:rFonts w:ascii="Times New Roman" w:hAnsi="Times New Roman"/>
          <w:sz w:val="24"/>
          <w:szCs w:val="24"/>
        </w:rPr>
        <w:t xml:space="preserve">I). </w:t>
      </w:r>
    </w:p>
    <w:p w:rsidR="006737F5" w:rsidRDefault="006737F5" w:rsidP="006737F5">
      <w:pPr>
        <w:ind w:left="360" w:firstLine="633"/>
        <w:jc w:val="both"/>
        <w:rPr>
          <w:rFonts w:ascii="Times New Roman" w:hAnsi="Times New Roman"/>
          <w:sz w:val="24"/>
          <w:szCs w:val="24"/>
        </w:rPr>
      </w:pPr>
      <w:r>
        <w:rPr>
          <w:rFonts w:ascii="Times New Roman" w:hAnsi="Times New Roman"/>
          <w:sz w:val="24"/>
          <w:szCs w:val="24"/>
        </w:rPr>
        <w:t xml:space="preserve">Em análise, este ensaio preliminar tinha por objectivo avaliar a capacidade antioxidante dos três extractos de BAE na protecção da população de </w:t>
      </w:r>
      <w:r w:rsidRPr="00343EE7">
        <w:rPr>
          <w:rFonts w:ascii="Times New Roman" w:hAnsi="Times New Roman"/>
          <w:i/>
          <w:sz w:val="24"/>
          <w:szCs w:val="24"/>
        </w:rPr>
        <w:t>Saccharomyces cerevisiae</w:t>
      </w:r>
      <w:r>
        <w:rPr>
          <w:rFonts w:ascii="Times New Roman" w:hAnsi="Times New Roman"/>
          <w:sz w:val="24"/>
          <w:szCs w:val="24"/>
        </w:rPr>
        <w:t xml:space="preserve"> contra o agente oxidante adicionado, H</w:t>
      </w:r>
      <w:r w:rsidRPr="00343EE7">
        <w:rPr>
          <w:rFonts w:ascii="Times New Roman" w:hAnsi="Times New Roman"/>
          <w:sz w:val="24"/>
          <w:szCs w:val="24"/>
          <w:vertAlign w:val="subscript"/>
        </w:rPr>
        <w:t>2</w:t>
      </w:r>
      <w:r>
        <w:rPr>
          <w:rFonts w:ascii="Times New Roman" w:hAnsi="Times New Roman"/>
          <w:sz w:val="24"/>
          <w:szCs w:val="24"/>
        </w:rPr>
        <w:t>O</w:t>
      </w:r>
      <w:r w:rsidRPr="00343EE7">
        <w:rPr>
          <w:rFonts w:ascii="Times New Roman" w:hAnsi="Times New Roman"/>
          <w:sz w:val="24"/>
          <w:szCs w:val="24"/>
          <w:vertAlign w:val="subscript"/>
        </w:rPr>
        <w:t>2</w:t>
      </w:r>
      <w:r>
        <w:rPr>
          <w:rFonts w:ascii="Times New Roman" w:hAnsi="Times New Roman"/>
          <w:sz w:val="24"/>
          <w:szCs w:val="24"/>
        </w:rPr>
        <w:t>, indutor de stress oxidativo. Tal não foi aferido uma vez que se presenciou a um crescimento celular no controlo negativo contendo H</w:t>
      </w:r>
      <w:r w:rsidRPr="00343EE7">
        <w:rPr>
          <w:rFonts w:ascii="Times New Roman" w:hAnsi="Times New Roman"/>
          <w:sz w:val="24"/>
          <w:szCs w:val="24"/>
          <w:vertAlign w:val="subscript"/>
        </w:rPr>
        <w:t>2</w:t>
      </w:r>
      <w:r>
        <w:rPr>
          <w:rFonts w:ascii="Times New Roman" w:hAnsi="Times New Roman"/>
          <w:sz w:val="24"/>
          <w:szCs w:val="24"/>
        </w:rPr>
        <w:t>O</w:t>
      </w:r>
      <w:r w:rsidRPr="00343EE7">
        <w:rPr>
          <w:rFonts w:ascii="Times New Roman" w:hAnsi="Times New Roman"/>
          <w:sz w:val="24"/>
          <w:szCs w:val="24"/>
          <w:vertAlign w:val="subscript"/>
        </w:rPr>
        <w:t>2</w:t>
      </w:r>
      <w:r>
        <w:rPr>
          <w:rFonts w:ascii="Times New Roman" w:hAnsi="Times New Roman"/>
          <w:sz w:val="24"/>
          <w:szCs w:val="24"/>
        </w:rPr>
        <w:t>, indicando que este reagente não se encontraria nas condições ideais de utilização, pois não inibiu o crescimento celular como seria previsto para este controlo, sendo que a sua curva de crescimento acompanhou as curvas das condições incubadas com os extractos e H</w:t>
      </w:r>
      <w:r w:rsidRPr="00343EE7">
        <w:rPr>
          <w:rFonts w:ascii="Times New Roman" w:hAnsi="Times New Roman"/>
          <w:sz w:val="24"/>
          <w:szCs w:val="24"/>
          <w:vertAlign w:val="subscript"/>
        </w:rPr>
        <w:t>2</w:t>
      </w:r>
      <w:r>
        <w:rPr>
          <w:rFonts w:ascii="Times New Roman" w:hAnsi="Times New Roman"/>
          <w:sz w:val="24"/>
          <w:szCs w:val="24"/>
        </w:rPr>
        <w:t>O</w:t>
      </w:r>
      <w:r w:rsidRPr="00343EE7">
        <w:rPr>
          <w:rFonts w:ascii="Times New Roman" w:hAnsi="Times New Roman"/>
          <w:sz w:val="24"/>
          <w:szCs w:val="24"/>
          <w:vertAlign w:val="subscript"/>
        </w:rPr>
        <w:t>2</w:t>
      </w:r>
      <w:r>
        <w:rPr>
          <w:rFonts w:ascii="Times New Roman" w:hAnsi="Times New Roman"/>
          <w:sz w:val="24"/>
          <w:szCs w:val="24"/>
        </w:rPr>
        <w:t xml:space="preserve"> (anexo III). Por isso não foi possível observar efectivamente o potencial efeito protector dos extractos de bagaço de azeitona extractado contra uma condição de stress oxidativo induzido. Apenas se verifica que as curvas de crescimento dos extractos possuem um comportamento semelhante, não se destacando nenhum dos extractos por um potencial efeito protector antioxidante superior em </w:t>
      </w:r>
      <w:r w:rsidRPr="00343EE7">
        <w:rPr>
          <w:rFonts w:ascii="Times New Roman" w:hAnsi="Times New Roman"/>
          <w:i/>
          <w:sz w:val="24"/>
          <w:szCs w:val="24"/>
        </w:rPr>
        <w:t>Saccharomyces cerevisiae</w:t>
      </w:r>
      <w:r>
        <w:rPr>
          <w:rFonts w:ascii="Times New Roman" w:hAnsi="Times New Roman"/>
          <w:sz w:val="24"/>
          <w:szCs w:val="24"/>
        </w:rPr>
        <w:t xml:space="preserve"> neste ensaio. Já as curvas de crescimento relativas às situações controlo apenas incubadas com os extractos de BAE, demonstraram que os extractos não são nocivos para as células, não interferindo no seu crescimento durante o período experimental. </w:t>
      </w:r>
    </w:p>
    <w:p w:rsidR="006737F5" w:rsidRPr="009E643E" w:rsidRDefault="006737F5" w:rsidP="006737F5">
      <w:pPr>
        <w:ind w:left="360" w:firstLine="633"/>
        <w:jc w:val="both"/>
        <w:rPr>
          <w:rFonts w:ascii="Times New Roman" w:hAnsi="Times New Roman"/>
          <w:sz w:val="24"/>
          <w:szCs w:val="24"/>
        </w:rPr>
      </w:pPr>
      <w:r>
        <w:rPr>
          <w:rFonts w:ascii="Times New Roman" w:hAnsi="Times New Roman"/>
          <w:sz w:val="24"/>
          <w:szCs w:val="24"/>
        </w:rPr>
        <w:t>A repetição deste ensaio não possível no tempo experimental útil, constituindo um dos objectivos futuros a sua reprodução por forma a determinar os valores de EC</w:t>
      </w:r>
      <w:r w:rsidRPr="00F711FC">
        <w:rPr>
          <w:rFonts w:ascii="Times New Roman" w:hAnsi="Times New Roman"/>
          <w:sz w:val="24"/>
          <w:szCs w:val="24"/>
          <w:vertAlign w:val="subscript"/>
        </w:rPr>
        <w:t>50</w:t>
      </w:r>
      <w:r>
        <w:rPr>
          <w:rFonts w:ascii="Times New Roman" w:hAnsi="Times New Roman"/>
          <w:sz w:val="24"/>
          <w:szCs w:val="24"/>
        </w:rPr>
        <w:t xml:space="preserve"> (tempo requerido para atingir 50% do crescimento máximo) para cada extracto de BAE, e ampliar o leque de bioactividades apresentadas pelos três extractos em estudo neste trabalho. Estes dados preliminares não anulam a hipótese da existência deste efeito protector por parte dos extractos produzidos a partir do subproduto da indústria do azeite BAE, sendo necessária a repetição do ensaio para aferir se a sua capacidade antioxidante é extrapolável para este modelo </w:t>
      </w:r>
      <w:r w:rsidRPr="009E643E">
        <w:rPr>
          <w:rFonts w:ascii="Times New Roman" w:hAnsi="Times New Roman"/>
          <w:i/>
          <w:sz w:val="24"/>
          <w:szCs w:val="24"/>
        </w:rPr>
        <w:t>in vivo</w:t>
      </w:r>
      <w:r>
        <w:rPr>
          <w:rFonts w:ascii="Times New Roman" w:hAnsi="Times New Roman"/>
          <w:sz w:val="24"/>
          <w:szCs w:val="24"/>
        </w:rPr>
        <w:t xml:space="preserve"> testado, bem </w:t>
      </w:r>
      <w:r w:rsidR="002013B5">
        <w:rPr>
          <w:rFonts w:ascii="Times New Roman" w:hAnsi="Times New Roman"/>
          <w:sz w:val="24"/>
          <w:szCs w:val="24"/>
        </w:rPr>
        <w:t>como a substituição do reagente</w:t>
      </w:r>
      <w:r>
        <w:rPr>
          <w:rFonts w:ascii="Times New Roman" w:hAnsi="Times New Roman"/>
          <w:sz w:val="24"/>
          <w:szCs w:val="24"/>
        </w:rPr>
        <w:t xml:space="preserve"> H</w:t>
      </w:r>
      <w:r w:rsidRPr="00343EE7">
        <w:rPr>
          <w:rFonts w:ascii="Times New Roman" w:hAnsi="Times New Roman"/>
          <w:sz w:val="24"/>
          <w:szCs w:val="24"/>
          <w:vertAlign w:val="subscript"/>
        </w:rPr>
        <w:t>2</w:t>
      </w:r>
      <w:r>
        <w:rPr>
          <w:rFonts w:ascii="Times New Roman" w:hAnsi="Times New Roman"/>
          <w:sz w:val="24"/>
          <w:szCs w:val="24"/>
        </w:rPr>
        <w:t>O</w:t>
      </w:r>
      <w:r w:rsidRPr="00343EE7">
        <w:rPr>
          <w:rFonts w:ascii="Times New Roman" w:hAnsi="Times New Roman"/>
          <w:sz w:val="24"/>
          <w:szCs w:val="24"/>
          <w:vertAlign w:val="subscript"/>
        </w:rPr>
        <w:t>2</w:t>
      </w:r>
      <w:r>
        <w:rPr>
          <w:rFonts w:ascii="Times New Roman" w:hAnsi="Times New Roman"/>
          <w:sz w:val="24"/>
          <w:szCs w:val="24"/>
        </w:rPr>
        <w:t>.</w:t>
      </w:r>
    </w:p>
    <w:p w:rsidR="006737F5" w:rsidRPr="00FA7200" w:rsidRDefault="006737F5" w:rsidP="006737F5">
      <w:pPr>
        <w:rPr>
          <w:rFonts w:ascii="Times New Roman" w:hAnsi="Times New Roman"/>
          <w:sz w:val="24"/>
          <w:szCs w:val="24"/>
        </w:rPr>
      </w:pPr>
    </w:p>
    <w:p w:rsidR="006737F5" w:rsidRPr="00133165" w:rsidRDefault="006737F5" w:rsidP="00133165">
      <w:pPr>
        <w:spacing w:after="0"/>
        <w:rPr>
          <w:rFonts w:ascii="Times New Roman" w:hAnsi="Times New Roman"/>
          <w:b/>
          <w:sz w:val="24"/>
          <w:szCs w:val="24"/>
        </w:rPr>
      </w:pPr>
    </w:p>
    <w:p w:rsidR="006737F5" w:rsidRPr="00133165" w:rsidRDefault="006737F5" w:rsidP="00133165">
      <w:pPr>
        <w:spacing w:after="0"/>
        <w:rPr>
          <w:rFonts w:ascii="Times New Roman" w:hAnsi="Times New Roman"/>
          <w:b/>
          <w:sz w:val="24"/>
          <w:szCs w:val="24"/>
        </w:rPr>
      </w:pPr>
    </w:p>
    <w:p w:rsidR="006737F5" w:rsidRPr="00133165" w:rsidRDefault="006737F5"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2E2B3E" w:rsidRPr="00133165" w:rsidRDefault="002E2B3E" w:rsidP="00133165">
      <w:pPr>
        <w:spacing w:after="0"/>
        <w:jc w:val="right"/>
        <w:rPr>
          <w:rFonts w:ascii="Times New Roman" w:hAnsi="Times New Roman"/>
          <w:b/>
          <w:sz w:val="24"/>
          <w:szCs w:val="24"/>
        </w:rPr>
      </w:pPr>
    </w:p>
    <w:p w:rsidR="00BC3839" w:rsidRPr="00133165" w:rsidRDefault="00BC3839" w:rsidP="00133165">
      <w:pPr>
        <w:spacing w:after="0"/>
        <w:jc w:val="right"/>
        <w:rPr>
          <w:rFonts w:ascii="Times New Roman" w:hAnsi="Times New Roman"/>
          <w:b/>
          <w:sz w:val="24"/>
          <w:szCs w:val="24"/>
        </w:rPr>
      </w:pPr>
    </w:p>
    <w:p w:rsidR="00BC3839" w:rsidRPr="00133165" w:rsidRDefault="00BC3839" w:rsidP="00133165">
      <w:pPr>
        <w:spacing w:after="0"/>
        <w:jc w:val="right"/>
        <w:rPr>
          <w:rFonts w:ascii="Times New Roman" w:hAnsi="Times New Roman"/>
          <w:b/>
          <w:sz w:val="24"/>
          <w:szCs w:val="24"/>
        </w:rPr>
      </w:pPr>
    </w:p>
    <w:p w:rsidR="00BC3839" w:rsidRPr="00133165" w:rsidRDefault="00BC3839" w:rsidP="00133165">
      <w:pPr>
        <w:spacing w:after="0"/>
        <w:jc w:val="right"/>
        <w:rPr>
          <w:rFonts w:ascii="Times New Roman" w:hAnsi="Times New Roman"/>
          <w:b/>
          <w:sz w:val="24"/>
          <w:szCs w:val="24"/>
        </w:rPr>
      </w:pPr>
    </w:p>
    <w:p w:rsidR="00BC3839" w:rsidRPr="00133165" w:rsidRDefault="00BC3839" w:rsidP="00133165">
      <w:pPr>
        <w:spacing w:after="0"/>
        <w:jc w:val="right"/>
        <w:rPr>
          <w:rFonts w:ascii="Times New Roman" w:hAnsi="Times New Roman"/>
          <w:b/>
          <w:sz w:val="24"/>
          <w:szCs w:val="24"/>
        </w:rPr>
      </w:pPr>
    </w:p>
    <w:p w:rsidR="006737F5" w:rsidRPr="00133165" w:rsidRDefault="006737F5" w:rsidP="00133165">
      <w:pPr>
        <w:spacing w:after="0"/>
        <w:rPr>
          <w:rFonts w:ascii="Times New Roman" w:hAnsi="Times New Roman"/>
          <w:b/>
          <w:sz w:val="24"/>
          <w:szCs w:val="24"/>
        </w:rPr>
      </w:pPr>
    </w:p>
    <w:p w:rsidR="002E2B3E" w:rsidRPr="002E2B3E" w:rsidRDefault="002E2B3E" w:rsidP="00133165">
      <w:pPr>
        <w:pStyle w:val="PargrafodaLista"/>
        <w:numPr>
          <w:ilvl w:val="0"/>
          <w:numId w:val="35"/>
        </w:numPr>
        <w:tabs>
          <w:tab w:val="left" w:pos="4253"/>
          <w:tab w:val="left" w:pos="4536"/>
          <w:tab w:val="left" w:pos="5245"/>
        </w:tabs>
        <w:spacing w:after="0"/>
        <w:jc w:val="right"/>
        <w:rPr>
          <w:rFonts w:ascii="Times New Roman" w:hAnsi="Times New Roman"/>
          <w:b/>
          <w:sz w:val="32"/>
          <w:szCs w:val="28"/>
        </w:rPr>
      </w:pPr>
      <w:r w:rsidRPr="002E2B3E">
        <w:rPr>
          <w:rFonts w:ascii="Times New Roman" w:hAnsi="Times New Roman"/>
          <w:b/>
          <w:sz w:val="32"/>
          <w:szCs w:val="24"/>
        </w:rPr>
        <w:t>Conclusão e perspectivas futuras</w:t>
      </w:r>
      <w:r w:rsidRPr="002E2B3E">
        <w:rPr>
          <w:rFonts w:ascii="Times New Roman" w:hAnsi="Times New Roman"/>
          <w:b/>
          <w:sz w:val="32"/>
          <w:szCs w:val="28"/>
        </w:rPr>
        <w:t xml:space="preserve"> </w:t>
      </w:r>
    </w:p>
    <w:p w:rsidR="006737F5" w:rsidRDefault="006737F5" w:rsidP="002E2B3E">
      <w:pPr>
        <w:spacing w:after="0"/>
        <w:jc w:val="right"/>
        <w:rPr>
          <w:rFonts w:ascii="Times New Roman" w:hAnsi="Times New Roman"/>
          <w:b/>
          <w:sz w:val="24"/>
          <w:szCs w:val="24"/>
        </w:rPr>
      </w:pPr>
    </w:p>
    <w:p w:rsidR="006737F5" w:rsidRDefault="006737F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Default="00133165" w:rsidP="00322A7E">
      <w:pPr>
        <w:spacing w:after="0"/>
        <w:rPr>
          <w:rFonts w:ascii="Times New Roman" w:hAnsi="Times New Roman"/>
          <w:b/>
          <w:sz w:val="24"/>
          <w:szCs w:val="24"/>
        </w:rPr>
      </w:pPr>
    </w:p>
    <w:p w:rsidR="00133165" w:rsidRPr="00165FE3" w:rsidRDefault="00133165" w:rsidP="00165FE3">
      <w:pPr>
        <w:spacing w:after="0"/>
        <w:rPr>
          <w:rFonts w:ascii="Times New Roman" w:hAnsi="Times New Roman"/>
          <w:sz w:val="24"/>
          <w:szCs w:val="24"/>
        </w:rPr>
      </w:pPr>
    </w:p>
    <w:p w:rsidR="00640BD5" w:rsidRPr="00640BD5" w:rsidRDefault="001C4205" w:rsidP="00640BD5">
      <w:pPr>
        <w:ind w:firstLine="708"/>
        <w:jc w:val="both"/>
        <w:rPr>
          <w:rFonts w:ascii="Times New Roman" w:hAnsi="Times New Roman"/>
          <w:color w:val="000000"/>
          <w:sz w:val="24"/>
          <w:szCs w:val="24"/>
        </w:rPr>
      </w:pPr>
      <w:r w:rsidRPr="000315F2">
        <w:rPr>
          <w:rStyle w:val="hps"/>
          <w:rFonts w:ascii="Times New Roman" w:hAnsi="Times New Roman"/>
          <w:color w:val="000000"/>
          <w:sz w:val="24"/>
          <w:szCs w:val="24"/>
        </w:rPr>
        <w:t>A fracção fenólica presente em maior quantidade no azeite virgem inclui o hidroxitir</w:t>
      </w:r>
      <w:r>
        <w:rPr>
          <w:rStyle w:val="hps"/>
          <w:rFonts w:ascii="Times New Roman" w:hAnsi="Times New Roman"/>
          <w:color w:val="000000"/>
          <w:sz w:val="24"/>
          <w:szCs w:val="24"/>
        </w:rPr>
        <w:t xml:space="preserve">osol, o tirosol e a oleuropeína, </w:t>
      </w:r>
      <w:r w:rsidRPr="000315F2">
        <w:rPr>
          <w:rStyle w:val="hps"/>
          <w:rFonts w:ascii="Times New Roman" w:hAnsi="Times New Roman"/>
          <w:color w:val="000000"/>
          <w:sz w:val="24"/>
          <w:szCs w:val="24"/>
        </w:rPr>
        <w:t xml:space="preserve">compostos cujo potencial biológico tem sido abordado pelo Grupo </w:t>
      </w:r>
      <w:r>
        <w:rPr>
          <w:rStyle w:val="hps"/>
          <w:rFonts w:ascii="Times New Roman" w:hAnsi="Times New Roman"/>
          <w:color w:val="000000"/>
          <w:sz w:val="24"/>
          <w:szCs w:val="24"/>
        </w:rPr>
        <w:t xml:space="preserve">de </w:t>
      </w:r>
      <w:r w:rsidR="00FF1AAC">
        <w:rPr>
          <w:rStyle w:val="hps"/>
          <w:rFonts w:ascii="Times New Roman" w:hAnsi="Times New Roman"/>
          <w:color w:val="000000"/>
          <w:sz w:val="24"/>
          <w:szCs w:val="24"/>
        </w:rPr>
        <w:t xml:space="preserve">investigação de </w:t>
      </w:r>
      <w:r>
        <w:rPr>
          <w:rStyle w:val="hps"/>
          <w:rFonts w:ascii="Times New Roman" w:hAnsi="Times New Roman"/>
          <w:color w:val="000000"/>
          <w:sz w:val="24"/>
          <w:szCs w:val="24"/>
        </w:rPr>
        <w:t>Compostos Bioactivos do CEBA</w:t>
      </w:r>
      <w:r w:rsidR="00FF1AAC">
        <w:rPr>
          <w:rStyle w:val="hps"/>
          <w:rFonts w:ascii="Times New Roman" w:hAnsi="Times New Roman"/>
          <w:color w:val="000000"/>
          <w:sz w:val="24"/>
          <w:szCs w:val="24"/>
        </w:rPr>
        <w:t>L</w:t>
      </w:r>
      <w:r>
        <w:rPr>
          <w:rStyle w:val="hps"/>
          <w:rFonts w:ascii="Times New Roman" w:hAnsi="Times New Roman"/>
          <w:color w:val="000000"/>
          <w:sz w:val="24"/>
          <w:szCs w:val="24"/>
        </w:rPr>
        <w:t xml:space="preserve">. </w:t>
      </w:r>
      <w:r w:rsidRPr="00661F4C">
        <w:rPr>
          <w:rStyle w:val="hps"/>
          <w:rFonts w:ascii="Times New Roman" w:hAnsi="Times New Roman"/>
          <w:color w:val="000000"/>
          <w:sz w:val="24"/>
          <w:szCs w:val="24"/>
        </w:rPr>
        <w:t>Sabe-se que uma percentagem desta fracção fenólica fica retida nos resíduos e subprodutos resultantes da produção de azeite</w:t>
      </w:r>
      <w:r>
        <w:rPr>
          <w:rStyle w:val="hps"/>
          <w:rFonts w:ascii="Times New Roman" w:hAnsi="Times New Roman"/>
          <w:color w:val="000000"/>
          <w:sz w:val="24"/>
          <w:szCs w:val="24"/>
        </w:rPr>
        <w:t>, resultando em biomassas ricas em compostos com elevado potencial biológico, como o bagaço de azeitona extractado, cuja resposta da indústria à sua produção é a sua eliminação/reaproveitamento por meio de cogeração</w:t>
      </w:r>
      <w:r w:rsidRPr="00661F4C">
        <w:rPr>
          <w:rStyle w:val="hps"/>
          <w:rFonts w:ascii="Times New Roman" w:hAnsi="Times New Roman"/>
          <w:color w:val="000000"/>
          <w:sz w:val="24"/>
          <w:szCs w:val="24"/>
        </w:rPr>
        <w:t>.</w:t>
      </w:r>
      <w:r>
        <w:rPr>
          <w:rStyle w:val="hps"/>
          <w:rFonts w:ascii="Times New Roman" w:hAnsi="Times New Roman"/>
          <w:color w:val="000000"/>
          <w:sz w:val="24"/>
          <w:szCs w:val="24"/>
        </w:rPr>
        <w:t xml:space="preserve"> </w:t>
      </w:r>
      <w:r w:rsidR="00165FE3">
        <w:rPr>
          <w:rFonts w:ascii="Times New Roman" w:hAnsi="Times New Roman"/>
          <w:sz w:val="24"/>
          <w:szCs w:val="24"/>
        </w:rPr>
        <w:t>O</w:t>
      </w:r>
      <w:r w:rsidR="00165FE3" w:rsidRPr="00165FE3">
        <w:rPr>
          <w:rFonts w:ascii="Times New Roman" w:hAnsi="Times New Roman"/>
          <w:sz w:val="24"/>
          <w:szCs w:val="24"/>
        </w:rPr>
        <w:t xml:space="preserve"> </w:t>
      </w:r>
      <w:r w:rsidR="00165FE3">
        <w:rPr>
          <w:rFonts w:ascii="Times New Roman" w:hAnsi="Times New Roman"/>
          <w:sz w:val="24"/>
          <w:szCs w:val="24"/>
        </w:rPr>
        <w:t xml:space="preserve">subproduto </w:t>
      </w:r>
      <w:r w:rsidR="00165FE3" w:rsidRPr="00165FE3">
        <w:rPr>
          <w:rFonts w:ascii="Times New Roman" w:hAnsi="Times New Roman"/>
          <w:sz w:val="24"/>
          <w:szCs w:val="24"/>
        </w:rPr>
        <w:t>baga</w:t>
      </w:r>
      <w:r w:rsidR="00165FE3">
        <w:rPr>
          <w:rFonts w:ascii="Times New Roman" w:hAnsi="Times New Roman"/>
          <w:sz w:val="24"/>
          <w:szCs w:val="24"/>
        </w:rPr>
        <w:t xml:space="preserve">ço de azeitona extractado representa </w:t>
      </w:r>
      <w:r>
        <w:rPr>
          <w:rFonts w:ascii="Times New Roman" w:hAnsi="Times New Roman"/>
          <w:sz w:val="24"/>
          <w:szCs w:val="24"/>
        </w:rPr>
        <w:t xml:space="preserve">assim </w:t>
      </w:r>
      <w:r w:rsidR="00165FE3">
        <w:rPr>
          <w:rFonts w:ascii="Times New Roman" w:hAnsi="Times New Roman"/>
          <w:sz w:val="24"/>
          <w:szCs w:val="24"/>
        </w:rPr>
        <w:t>uma fonte relativamente barata de compostos fenólicos originados da produção de azeite</w:t>
      </w:r>
      <w:r w:rsidR="00AD7F4F">
        <w:rPr>
          <w:rFonts w:ascii="Times New Roman" w:hAnsi="Times New Roman"/>
          <w:sz w:val="24"/>
          <w:szCs w:val="24"/>
        </w:rPr>
        <w:t xml:space="preserve">, </w:t>
      </w:r>
      <w:r w:rsidR="002A5FBA">
        <w:rPr>
          <w:rFonts w:ascii="Times New Roman" w:hAnsi="Times New Roman"/>
          <w:sz w:val="24"/>
          <w:szCs w:val="24"/>
        </w:rPr>
        <w:t>com</w:t>
      </w:r>
      <w:r w:rsidR="00AD7F4F">
        <w:rPr>
          <w:rFonts w:ascii="Times New Roman" w:hAnsi="Times New Roman"/>
          <w:sz w:val="24"/>
          <w:szCs w:val="24"/>
        </w:rPr>
        <w:t xml:space="preserve"> grande interesse </w:t>
      </w:r>
      <w:r w:rsidR="002A5FBA">
        <w:rPr>
          <w:rFonts w:ascii="Times New Roman" w:hAnsi="Times New Roman"/>
          <w:sz w:val="24"/>
          <w:szCs w:val="24"/>
        </w:rPr>
        <w:t xml:space="preserve">biológico, </w:t>
      </w:r>
      <w:r w:rsidR="00167EE5">
        <w:rPr>
          <w:rFonts w:ascii="Times New Roman" w:hAnsi="Times New Roman"/>
          <w:sz w:val="24"/>
          <w:szCs w:val="24"/>
        </w:rPr>
        <w:t xml:space="preserve">devido às bioactividades reportadas </w:t>
      </w:r>
      <w:r>
        <w:rPr>
          <w:rFonts w:ascii="Times New Roman" w:hAnsi="Times New Roman"/>
          <w:sz w:val="24"/>
          <w:szCs w:val="24"/>
        </w:rPr>
        <w:t xml:space="preserve">que apresentam, </w:t>
      </w:r>
      <w:r w:rsidR="00167EE5">
        <w:rPr>
          <w:rFonts w:ascii="Times New Roman" w:hAnsi="Times New Roman"/>
          <w:sz w:val="24"/>
          <w:szCs w:val="24"/>
        </w:rPr>
        <w:t xml:space="preserve">tais como actividade antioxidante e </w:t>
      </w:r>
      <w:r w:rsidR="00EF4F40">
        <w:rPr>
          <w:rFonts w:ascii="Times New Roman" w:hAnsi="Times New Roman"/>
          <w:sz w:val="24"/>
          <w:szCs w:val="24"/>
        </w:rPr>
        <w:t>antiprolifera</w:t>
      </w:r>
      <w:r w:rsidR="00167EE5">
        <w:rPr>
          <w:rFonts w:ascii="Times New Roman" w:hAnsi="Times New Roman"/>
          <w:sz w:val="24"/>
          <w:szCs w:val="24"/>
        </w:rPr>
        <w:t xml:space="preserve">tiva. </w:t>
      </w:r>
    </w:p>
    <w:p w:rsidR="00992F4C" w:rsidRDefault="00992F4C" w:rsidP="009530D9">
      <w:pPr>
        <w:tabs>
          <w:tab w:val="left" w:pos="709"/>
        </w:tabs>
        <w:jc w:val="both"/>
        <w:rPr>
          <w:rStyle w:val="hps"/>
          <w:rFonts w:ascii="Times New Roman" w:hAnsi="Times New Roman"/>
          <w:color w:val="000000"/>
          <w:sz w:val="24"/>
          <w:szCs w:val="24"/>
        </w:rPr>
      </w:pPr>
      <w:r>
        <w:rPr>
          <w:rFonts w:ascii="Times New Roman" w:hAnsi="Times New Roman"/>
          <w:sz w:val="24"/>
          <w:szCs w:val="24"/>
        </w:rPr>
        <w:tab/>
        <w:t xml:space="preserve">O presente trabalho tinha por objectivo a </w:t>
      </w:r>
      <w:r w:rsidRPr="000315F2">
        <w:rPr>
          <w:rFonts w:ascii="Times New Roman" w:hAnsi="Times New Roman"/>
          <w:sz w:val="24"/>
          <w:szCs w:val="24"/>
        </w:rPr>
        <w:t xml:space="preserve">valorização do subproduto bagaço </w:t>
      </w:r>
      <w:r>
        <w:rPr>
          <w:rFonts w:ascii="Times New Roman" w:hAnsi="Times New Roman"/>
          <w:sz w:val="24"/>
          <w:szCs w:val="24"/>
        </w:rPr>
        <w:t xml:space="preserve">de azeitona </w:t>
      </w:r>
      <w:r w:rsidRPr="000315F2">
        <w:rPr>
          <w:rFonts w:ascii="Times New Roman" w:hAnsi="Times New Roman"/>
          <w:sz w:val="24"/>
          <w:szCs w:val="24"/>
        </w:rPr>
        <w:t xml:space="preserve">extractado, focando-se quer na sua caracterização química quer biológica, </w:t>
      </w:r>
      <w:r>
        <w:rPr>
          <w:rFonts w:ascii="Times New Roman" w:hAnsi="Times New Roman"/>
          <w:sz w:val="24"/>
          <w:szCs w:val="24"/>
        </w:rPr>
        <w:t>pela obtenção de extractos derivados de BAE</w:t>
      </w:r>
      <w:r w:rsidR="009530D9">
        <w:rPr>
          <w:rFonts w:ascii="Times New Roman" w:hAnsi="Times New Roman"/>
          <w:sz w:val="24"/>
          <w:szCs w:val="24"/>
        </w:rPr>
        <w:t>,</w:t>
      </w:r>
      <w:r>
        <w:rPr>
          <w:rFonts w:ascii="Times New Roman" w:hAnsi="Times New Roman"/>
          <w:sz w:val="24"/>
          <w:szCs w:val="24"/>
        </w:rPr>
        <w:t xml:space="preserve"> com recurso a tecnologias limpas, como seja o caso do processo</w:t>
      </w:r>
      <w:r w:rsidRPr="00742E88">
        <w:rPr>
          <w:rFonts w:ascii="Times New Roman" w:hAnsi="Times New Roman"/>
          <w:sz w:val="24"/>
          <w:szCs w:val="24"/>
        </w:rPr>
        <w:t xml:space="preserve"> de </w:t>
      </w:r>
      <w:r w:rsidR="00FF1AAC">
        <w:rPr>
          <w:rFonts w:ascii="Times New Roman" w:hAnsi="Times New Roman"/>
          <w:sz w:val="24"/>
          <w:szCs w:val="24"/>
        </w:rPr>
        <w:t xml:space="preserve">separação por </w:t>
      </w:r>
      <w:r w:rsidRPr="00742E88">
        <w:rPr>
          <w:rFonts w:ascii="Times New Roman" w:hAnsi="Times New Roman"/>
          <w:sz w:val="24"/>
          <w:szCs w:val="24"/>
        </w:rPr>
        <w:t>membranas</w:t>
      </w:r>
      <w:r>
        <w:rPr>
          <w:rFonts w:ascii="Times New Roman" w:hAnsi="Times New Roman"/>
          <w:sz w:val="24"/>
          <w:szCs w:val="24"/>
        </w:rPr>
        <w:t>.</w:t>
      </w:r>
      <w:r w:rsidR="009530D9">
        <w:rPr>
          <w:rFonts w:ascii="Times New Roman" w:hAnsi="Times New Roman"/>
          <w:sz w:val="24"/>
          <w:szCs w:val="24"/>
        </w:rPr>
        <w:t xml:space="preserve"> </w:t>
      </w:r>
      <w:r>
        <w:rPr>
          <w:rFonts w:ascii="Times New Roman" w:hAnsi="Times New Roman"/>
          <w:sz w:val="24"/>
          <w:szCs w:val="24"/>
        </w:rPr>
        <w:t>Como inicialmente pretendido,</w:t>
      </w:r>
      <w:r w:rsidR="009530D9">
        <w:rPr>
          <w:rFonts w:ascii="Times New Roman" w:hAnsi="Times New Roman"/>
          <w:sz w:val="24"/>
          <w:szCs w:val="24"/>
        </w:rPr>
        <w:t xml:space="preserve"> </w:t>
      </w:r>
      <w:r>
        <w:rPr>
          <w:rFonts w:ascii="Times New Roman" w:hAnsi="Times New Roman"/>
          <w:sz w:val="24"/>
          <w:szCs w:val="24"/>
        </w:rPr>
        <w:t xml:space="preserve">conseguiu-se </w:t>
      </w:r>
      <w:r w:rsidR="009530D9">
        <w:rPr>
          <w:rFonts w:ascii="Times New Roman" w:hAnsi="Times New Roman"/>
          <w:sz w:val="24"/>
          <w:szCs w:val="24"/>
        </w:rPr>
        <w:t>obter</w:t>
      </w:r>
      <w:r>
        <w:rPr>
          <w:rFonts w:ascii="Times New Roman" w:hAnsi="Times New Roman"/>
          <w:sz w:val="24"/>
          <w:szCs w:val="24"/>
        </w:rPr>
        <w:t xml:space="preserve"> </w:t>
      </w:r>
      <w:r w:rsidR="00640BD5" w:rsidRPr="00742E88">
        <w:rPr>
          <w:rFonts w:ascii="Times New Roman" w:hAnsi="Times New Roman"/>
          <w:sz w:val="24"/>
          <w:szCs w:val="24"/>
        </w:rPr>
        <w:t xml:space="preserve">um extracto aquoso </w:t>
      </w:r>
      <w:r w:rsidR="00640BD5">
        <w:rPr>
          <w:rFonts w:ascii="Times New Roman" w:hAnsi="Times New Roman"/>
          <w:sz w:val="24"/>
          <w:szCs w:val="24"/>
        </w:rPr>
        <w:t xml:space="preserve">concentrado </w:t>
      </w:r>
      <w:r w:rsidR="00640BD5" w:rsidRPr="00742E88">
        <w:rPr>
          <w:rFonts w:ascii="Times New Roman" w:hAnsi="Times New Roman"/>
          <w:sz w:val="24"/>
          <w:szCs w:val="24"/>
        </w:rPr>
        <w:t>de bagaço de azeitona extractado</w:t>
      </w:r>
      <w:r w:rsidR="00640BD5">
        <w:rPr>
          <w:rFonts w:ascii="Times New Roman" w:hAnsi="Times New Roman"/>
          <w:sz w:val="24"/>
          <w:szCs w:val="24"/>
        </w:rPr>
        <w:t>,</w:t>
      </w:r>
      <w:r w:rsidR="00640BD5" w:rsidRPr="00742E88">
        <w:rPr>
          <w:rFonts w:ascii="Times New Roman" w:hAnsi="Times New Roman"/>
          <w:sz w:val="24"/>
          <w:szCs w:val="24"/>
        </w:rPr>
        <w:t xml:space="preserve"> </w:t>
      </w:r>
      <w:r>
        <w:rPr>
          <w:rFonts w:ascii="Times New Roman" w:hAnsi="Times New Roman"/>
          <w:sz w:val="24"/>
          <w:szCs w:val="24"/>
        </w:rPr>
        <w:t>denominado de EPC</w:t>
      </w:r>
      <w:r w:rsidR="009530D9">
        <w:rPr>
          <w:rFonts w:ascii="Times New Roman" w:hAnsi="Times New Roman"/>
          <w:sz w:val="24"/>
          <w:szCs w:val="24"/>
        </w:rPr>
        <w:t>,</w:t>
      </w:r>
      <w:r>
        <w:rPr>
          <w:rFonts w:ascii="Times New Roman" w:hAnsi="Times New Roman"/>
          <w:sz w:val="24"/>
          <w:szCs w:val="24"/>
        </w:rPr>
        <w:t xml:space="preserve"> </w:t>
      </w:r>
      <w:r w:rsidR="009530D9">
        <w:rPr>
          <w:rFonts w:ascii="Times New Roman" w:hAnsi="Times New Roman"/>
          <w:sz w:val="24"/>
          <w:szCs w:val="24"/>
        </w:rPr>
        <w:t>que se</w:t>
      </w:r>
      <w:r>
        <w:rPr>
          <w:rFonts w:ascii="Times New Roman" w:hAnsi="Times New Roman"/>
          <w:sz w:val="24"/>
          <w:szCs w:val="24"/>
        </w:rPr>
        <w:t xml:space="preserve"> encontra </w:t>
      </w:r>
      <w:r w:rsidRPr="00FA1F9A">
        <w:rPr>
          <w:rFonts w:ascii="Times New Roman" w:hAnsi="Times New Roman"/>
          <w:sz w:val="24"/>
          <w:szCs w:val="24"/>
        </w:rPr>
        <w:t>“limpo” de com</w:t>
      </w:r>
      <w:r>
        <w:rPr>
          <w:rFonts w:ascii="Times New Roman" w:hAnsi="Times New Roman"/>
          <w:sz w:val="24"/>
          <w:szCs w:val="24"/>
        </w:rPr>
        <w:t xml:space="preserve">postos de maior massa molecular, em virtude da selecção pelos processos de membranas, e apresenta um </w:t>
      </w:r>
      <w:r w:rsidRPr="00FA1F9A">
        <w:rPr>
          <w:rFonts w:ascii="Times New Roman" w:hAnsi="Times New Roman"/>
          <w:sz w:val="24"/>
          <w:szCs w:val="24"/>
        </w:rPr>
        <w:t>grau de pureza</w:t>
      </w:r>
      <w:r w:rsidR="00FF1AAC">
        <w:rPr>
          <w:rFonts w:ascii="Times New Roman" w:hAnsi="Times New Roman"/>
          <w:sz w:val="24"/>
          <w:szCs w:val="24"/>
        </w:rPr>
        <w:t xml:space="preserve"> e percentagem</w:t>
      </w:r>
      <w:r w:rsidRPr="00FA1F9A">
        <w:rPr>
          <w:rFonts w:ascii="Times New Roman" w:hAnsi="Times New Roman"/>
          <w:sz w:val="24"/>
          <w:szCs w:val="24"/>
        </w:rPr>
        <w:t xml:space="preserve"> de Hidroxitirosol superior aos restantes extractos</w:t>
      </w:r>
      <w:r>
        <w:rPr>
          <w:rFonts w:ascii="Times New Roman" w:hAnsi="Times New Roman"/>
          <w:sz w:val="24"/>
          <w:szCs w:val="24"/>
        </w:rPr>
        <w:t xml:space="preserve"> obtidos, com consequente potencial biológico</w:t>
      </w:r>
      <w:r w:rsidR="00640BD5" w:rsidRPr="00742E88">
        <w:rPr>
          <w:rFonts w:ascii="Times New Roman" w:hAnsi="Times New Roman"/>
          <w:sz w:val="24"/>
          <w:szCs w:val="24"/>
        </w:rPr>
        <w:t xml:space="preserve"> superior </w:t>
      </w:r>
      <w:r w:rsidR="009530D9">
        <w:rPr>
          <w:rFonts w:ascii="Times New Roman" w:hAnsi="Times New Roman"/>
          <w:sz w:val="24"/>
          <w:szCs w:val="24"/>
        </w:rPr>
        <w:t xml:space="preserve">comparado </w:t>
      </w:r>
      <w:r w:rsidR="00640BD5" w:rsidRPr="00742E88">
        <w:rPr>
          <w:rFonts w:ascii="Times New Roman" w:hAnsi="Times New Roman"/>
          <w:sz w:val="24"/>
          <w:szCs w:val="24"/>
        </w:rPr>
        <w:t xml:space="preserve">ao extracto </w:t>
      </w:r>
      <w:r w:rsidR="00640BD5">
        <w:rPr>
          <w:rFonts w:ascii="Times New Roman" w:hAnsi="Times New Roman"/>
          <w:sz w:val="24"/>
          <w:szCs w:val="24"/>
        </w:rPr>
        <w:t xml:space="preserve">que lhe </w:t>
      </w:r>
      <w:r w:rsidR="00640BD5" w:rsidRPr="00742E88">
        <w:rPr>
          <w:rFonts w:ascii="Times New Roman" w:hAnsi="Times New Roman"/>
          <w:sz w:val="24"/>
          <w:szCs w:val="24"/>
        </w:rPr>
        <w:t>de</w:t>
      </w:r>
      <w:r>
        <w:rPr>
          <w:rFonts w:ascii="Times New Roman" w:hAnsi="Times New Roman"/>
          <w:sz w:val="24"/>
          <w:szCs w:val="24"/>
        </w:rPr>
        <w:t>u origem.</w:t>
      </w:r>
      <w:r w:rsidR="00640BD5" w:rsidRPr="00742E88">
        <w:rPr>
          <w:rFonts w:ascii="Times New Roman" w:hAnsi="Times New Roman"/>
          <w:sz w:val="24"/>
          <w:szCs w:val="24"/>
        </w:rPr>
        <w:t xml:space="preserve"> </w:t>
      </w:r>
      <w:r w:rsidR="009530D9">
        <w:rPr>
          <w:rFonts w:ascii="Times New Roman" w:hAnsi="Times New Roman"/>
          <w:sz w:val="24"/>
          <w:szCs w:val="24"/>
        </w:rPr>
        <w:t xml:space="preserve">Ainda que com um rendimento </w:t>
      </w:r>
      <w:r w:rsidR="00FF1AAC">
        <w:rPr>
          <w:rFonts w:ascii="Times New Roman" w:hAnsi="Times New Roman"/>
          <w:sz w:val="24"/>
          <w:szCs w:val="24"/>
        </w:rPr>
        <w:t>do processo de separação por membranas de 28%</w:t>
      </w:r>
      <w:r w:rsidR="009530D9">
        <w:rPr>
          <w:rFonts w:ascii="Times New Roman" w:hAnsi="Times New Roman"/>
          <w:sz w:val="24"/>
          <w:szCs w:val="24"/>
        </w:rPr>
        <w:t xml:space="preserve">, </w:t>
      </w:r>
      <w:r w:rsidR="009530D9">
        <w:rPr>
          <w:rStyle w:val="hps"/>
          <w:rFonts w:ascii="Times New Roman" w:hAnsi="Times New Roman"/>
          <w:color w:val="000000"/>
          <w:sz w:val="24"/>
          <w:szCs w:val="24"/>
        </w:rPr>
        <w:t>o</w:t>
      </w:r>
      <w:r w:rsidRPr="00992F4C">
        <w:rPr>
          <w:rStyle w:val="hps"/>
          <w:rFonts w:ascii="Times New Roman" w:hAnsi="Times New Roman"/>
          <w:color w:val="000000"/>
          <w:sz w:val="24"/>
          <w:szCs w:val="24"/>
        </w:rPr>
        <w:t xml:space="preserve"> EPC apresenta uma actividade biológica aumentada em relação aos restantes extractos, </w:t>
      </w:r>
      <w:r w:rsidR="009530D9">
        <w:rPr>
          <w:rStyle w:val="hps"/>
          <w:rFonts w:ascii="Times New Roman" w:hAnsi="Times New Roman"/>
          <w:color w:val="000000"/>
          <w:sz w:val="24"/>
          <w:szCs w:val="24"/>
        </w:rPr>
        <w:t xml:space="preserve">avaliada pela determinação da sua actividade antioxidante e antiproliferativa em células humanas de cancro da mama fenótipo triplo negativo, </w:t>
      </w:r>
      <w:r w:rsidRPr="00992F4C">
        <w:rPr>
          <w:rStyle w:val="hps"/>
          <w:rFonts w:ascii="Times New Roman" w:hAnsi="Times New Roman"/>
          <w:color w:val="000000"/>
          <w:sz w:val="24"/>
          <w:szCs w:val="24"/>
        </w:rPr>
        <w:t>e será possivelmente, de entre os três, o extracto mais interessante do ponto de vista bioquímico e fitoterapêutico.</w:t>
      </w:r>
    </w:p>
    <w:p w:rsidR="008E4E12" w:rsidRPr="008E4E12" w:rsidRDefault="009530D9" w:rsidP="008E4E12">
      <w:pPr>
        <w:tabs>
          <w:tab w:val="left" w:pos="709"/>
        </w:tabs>
        <w:jc w:val="both"/>
        <w:rPr>
          <w:rStyle w:val="hps"/>
          <w:rFonts w:ascii="Times New Roman" w:hAnsi="Times New Roman"/>
          <w:color w:val="000000"/>
          <w:sz w:val="24"/>
          <w:szCs w:val="24"/>
        </w:rPr>
      </w:pPr>
      <w:r>
        <w:rPr>
          <w:rStyle w:val="hps"/>
          <w:rFonts w:ascii="Times New Roman" w:hAnsi="Times New Roman"/>
          <w:color w:val="000000"/>
          <w:sz w:val="24"/>
          <w:szCs w:val="24"/>
        </w:rPr>
        <w:tab/>
        <w:t xml:space="preserve">Actualmente o EB está a ser caracterizado quimicamente no âmbito de uma tese de doutoramento (Ramos </w:t>
      </w:r>
      <w:r w:rsidRPr="009530D9">
        <w:rPr>
          <w:rStyle w:val="hps"/>
          <w:rFonts w:ascii="Times New Roman" w:hAnsi="Times New Roman"/>
          <w:i/>
          <w:color w:val="000000"/>
          <w:sz w:val="24"/>
          <w:szCs w:val="24"/>
        </w:rPr>
        <w:t>et al</w:t>
      </w:r>
      <w:r>
        <w:rPr>
          <w:rStyle w:val="hps"/>
          <w:rFonts w:ascii="Times New Roman" w:hAnsi="Times New Roman"/>
          <w:color w:val="000000"/>
          <w:sz w:val="24"/>
          <w:szCs w:val="24"/>
        </w:rPr>
        <w:t xml:space="preserve">.), dados que fornecerão respostas dos compostos implicados nas bioactividades reportadas, e irão permitir um estudo mais direccionado com </w:t>
      </w:r>
      <w:r w:rsidR="008E4E12">
        <w:rPr>
          <w:rStyle w:val="hps"/>
          <w:rFonts w:ascii="Times New Roman" w:hAnsi="Times New Roman"/>
          <w:color w:val="000000"/>
          <w:sz w:val="24"/>
          <w:szCs w:val="24"/>
        </w:rPr>
        <w:t xml:space="preserve">o </w:t>
      </w:r>
      <w:r>
        <w:rPr>
          <w:rStyle w:val="hps"/>
          <w:rFonts w:ascii="Times New Roman" w:hAnsi="Times New Roman"/>
          <w:color w:val="000000"/>
          <w:sz w:val="24"/>
          <w:szCs w:val="24"/>
        </w:rPr>
        <w:t xml:space="preserve">objectivo de melhoramento das respostas testadas. </w:t>
      </w:r>
      <w:r w:rsidR="00B316EF">
        <w:rPr>
          <w:rStyle w:val="hps"/>
          <w:rFonts w:ascii="Times New Roman" w:hAnsi="Times New Roman"/>
          <w:color w:val="000000"/>
          <w:sz w:val="24"/>
          <w:szCs w:val="24"/>
        </w:rPr>
        <w:t>De futuro pretende-se melhorar o rendimento final do processo de separação por membranas através da optimização das condições operadas, com vista ao aumento da permeação do composto Hidroxitirosol no EPC.</w:t>
      </w:r>
      <w:r w:rsidR="008E4E12">
        <w:rPr>
          <w:rStyle w:val="hps"/>
          <w:rFonts w:ascii="Times New Roman" w:hAnsi="Times New Roman"/>
          <w:color w:val="000000"/>
          <w:sz w:val="24"/>
          <w:szCs w:val="24"/>
        </w:rPr>
        <w:t xml:space="preserve"> </w:t>
      </w:r>
      <w:r w:rsidR="00B316EF">
        <w:rPr>
          <w:rStyle w:val="hps"/>
          <w:rFonts w:ascii="Times New Roman" w:hAnsi="Times New Roman"/>
          <w:color w:val="000000"/>
          <w:sz w:val="24"/>
          <w:szCs w:val="24"/>
        </w:rPr>
        <w:t xml:space="preserve">Pretende-se ainda proceder à caracterização da fracção fenólica presente nos extractos aquosos derivados de BAE. </w:t>
      </w:r>
      <w:r w:rsidR="008E4E12">
        <w:rPr>
          <w:rStyle w:val="hps"/>
          <w:rFonts w:ascii="Times New Roman" w:hAnsi="Times New Roman"/>
          <w:color w:val="000000"/>
          <w:sz w:val="24"/>
          <w:szCs w:val="24"/>
        </w:rPr>
        <w:t>Os ensaios antiproliferativos na linha celular MDA-MB-231 necessitaram de ser repetidos, com fim à normalização dos valores de IC</w:t>
      </w:r>
      <w:r w:rsidR="008E4E12" w:rsidRPr="008E4E12">
        <w:rPr>
          <w:rStyle w:val="hps"/>
          <w:rFonts w:ascii="Times New Roman" w:hAnsi="Times New Roman"/>
          <w:color w:val="000000"/>
          <w:sz w:val="24"/>
          <w:szCs w:val="24"/>
          <w:vertAlign w:val="subscript"/>
        </w:rPr>
        <w:t>50</w:t>
      </w:r>
      <w:r w:rsidR="008E4E12">
        <w:rPr>
          <w:rStyle w:val="hps"/>
          <w:rFonts w:ascii="Times New Roman" w:hAnsi="Times New Roman"/>
          <w:color w:val="000000"/>
          <w:sz w:val="24"/>
          <w:szCs w:val="24"/>
        </w:rPr>
        <w:t xml:space="preserve"> obtidos para cada extracto, bem como o ensaio de actividade antioxidante in vivo para a aferir </w:t>
      </w:r>
      <w:r w:rsidR="008E4E12" w:rsidRPr="008E4E12">
        <w:rPr>
          <w:rStyle w:val="hps"/>
          <w:rFonts w:ascii="Times New Roman" w:hAnsi="Times New Roman"/>
          <w:color w:val="000000"/>
          <w:sz w:val="24"/>
          <w:szCs w:val="24"/>
        </w:rPr>
        <w:t xml:space="preserve">o </w:t>
      </w:r>
      <w:r w:rsidR="008E4E12">
        <w:rPr>
          <w:rStyle w:val="hps"/>
          <w:rFonts w:ascii="Times New Roman" w:hAnsi="Times New Roman"/>
          <w:color w:val="000000"/>
          <w:sz w:val="24"/>
          <w:szCs w:val="24"/>
        </w:rPr>
        <w:t xml:space="preserve">potencial </w:t>
      </w:r>
      <w:r w:rsidR="008E4E12" w:rsidRPr="008E4E12">
        <w:rPr>
          <w:rStyle w:val="hps"/>
          <w:rFonts w:ascii="Times New Roman" w:hAnsi="Times New Roman"/>
          <w:color w:val="000000"/>
          <w:sz w:val="24"/>
          <w:szCs w:val="24"/>
        </w:rPr>
        <w:t>efeito de protecção dos extractos de BAE contra radicais de H</w:t>
      </w:r>
      <w:r w:rsidR="008E4E12" w:rsidRPr="002A5FBA">
        <w:rPr>
          <w:rStyle w:val="hps"/>
          <w:rFonts w:ascii="Times New Roman" w:hAnsi="Times New Roman"/>
          <w:color w:val="000000"/>
          <w:sz w:val="24"/>
          <w:szCs w:val="24"/>
          <w:vertAlign w:val="subscript"/>
        </w:rPr>
        <w:t>2</w:t>
      </w:r>
      <w:r w:rsidR="008E4E12" w:rsidRPr="008E4E12">
        <w:rPr>
          <w:rStyle w:val="hps"/>
          <w:rFonts w:ascii="Times New Roman" w:hAnsi="Times New Roman"/>
          <w:color w:val="000000"/>
          <w:sz w:val="24"/>
          <w:szCs w:val="24"/>
        </w:rPr>
        <w:t>O</w:t>
      </w:r>
      <w:r w:rsidR="008E4E12" w:rsidRPr="002A5FBA">
        <w:rPr>
          <w:rStyle w:val="hps"/>
          <w:rFonts w:ascii="Times New Roman" w:hAnsi="Times New Roman"/>
          <w:color w:val="000000"/>
          <w:sz w:val="24"/>
          <w:szCs w:val="24"/>
          <w:vertAlign w:val="subscript"/>
        </w:rPr>
        <w:t>2</w:t>
      </w:r>
      <w:r w:rsidR="008E4E12" w:rsidRPr="008E4E12">
        <w:rPr>
          <w:rStyle w:val="hps"/>
          <w:rFonts w:ascii="Times New Roman" w:hAnsi="Times New Roman"/>
          <w:color w:val="000000"/>
          <w:sz w:val="24"/>
          <w:szCs w:val="24"/>
        </w:rPr>
        <w:t xml:space="preserve"> em </w:t>
      </w:r>
      <w:r w:rsidR="008E4E12" w:rsidRPr="002A5FBA">
        <w:rPr>
          <w:rStyle w:val="hps"/>
          <w:rFonts w:ascii="Times New Roman" w:hAnsi="Times New Roman"/>
          <w:i/>
          <w:color w:val="000000"/>
          <w:sz w:val="24"/>
          <w:szCs w:val="24"/>
        </w:rPr>
        <w:t>Saccharomyces cerevisiae</w:t>
      </w:r>
      <w:r w:rsidR="002A5FBA">
        <w:rPr>
          <w:rStyle w:val="hps"/>
          <w:rFonts w:ascii="Times New Roman" w:hAnsi="Times New Roman"/>
          <w:color w:val="000000"/>
          <w:sz w:val="24"/>
          <w:szCs w:val="24"/>
        </w:rPr>
        <w:t>.</w:t>
      </w:r>
    </w:p>
    <w:p w:rsidR="008E4E12" w:rsidRDefault="002A5FBA" w:rsidP="008E4E12">
      <w:pPr>
        <w:jc w:val="both"/>
        <w:rPr>
          <w:rFonts w:ascii="Times New Roman" w:hAnsi="Times New Roman"/>
          <w:sz w:val="24"/>
          <w:szCs w:val="24"/>
        </w:rPr>
      </w:pPr>
      <w:r>
        <w:rPr>
          <w:rFonts w:ascii="Times New Roman" w:hAnsi="Times New Roman"/>
          <w:sz w:val="24"/>
          <w:szCs w:val="24"/>
        </w:rPr>
        <w:tab/>
        <w:t xml:space="preserve">Espera-se que com este trabalho o enorme potencial biológico do subproduto BAE tenha sido evidenciado, e que os seus extractos derivados, nomeadamente o EPC, possa constituir uma promissora fonte de compostos fenólicos com aplicação nas indústrias alimentar e farmacêutica. </w:t>
      </w:r>
    </w:p>
    <w:p w:rsidR="006737F5" w:rsidRPr="009530D9" w:rsidRDefault="006737F5" w:rsidP="00165FE3">
      <w:pPr>
        <w:spacing w:after="0"/>
        <w:rPr>
          <w:rFonts w:ascii="Times New Roman" w:hAnsi="Times New Roman"/>
          <w:sz w:val="24"/>
          <w:szCs w:val="24"/>
        </w:rPr>
      </w:pPr>
    </w:p>
    <w:p w:rsidR="006737F5" w:rsidRPr="009530D9" w:rsidRDefault="006737F5" w:rsidP="00165FE3">
      <w:pPr>
        <w:spacing w:after="0"/>
        <w:rPr>
          <w:rFonts w:ascii="Times New Roman" w:hAnsi="Times New Roman"/>
          <w:sz w:val="24"/>
          <w:szCs w:val="24"/>
        </w:rPr>
      </w:pPr>
    </w:p>
    <w:p w:rsidR="006737F5" w:rsidRPr="009530D9" w:rsidRDefault="006737F5" w:rsidP="00165FE3">
      <w:pPr>
        <w:spacing w:after="0"/>
        <w:rPr>
          <w:rFonts w:ascii="Times New Roman" w:hAnsi="Times New Roman"/>
          <w:sz w:val="24"/>
          <w:szCs w:val="24"/>
        </w:rPr>
      </w:pPr>
    </w:p>
    <w:p w:rsidR="006737F5" w:rsidRPr="009530D9" w:rsidRDefault="006737F5" w:rsidP="00165FE3">
      <w:pPr>
        <w:spacing w:after="0"/>
        <w:rPr>
          <w:rFonts w:ascii="Times New Roman" w:hAnsi="Times New Roman"/>
          <w:sz w:val="24"/>
          <w:szCs w:val="24"/>
        </w:rPr>
      </w:pPr>
    </w:p>
    <w:p w:rsidR="006737F5" w:rsidRPr="009530D9" w:rsidRDefault="006737F5" w:rsidP="00165FE3">
      <w:pPr>
        <w:spacing w:after="0"/>
        <w:rPr>
          <w:rFonts w:ascii="Times New Roman" w:hAnsi="Times New Roman"/>
          <w:sz w:val="24"/>
          <w:szCs w:val="24"/>
        </w:rPr>
      </w:pPr>
    </w:p>
    <w:p w:rsidR="006737F5" w:rsidRPr="009530D9" w:rsidRDefault="006737F5" w:rsidP="00165FE3">
      <w:pPr>
        <w:spacing w:after="0"/>
        <w:rPr>
          <w:rFonts w:ascii="Times New Roman" w:hAnsi="Times New Roman"/>
          <w:sz w:val="24"/>
          <w:szCs w:val="24"/>
        </w:rPr>
      </w:pPr>
    </w:p>
    <w:p w:rsidR="006737F5" w:rsidRPr="009530D9" w:rsidRDefault="006737F5" w:rsidP="00165FE3">
      <w:pPr>
        <w:spacing w:after="0"/>
        <w:rPr>
          <w:rFonts w:ascii="Times New Roman" w:hAnsi="Times New Roman"/>
          <w:sz w:val="24"/>
          <w:szCs w:val="24"/>
        </w:rPr>
      </w:pPr>
    </w:p>
    <w:p w:rsidR="006737F5" w:rsidRPr="009530D9" w:rsidRDefault="006737F5" w:rsidP="00322A7E">
      <w:pPr>
        <w:spacing w:after="0"/>
        <w:rPr>
          <w:rFonts w:ascii="Times New Roman" w:hAnsi="Times New Roman"/>
          <w:b/>
          <w:sz w:val="24"/>
          <w:szCs w:val="24"/>
        </w:rPr>
      </w:pPr>
    </w:p>
    <w:p w:rsidR="006737F5" w:rsidRPr="009530D9" w:rsidRDefault="006737F5" w:rsidP="00322A7E">
      <w:pPr>
        <w:spacing w:after="0"/>
        <w:rPr>
          <w:rFonts w:ascii="Times New Roman" w:hAnsi="Times New Roman"/>
          <w:b/>
          <w:sz w:val="24"/>
          <w:szCs w:val="24"/>
        </w:rPr>
      </w:pPr>
    </w:p>
    <w:p w:rsidR="006737F5" w:rsidRPr="009530D9" w:rsidRDefault="006737F5" w:rsidP="00322A7E">
      <w:pPr>
        <w:spacing w:after="0"/>
        <w:rPr>
          <w:rFonts w:ascii="Times New Roman" w:hAnsi="Times New Roman"/>
          <w:b/>
          <w:sz w:val="24"/>
          <w:szCs w:val="24"/>
        </w:rPr>
      </w:pPr>
    </w:p>
    <w:p w:rsidR="006737F5" w:rsidRPr="009530D9" w:rsidRDefault="006737F5" w:rsidP="00322A7E">
      <w:pPr>
        <w:spacing w:after="0"/>
        <w:rPr>
          <w:rFonts w:ascii="Times New Roman" w:hAnsi="Times New Roman"/>
          <w:b/>
          <w:sz w:val="24"/>
          <w:szCs w:val="24"/>
        </w:rPr>
      </w:pPr>
    </w:p>
    <w:p w:rsidR="006737F5" w:rsidRPr="009530D9" w:rsidRDefault="006737F5" w:rsidP="00322A7E">
      <w:pPr>
        <w:spacing w:after="0"/>
        <w:rPr>
          <w:rFonts w:ascii="Times New Roman" w:hAnsi="Times New Roman"/>
          <w:b/>
          <w:sz w:val="24"/>
          <w:szCs w:val="24"/>
        </w:rPr>
      </w:pPr>
    </w:p>
    <w:p w:rsidR="006737F5" w:rsidRPr="009530D9" w:rsidRDefault="006737F5" w:rsidP="00322A7E">
      <w:pPr>
        <w:spacing w:after="0"/>
        <w:rPr>
          <w:rFonts w:ascii="Times New Roman" w:hAnsi="Times New Roman"/>
          <w:b/>
          <w:sz w:val="24"/>
          <w:szCs w:val="24"/>
        </w:rPr>
      </w:pPr>
    </w:p>
    <w:p w:rsidR="00322A7E" w:rsidRPr="009530D9" w:rsidRDefault="00322A7E" w:rsidP="00322A7E">
      <w:pPr>
        <w:spacing w:after="0"/>
        <w:rPr>
          <w:rFonts w:ascii="Times New Roman" w:hAnsi="Times New Roman"/>
          <w:b/>
          <w:sz w:val="24"/>
          <w:szCs w:val="24"/>
        </w:rPr>
      </w:pPr>
    </w:p>
    <w:p w:rsidR="00322A7E" w:rsidRPr="009530D9" w:rsidRDefault="00322A7E" w:rsidP="00322A7E">
      <w:pPr>
        <w:spacing w:after="0"/>
        <w:rPr>
          <w:rFonts w:ascii="Times New Roman" w:hAnsi="Times New Roman"/>
          <w:b/>
          <w:sz w:val="24"/>
          <w:szCs w:val="24"/>
        </w:rPr>
      </w:pPr>
    </w:p>
    <w:p w:rsidR="00322A7E" w:rsidRPr="009530D9" w:rsidRDefault="00322A7E" w:rsidP="00322A7E">
      <w:pPr>
        <w:spacing w:after="0"/>
        <w:rPr>
          <w:rFonts w:ascii="Times New Roman" w:hAnsi="Times New Roman"/>
          <w:b/>
          <w:sz w:val="24"/>
          <w:szCs w:val="24"/>
        </w:rPr>
      </w:pPr>
    </w:p>
    <w:p w:rsidR="00322A7E" w:rsidRPr="009530D9" w:rsidRDefault="00322A7E" w:rsidP="00322A7E">
      <w:pPr>
        <w:spacing w:after="0"/>
        <w:rPr>
          <w:rFonts w:ascii="Times New Roman" w:hAnsi="Times New Roman"/>
          <w:b/>
          <w:sz w:val="24"/>
          <w:szCs w:val="24"/>
        </w:rPr>
      </w:pPr>
    </w:p>
    <w:p w:rsidR="00133165" w:rsidRPr="009530D9" w:rsidRDefault="00133165" w:rsidP="00322A7E">
      <w:pPr>
        <w:spacing w:after="0"/>
        <w:rPr>
          <w:rFonts w:ascii="Times New Roman" w:hAnsi="Times New Roman"/>
          <w:b/>
          <w:sz w:val="24"/>
          <w:szCs w:val="24"/>
        </w:rPr>
      </w:pPr>
    </w:p>
    <w:p w:rsidR="00133165" w:rsidRPr="009530D9" w:rsidRDefault="00133165" w:rsidP="00322A7E">
      <w:pPr>
        <w:spacing w:after="0"/>
        <w:rPr>
          <w:rFonts w:ascii="Times New Roman" w:hAnsi="Times New Roman"/>
          <w:b/>
          <w:sz w:val="24"/>
          <w:szCs w:val="24"/>
        </w:rPr>
      </w:pPr>
    </w:p>
    <w:p w:rsidR="00133165" w:rsidRPr="009530D9" w:rsidRDefault="00133165" w:rsidP="00322A7E">
      <w:pPr>
        <w:spacing w:after="0"/>
        <w:rPr>
          <w:rFonts w:ascii="Times New Roman" w:hAnsi="Times New Roman"/>
          <w:b/>
          <w:sz w:val="24"/>
          <w:szCs w:val="24"/>
        </w:rPr>
      </w:pPr>
    </w:p>
    <w:p w:rsidR="00133165" w:rsidRPr="009530D9" w:rsidRDefault="00133165" w:rsidP="00322A7E">
      <w:pPr>
        <w:spacing w:after="0"/>
        <w:rPr>
          <w:rFonts w:ascii="Times New Roman" w:hAnsi="Times New Roman"/>
          <w:b/>
          <w:sz w:val="24"/>
          <w:szCs w:val="24"/>
        </w:rPr>
      </w:pPr>
    </w:p>
    <w:p w:rsidR="00133165" w:rsidRPr="009530D9" w:rsidRDefault="00133165" w:rsidP="00322A7E">
      <w:pPr>
        <w:spacing w:after="0"/>
        <w:rPr>
          <w:rFonts w:ascii="Times New Roman" w:hAnsi="Times New Roman"/>
          <w:b/>
          <w:sz w:val="24"/>
          <w:szCs w:val="24"/>
        </w:rPr>
      </w:pPr>
    </w:p>
    <w:p w:rsidR="00133165" w:rsidRPr="009530D9" w:rsidRDefault="00133165" w:rsidP="00322A7E">
      <w:pPr>
        <w:spacing w:after="0"/>
        <w:rPr>
          <w:rFonts w:ascii="Times New Roman" w:hAnsi="Times New Roman"/>
          <w:b/>
          <w:sz w:val="24"/>
          <w:szCs w:val="24"/>
        </w:rPr>
      </w:pPr>
    </w:p>
    <w:p w:rsidR="00175642" w:rsidRPr="002E2B3E" w:rsidRDefault="00175642" w:rsidP="002E2B3E">
      <w:pPr>
        <w:pStyle w:val="PargrafodaLista"/>
        <w:numPr>
          <w:ilvl w:val="0"/>
          <w:numId w:val="33"/>
        </w:numPr>
        <w:spacing w:after="0"/>
        <w:jc w:val="right"/>
        <w:rPr>
          <w:rFonts w:ascii="Times New Roman" w:hAnsi="Times New Roman"/>
          <w:b/>
          <w:sz w:val="32"/>
          <w:szCs w:val="28"/>
        </w:rPr>
      </w:pPr>
      <w:r w:rsidRPr="002E2B3E">
        <w:rPr>
          <w:rFonts w:ascii="Times New Roman" w:hAnsi="Times New Roman"/>
          <w:b/>
          <w:sz w:val="32"/>
          <w:szCs w:val="28"/>
        </w:rPr>
        <w:t>Referências Bibliográficas</w:t>
      </w: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6737F5" w:rsidRDefault="006737F5"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175642" w:rsidRDefault="00175642" w:rsidP="00AB44A0">
      <w:pPr>
        <w:jc w:val="both"/>
        <w:rPr>
          <w:rFonts w:ascii="Times New Roman" w:hAnsi="Times New Roman"/>
          <w:sz w:val="19"/>
          <w:szCs w:val="19"/>
          <w:lang w:val="en-US" w:eastAsia="pt-PT"/>
        </w:rPr>
      </w:pPr>
    </w:p>
    <w:p w:rsidR="00D65C4B" w:rsidRDefault="00D65C4B" w:rsidP="00AB44A0">
      <w:pPr>
        <w:jc w:val="both"/>
        <w:rPr>
          <w:rFonts w:ascii="Times New Roman" w:hAnsi="Times New Roman"/>
          <w:color w:val="FF0000"/>
          <w:sz w:val="24"/>
          <w:szCs w:val="24"/>
          <w:lang w:val="en-US" w:eastAsia="pt-PT"/>
        </w:rPr>
      </w:pPr>
    </w:p>
    <w:p w:rsidR="00175642" w:rsidRPr="000E2563" w:rsidRDefault="00175642" w:rsidP="000E2563">
      <w:pPr>
        <w:jc w:val="both"/>
        <w:rPr>
          <w:rFonts w:ascii="Times New Roman" w:hAnsi="Times New Roman"/>
          <w:sz w:val="24"/>
          <w:szCs w:val="23"/>
        </w:rPr>
      </w:pPr>
      <w:r w:rsidRPr="000E2563">
        <w:rPr>
          <w:rFonts w:ascii="Times New Roman" w:hAnsi="Times New Roman"/>
          <w:sz w:val="24"/>
          <w:szCs w:val="23"/>
          <w:lang w:val="en-US"/>
        </w:rPr>
        <w:lastRenderedPageBreak/>
        <w:t xml:space="preserve">Adams, L. S., Phung, S., Yee, N., </w:t>
      </w:r>
      <w:r w:rsidR="009833D4" w:rsidRPr="000E2563">
        <w:rPr>
          <w:rFonts w:ascii="Times New Roman" w:hAnsi="Times New Roman"/>
          <w:sz w:val="24"/>
          <w:szCs w:val="23"/>
          <w:lang w:val="en-US"/>
        </w:rPr>
        <w:t>Seeram, N. P., Li, L., Chen, S.</w:t>
      </w:r>
      <w:r w:rsidRPr="000E2563">
        <w:rPr>
          <w:rFonts w:ascii="Times New Roman" w:hAnsi="Times New Roman"/>
          <w:sz w:val="24"/>
          <w:szCs w:val="23"/>
          <w:lang w:val="en-US"/>
        </w:rPr>
        <w:t xml:space="preserve"> (2010). Blueberry Phytochemicals Inhibit Growth and Metastatic Potential of MDA-MB-231 Breast Cancer Cells through Modulation of the Phosphatidylinositol 3-Kinase Pathway. </w:t>
      </w:r>
      <w:r w:rsidRPr="000E2563">
        <w:rPr>
          <w:rFonts w:ascii="Times New Roman" w:hAnsi="Times New Roman"/>
          <w:i/>
          <w:iCs/>
          <w:sz w:val="24"/>
          <w:szCs w:val="23"/>
        </w:rPr>
        <w:t>Apoptosis</w:t>
      </w:r>
      <w:r w:rsidRPr="000E2563">
        <w:rPr>
          <w:rFonts w:ascii="Times New Roman" w:hAnsi="Times New Roman"/>
          <w:sz w:val="24"/>
          <w:szCs w:val="23"/>
        </w:rPr>
        <w:t>, 70(10), 3594-3605.</w:t>
      </w:r>
    </w:p>
    <w:p w:rsidR="00A817E9" w:rsidRPr="000E2563" w:rsidRDefault="009833D4" w:rsidP="000E2563">
      <w:pPr>
        <w:autoSpaceDE w:val="0"/>
        <w:autoSpaceDN w:val="0"/>
        <w:adjustRightInd w:val="0"/>
        <w:jc w:val="both"/>
        <w:rPr>
          <w:rFonts w:ascii="Times New Roman" w:hAnsi="Times New Roman"/>
          <w:sz w:val="24"/>
          <w:szCs w:val="23"/>
          <w:lang w:val="en-US"/>
        </w:rPr>
      </w:pPr>
      <w:r w:rsidRPr="000E2563">
        <w:rPr>
          <w:rFonts w:ascii="Times New Roman" w:hAnsi="Times New Roman"/>
          <w:sz w:val="24"/>
          <w:szCs w:val="23"/>
        </w:rPr>
        <w:t xml:space="preserve">Alburquerque, J. A., Gonzálvez, J., García, D., Cegarra, J. </w:t>
      </w:r>
      <w:r w:rsidR="00A817E9" w:rsidRPr="000E2563">
        <w:rPr>
          <w:rFonts w:ascii="Times New Roman" w:hAnsi="Times New Roman"/>
          <w:sz w:val="24"/>
          <w:szCs w:val="23"/>
        </w:rPr>
        <w:t xml:space="preserve">(2004). </w:t>
      </w:r>
      <w:r w:rsidR="00A817E9" w:rsidRPr="000E2563">
        <w:rPr>
          <w:rFonts w:ascii="Times New Roman" w:hAnsi="Times New Roman"/>
          <w:sz w:val="24"/>
          <w:szCs w:val="23"/>
          <w:lang w:val="en-US"/>
        </w:rPr>
        <w:t xml:space="preserve">Agrochemical characterisation of “alperujo”, a solid by-product of the two-phase centrifugation method for olive oil extraction. </w:t>
      </w:r>
      <w:r w:rsidR="00A817E9" w:rsidRPr="000E2563">
        <w:rPr>
          <w:rFonts w:ascii="Times New Roman" w:hAnsi="Times New Roman"/>
          <w:i/>
          <w:sz w:val="24"/>
          <w:szCs w:val="23"/>
          <w:lang w:val="en-US"/>
        </w:rPr>
        <w:t>Bioresource Technology</w:t>
      </w:r>
      <w:r w:rsidR="00A817E9" w:rsidRPr="000E2563">
        <w:rPr>
          <w:rFonts w:ascii="Times New Roman" w:hAnsi="Times New Roman"/>
          <w:sz w:val="24"/>
          <w:szCs w:val="23"/>
          <w:lang w:val="en-US"/>
        </w:rPr>
        <w:t>, 91, 195–200.</w:t>
      </w:r>
    </w:p>
    <w:p w:rsidR="009833D4" w:rsidRPr="000E2563" w:rsidRDefault="009833D4" w:rsidP="000E2563">
      <w:pPr>
        <w:jc w:val="both"/>
        <w:rPr>
          <w:rFonts w:ascii="Times New Roman" w:hAnsi="Times New Roman"/>
          <w:sz w:val="24"/>
          <w:szCs w:val="23"/>
          <w:lang w:val="en-US"/>
        </w:rPr>
      </w:pPr>
      <w:r w:rsidRPr="000E2563">
        <w:rPr>
          <w:rFonts w:ascii="Times New Roman" w:hAnsi="Times New Roman"/>
          <w:sz w:val="24"/>
          <w:szCs w:val="23"/>
          <w:lang w:val="en-US"/>
        </w:rPr>
        <w:t xml:space="preserve">Arts, I. C., &amp; Hollman, P. C. (2005). Polyphenols and disease risk in epidemiologic studies. </w:t>
      </w:r>
      <w:r w:rsidRPr="000E2563">
        <w:rPr>
          <w:rFonts w:ascii="Times New Roman" w:hAnsi="Times New Roman"/>
          <w:i/>
          <w:iCs/>
          <w:sz w:val="24"/>
          <w:szCs w:val="23"/>
          <w:lang w:val="en-US"/>
        </w:rPr>
        <w:t>The American journal of clinical nutrition</w:t>
      </w:r>
      <w:r w:rsidRPr="000E2563">
        <w:rPr>
          <w:rFonts w:ascii="Times New Roman" w:hAnsi="Times New Roman"/>
          <w:sz w:val="24"/>
          <w:szCs w:val="23"/>
          <w:lang w:val="en-US"/>
        </w:rPr>
        <w:t>, 81(1 Suppl), 317S-325S.</w:t>
      </w:r>
    </w:p>
    <w:p w:rsidR="00133444" w:rsidRPr="00C10A82" w:rsidRDefault="00133444" w:rsidP="00133444">
      <w:pPr>
        <w:autoSpaceDE w:val="0"/>
        <w:autoSpaceDN w:val="0"/>
        <w:adjustRightInd w:val="0"/>
        <w:jc w:val="both"/>
        <w:rPr>
          <w:rFonts w:ascii="Times New Roman" w:hAnsi="Times New Roman"/>
          <w:sz w:val="24"/>
          <w:szCs w:val="24"/>
          <w:lang w:val="en-US" w:eastAsia="pt-PT"/>
        </w:rPr>
      </w:pPr>
      <w:r w:rsidRPr="00853EC8">
        <w:rPr>
          <w:rFonts w:ascii="Times New Roman" w:hAnsi="Times New Roman"/>
          <w:sz w:val="24"/>
          <w:szCs w:val="24"/>
          <w:lang w:val="en-US" w:eastAsia="pt-PT"/>
        </w:rPr>
        <w:t>Bianco, A.; Mazzei, R. A.; Melchioni, C.; Romeo, G.; Scarpati, M. L.; Soriero, A.; Uccella, N. (</w:t>
      </w:r>
      <w:r w:rsidRPr="00853EC8">
        <w:rPr>
          <w:rFonts w:ascii="Times New Roman" w:hAnsi="Times New Roman"/>
          <w:bCs/>
          <w:sz w:val="24"/>
          <w:szCs w:val="24"/>
          <w:lang w:val="en-US" w:eastAsia="pt-PT"/>
        </w:rPr>
        <w:t xml:space="preserve">1998). </w:t>
      </w:r>
      <w:r w:rsidRPr="00C10A82">
        <w:rPr>
          <w:rFonts w:ascii="Times New Roman" w:hAnsi="Times New Roman"/>
          <w:sz w:val="24"/>
          <w:szCs w:val="24"/>
          <w:lang w:val="en-US" w:eastAsia="pt-PT"/>
        </w:rPr>
        <w:t>Microcomponents of olive oil</w:t>
      </w:r>
      <w:r>
        <w:rPr>
          <w:rFonts w:ascii="Times New Roman" w:hAnsi="Times New Roman"/>
          <w:sz w:val="24"/>
          <w:szCs w:val="24"/>
          <w:lang w:val="en-US" w:eastAsia="pt-PT"/>
        </w:rPr>
        <w:t xml:space="preserve"> </w:t>
      </w:r>
      <w:r w:rsidRPr="00C10A82">
        <w:rPr>
          <w:rFonts w:ascii="Times New Roman" w:hAnsi="Times New Roman"/>
          <w:sz w:val="24"/>
          <w:szCs w:val="24"/>
          <w:lang w:val="en-US" w:eastAsia="pt-PT"/>
        </w:rPr>
        <w:t>-</w:t>
      </w:r>
      <w:r>
        <w:rPr>
          <w:rFonts w:ascii="Times New Roman" w:hAnsi="Times New Roman"/>
          <w:sz w:val="24"/>
          <w:szCs w:val="24"/>
          <w:lang w:val="en-US" w:eastAsia="pt-PT"/>
        </w:rPr>
        <w:t xml:space="preserve"> </w:t>
      </w:r>
      <w:r w:rsidRPr="00C10A82">
        <w:rPr>
          <w:rFonts w:ascii="Times New Roman" w:hAnsi="Times New Roman"/>
          <w:sz w:val="24"/>
          <w:szCs w:val="24"/>
          <w:lang w:val="en-US" w:eastAsia="pt-PT"/>
        </w:rPr>
        <w:t xml:space="preserve">III. </w:t>
      </w:r>
      <w:r w:rsidRPr="00175642">
        <w:rPr>
          <w:rFonts w:ascii="Times New Roman" w:hAnsi="Times New Roman"/>
          <w:sz w:val="24"/>
          <w:szCs w:val="24"/>
          <w:lang w:val="en-US" w:eastAsia="pt-PT"/>
        </w:rPr>
        <w:t xml:space="preserve">Glucosides of 2(3,4-dihydroxyphenyl)ethanol. </w:t>
      </w:r>
      <w:r w:rsidRPr="00175642">
        <w:rPr>
          <w:rFonts w:ascii="Times New Roman" w:hAnsi="Times New Roman"/>
          <w:i/>
          <w:iCs/>
          <w:sz w:val="24"/>
          <w:szCs w:val="24"/>
          <w:lang w:val="en-US" w:eastAsia="pt-PT"/>
        </w:rPr>
        <w:t>Food Chem</w:t>
      </w:r>
      <w:r w:rsidRPr="00175642">
        <w:rPr>
          <w:rFonts w:ascii="Times New Roman" w:hAnsi="Times New Roman"/>
          <w:sz w:val="24"/>
          <w:szCs w:val="24"/>
          <w:lang w:val="en-US" w:eastAsia="pt-PT"/>
        </w:rPr>
        <w:t xml:space="preserve">., </w:t>
      </w:r>
      <w:r w:rsidRPr="00175642">
        <w:rPr>
          <w:rFonts w:ascii="Times New Roman" w:hAnsi="Times New Roman"/>
          <w:i/>
          <w:iCs/>
          <w:sz w:val="24"/>
          <w:szCs w:val="24"/>
          <w:lang w:val="en-US" w:eastAsia="pt-PT"/>
        </w:rPr>
        <w:t>63</w:t>
      </w:r>
      <w:r w:rsidRPr="00175642">
        <w:rPr>
          <w:rFonts w:ascii="Times New Roman" w:hAnsi="Times New Roman"/>
          <w:sz w:val="24"/>
          <w:szCs w:val="24"/>
          <w:lang w:val="en-US" w:eastAsia="pt-PT"/>
        </w:rPr>
        <w:t>, 461-464</w:t>
      </w:r>
      <w:r>
        <w:rPr>
          <w:rFonts w:ascii="Times New Roman" w:hAnsi="Times New Roman"/>
          <w:sz w:val="24"/>
          <w:szCs w:val="24"/>
          <w:lang w:val="en-US" w:eastAsia="pt-PT"/>
        </w:rPr>
        <w:t>.</w:t>
      </w:r>
    </w:p>
    <w:p w:rsidR="00A817E9" w:rsidRPr="000E2563" w:rsidRDefault="00C844D2" w:rsidP="000E2563">
      <w:pPr>
        <w:jc w:val="both"/>
        <w:rPr>
          <w:rFonts w:ascii="Times New Roman" w:hAnsi="Times New Roman"/>
          <w:sz w:val="24"/>
          <w:szCs w:val="23"/>
          <w:lang w:val="en-US"/>
        </w:rPr>
      </w:pPr>
      <w:r w:rsidRPr="000E2563">
        <w:rPr>
          <w:rFonts w:ascii="Times New Roman" w:hAnsi="Times New Roman"/>
          <w:sz w:val="24"/>
          <w:szCs w:val="23"/>
          <w:lang w:val="en-US"/>
        </w:rPr>
        <w:t xml:space="preserve">Biesalski, H., </w:t>
      </w:r>
      <w:r w:rsidR="00A817E9" w:rsidRPr="000E2563">
        <w:rPr>
          <w:rFonts w:ascii="Times New Roman" w:hAnsi="Times New Roman"/>
          <w:sz w:val="24"/>
          <w:szCs w:val="23"/>
          <w:lang w:val="en-US"/>
        </w:rPr>
        <w:t xml:space="preserve">D, P., Dragsted, L. O., D, P., Elmadfa, I., D, M. (2009). Bioactive compounds: Definition and assessment of activity. </w:t>
      </w:r>
      <w:r w:rsidR="00A817E9" w:rsidRPr="000E2563">
        <w:rPr>
          <w:rFonts w:ascii="Times New Roman" w:hAnsi="Times New Roman"/>
          <w:i/>
          <w:sz w:val="24"/>
          <w:szCs w:val="23"/>
          <w:lang w:val="en-US"/>
        </w:rPr>
        <w:t>Journal of Nutrition</w:t>
      </w:r>
      <w:r w:rsidR="00A817E9" w:rsidRPr="000E2563">
        <w:rPr>
          <w:rFonts w:ascii="Times New Roman" w:hAnsi="Times New Roman"/>
          <w:sz w:val="24"/>
          <w:szCs w:val="23"/>
          <w:lang w:val="en-US"/>
        </w:rPr>
        <w:t>, 25, 1202-1205.</w:t>
      </w:r>
    </w:p>
    <w:p w:rsidR="00C844D2" w:rsidRPr="000E2563" w:rsidRDefault="00A817E9" w:rsidP="000E2563">
      <w:pPr>
        <w:autoSpaceDE w:val="0"/>
        <w:autoSpaceDN w:val="0"/>
        <w:adjustRightInd w:val="0"/>
        <w:jc w:val="both"/>
        <w:rPr>
          <w:rFonts w:ascii="Times New Roman" w:hAnsi="Times New Roman"/>
          <w:sz w:val="24"/>
          <w:szCs w:val="23"/>
          <w:lang w:val="en-US"/>
        </w:rPr>
      </w:pPr>
      <w:r w:rsidRPr="000E2563">
        <w:rPr>
          <w:rFonts w:ascii="Times New Roman" w:hAnsi="Times New Roman"/>
          <w:sz w:val="24"/>
          <w:szCs w:val="23"/>
          <w:lang w:val="en-US"/>
        </w:rPr>
        <w:t>Bouallagui</w:t>
      </w:r>
      <w:r w:rsidR="00C844D2" w:rsidRPr="000E2563">
        <w:rPr>
          <w:rFonts w:ascii="Times New Roman" w:hAnsi="Times New Roman"/>
          <w:sz w:val="24"/>
          <w:szCs w:val="23"/>
          <w:lang w:val="en-US"/>
        </w:rPr>
        <w:t>, Z.,</w:t>
      </w:r>
      <w:r w:rsidRPr="000E2563">
        <w:rPr>
          <w:rFonts w:ascii="Times New Roman" w:hAnsi="Times New Roman"/>
          <w:sz w:val="24"/>
          <w:szCs w:val="23"/>
          <w:lang w:val="en-US"/>
        </w:rPr>
        <w:t xml:space="preserve"> </w:t>
      </w:r>
      <w:r w:rsidR="00C844D2" w:rsidRPr="000E2563">
        <w:rPr>
          <w:rFonts w:ascii="Times New Roman" w:hAnsi="Times New Roman"/>
          <w:sz w:val="24"/>
          <w:szCs w:val="23"/>
          <w:lang w:val="en-US"/>
        </w:rPr>
        <w:t xml:space="preserve">Han, </w:t>
      </w:r>
      <w:r w:rsidRPr="000E2563">
        <w:rPr>
          <w:rFonts w:ascii="Times New Roman" w:hAnsi="Times New Roman"/>
          <w:sz w:val="24"/>
          <w:szCs w:val="23"/>
          <w:lang w:val="en-US"/>
        </w:rPr>
        <w:t>J</w:t>
      </w:r>
      <w:r w:rsidR="00C844D2" w:rsidRPr="000E2563">
        <w:rPr>
          <w:rFonts w:ascii="Times New Roman" w:hAnsi="Times New Roman"/>
          <w:sz w:val="24"/>
          <w:szCs w:val="23"/>
          <w:lang w:val="en-US"/>
        </w:rPr>
        <w:t>., Isoda</w:t>
      </w:r>
      <w:r w:rsidRPr="000E2563">
        <w:rPr>
          <w:rFonts w:ascii="Times New Roman" w:hAnsi="Times New Roman"/>
          <w:sz w:val="24"/>
          <w:szCs w:val="23"/>
          <w:lang w:val="en-US"/>
        </w:rPr>
        <w:t>,</w:t>
      </w:r>
      <w:r w:rsidR="00C844D2" w:rsidRPr="000E2563">
        <w:rPr>
          <w:rFonts w:ascii="Times New Roman" w:hAnsi="Times New Roman"/>
          <w:sz w:val="24"/>
          <w:szCs w:val="23"/>
          <w:lang w:val="en-US"/>
        </w:rPr>
        <w:t xml:space="preserve"> H.,</w:t>
      </w:r>
      <w:r w:rsidRPr="000E2563">
        <w:rPr>
          <w:rFonts w:ascii="Times New Roman" w:hAnsi="Times New Roman"/>
          <w:sz w:val="24"/>
          <w:szCs w:val="23"/>
          <w:lang w:val="en-US"/>
        </w:rPr>
        <w:t xml:space="preserve"> </w:t>
      </w:r>
      <w:r w:rsidR="00C844D2" w:rsidRPr="000E2563">
        <w:rPr>
          <w:rFonts w:ascii="Times New Roman" w:hAnsi="Times New Roman"/>
          <w:sz w:val="24"/>
          <w:szCs w:val="23"/>
          <w:lang w:val="en-US"/>
        </w:rPr>
        <w:t xml:space="preserve">Sayadi, S. (2011).  Hydroxytyrosol rich extract from olive leaves modulates cell cycle progression in MCF-7 human breast cancer cells. </w:t>
      </w:r>
      <w:r w:rsidR="00C844D2" w:rsidRPr="000E2563">
        <w:rPr>
          <w:rFonts w:ascii="Times New Roman" w:hAnsi="Times New Roman"/>
          <w:i/>
          <w:sz w:val="24"/>
          <w:szCs w:val="23"/>
          <w:lang w:val="en-US"/>
        </w:rPr>
        <w:t>Food and Chemical Toxicology</w:t>
      </w:r>
      <w:r w:rsidR="00C844D2" w:rsidRPr="000E2563">
        <w:rPr>
          <w:rFonts w:ascii="Times New Roman" w:hAnsi="Times New Roman"/>
          <w:sz w:val="24"/>
          <w:szCs w:val="23"/>
          <w:lang w:val="en-US"/>
        </w:rPr>
        <w:t>, 49, 179–184.</w:t>
      </w:r>
    </w:p>
    <w:p w:rsidR="004F0E2D" w:rsidRPr="000E2563" w:rsidRDefault="004F0E2D" w:rsidP="000E2563">
      <w:pPr>
        <w:autoSpaceDE w:val="0"/>
        <w:autoSpaceDN w:val="0"/>
        <w:adjustRightInd w:val="0"/>
        <w:jc w:val="both"/>
        <w:rPr>
          <w:rFonts w:ascii="Times New Roman" w:hAnsi="Times New Roman"/>
          <w:sz w:val="24"/>
          <w:szCs w:val="23"/>
          <w:lang w:val="en-US"/>
        </w:rPr>
      </w:pPr>
      <w:r w:rsidRPr="000E2563">
        <w:rPr>
          <w:rFonts w:ascii="Times New Roman" w:hAnsi="Times New Roman"/>
          <w:sz w:val="24"/>
          <w:szCs w:val="23"/>
          <w:lang w:val="en-US"/>
        </w:rPr>
        <w:t xml:space="preserve">Bouchardy, C., Morabia, A., Verkooijen, H. M., Fioretta, G., Wespi, Y., Schäfer, P. (2006). Remarkable change in age-specific breast cancer incidence in the Swiss canton of Geneva and its possible relation with the use of hormone replacement therapy. </w:t>
      </w:r>
      <w:r w:rsidRPr="000E2563">
        <w:rPr>
          <w:rFonts w:ascii="Times New Roman" w:hAnsi="Times New Roman"/>
          <w:i/>
          <w:sz w:val="24"/>
          <w:szCs w:val="23"/>
          <w:lang w:val="en-US"/>
        </w:rPr>
        <w:t>BMC Cancer</w:t>
      </w:r>
      <w:r w:rsidRPr="000E2563">
        <w:rPr>
          <w:rFonts w:ascii="Times New Roman" w:hAnsi="Times New Roman"/>
          <w:sz w:val="24"/>
          <w:szCs w:val="23"/>
          <w:lang w:val="en-US"/>
        </w:rPr>
        <w:t>, 6:78.</w:t>
      </w:r>
    </w:p>
    <w:p w:rsidR="009B661A" w:rsidRPr="000E2563" w:rsidRDefault="009B661A" w:rsidP="000E2563">
      <w:pPr>
        <w:autoSpaceDE w:val="0"/>
        <w:autoSpaceDN w:val="0"/>
        <w:adjustRightInd w:val="0"/>
        <w:jc w:val="both"/>
        <w:rPr>
          <w:rFonts w:ascii="Times New Roman" w:hAnsi="Times New Roman"/>
          <w:sz w:val="24"/>
          <w:szCs w:val="23"/>
          <w:lang w:val="en-US"/>
        </w:rPr>
      </w:pPr>
      <w:r w:rsidRPr="000E2563">
        <w:rPr>
          <w:rFonts w:ascii="Times New Roman" w:hAnsi="Times New Roman"/>
          <w:sz w:val="24"/>
          <w:szCs w:val="23"/>
          <w:lang w:val="en-US"/>
        </w:rPr>
        <w:t>Burtis, C.</w:t>
      </w:r>
      <w:r w:rsidR="00102B2B" w:rsidRPr="000E2563">
        <w:rPr>
          <w:rFonts w:ascii="Times New Roman" w:hAnsi="Times New Roman"/>
          <w:sz w:val="24"/>
          <w:szCs w:val="23"/>
          <w:lang w:val="en-US"/>
        </w:rPr>
        <w:t xml:space="preserve"> </w:t>
      </w:r>
      <w:r w:rsidRPr="000E2563">
        <w:rPr>
          <w:rFonts w:ascii="Times New Roman" w:hAnsi="Times New Roman"/>
          <w:sz w:val="24"/>
          <w:szCs w:val="23"/>
          <w:lang w:val="en-US"/>
        </w:rPr>
        <w:t>A., Ashwood, E.R. (2001). Tietz Fundamentals of Clinical Chemistry, 6th Edition, pgs. 476, 711, 723-726.W.B. Saunders Company, New York.</w:t>
      </w:r>
    </w:p>
    <w:p w:rsidR="00501FA6" w:rsidRPr="000E2563" w:rsidRDefault="009D6EB7" w:rsidP="000E2563">
      <w:pPr>
        <w:autoSpaceDE w:val="0"/>
        <w:autoSpaceDN w:val="0"/>
        <w:adjustRightInd w:val="0"/>
        <w:jc w:val="both"/>
        <w:rPr>
          <w:rFonts w:ascii="Times New Roman" w:hAnsi="Times New Roman"/>
          <w:sz w:val="24"/>
          <w:szCs w:val="23"/>
          <w:lang w:val="en-US"/>
        </w:rPr>
      </w:pPr>
      <w:r w:rsidRPr="000E2563">
        <w:rPr>
          <w:rFonts w:ascii="Times New Roman" w:hAnsi="Times New Roman"/>
          <w:sz w:val="24"/>
          <w:szCs w:val="23"/>
        </w:rPr>
        <w:t xml:space="preserve">Capasso, F., Gaginella, T., Grandolini, G., Izzo, A., (2003). </w:t>
      </w:r>
      <w:r w:rsidRPr="000E2563">
        <w:rPr>
          <w:rFonts w:ascii="Times New Roman" w:hAnsi="Times New Roman"/>
          <w:sz w:val="24"/>
          <w:szCs w:val="23"/>
          <w:lang w:val="en-US"/>
        </w:rPr>
        <w:t xml:space="preserve">Phytotherapy: A Quick Reference to Herbal Medicine. </w:t>
      </w:r>
      <w:r w:rsidRPr="000E2563">
        <w:rPr>
          <w:rFonts w:ascii="Times New Roman" w:hAnsi="Times New Roman"/>
          <w:i/>
          <w:sz w:val="24"/>
          <w:szCs w:val="23"/>
          <w:lang w:val="en-US"/>
        </w:rPr>
        <w:t>Springer</w:t>
      </w:r>
      <w:r w:rsidRPr="000E2563">
        <w:rPr>
          <w:rFonts w:ascii="Times New Roman" w:hAnsi="Times New Roman"/>
          <w:sz w:val="24"/>
          <w:szCs w:val="23"/>
          <w:lang w:val="en-US"/>
        </w:rPr>
        <w:t>.</w:t>
      </w:r>
    </w:p>
    <w:p w:rsidR="00501FA6" w:rsidRPr="000E2563" w:rsidRDefault="00501FA6" w:rsidP="000E2563">
      <w:pPr>
        <w:autoSpaceDE w:val="0"/>
        <w:autoSpaceDN w:val="0"/>
        <w:adjustRightInd w:val="0"/>
        <w:jc w:val="both"/>
        <w:rPr>
          <w:rFonts w:ascii="Times New Roman" w:hAnsi="Times New Roman"/>
          <w:color w:val="231F20"/>
          <w:sz w:val="24"/>
          <w:szCs w:val="24"/>
          <w:lang w:val="en-US" w:eastAsia="pt-PT"/>
        </w:rPr>
      </w:pPr>
      <w:r w:rsidRPr="000E2563">
        <w:rPr>
          <w:rFonts w:ascii="Times New Roman" w:hAnsi="Times New Roman"/>
          <w:color w:val="231F20"/>
          <w:sz w:val="24"/>
          <w:szCs w:val="24"/>
          <w:lang w:val="en-US" w:eastAsia="pt-PT"/>
        </w:rPr>
        <w:t>Chen, J., Russo, J. (2009). ER</w:t>
      </w:r>
      <w:r w:rsidRPr="000E2563">
        <w:rPr>
          <w:rFonts w:ascii="Times New Roman" w:hAnsi="Times New Roman"/>
          <w:color w:val="231F20"/>
          <w:sz w:val="24"/>
          <w:szCs w:val="24"/>
          <w:lang w:eastAsia="pt-PT"/>
        </w:rPr>
        <w:t>α</w:t>
      </w:r>
      <w:r w:rsidRPr="000E2563">
        <w:rPr>
          <w:rFonts w:ascii="Times New Roman" w:hAnsi="Times New Roman"/>
          <w:color w:val="231F20"/>
          <w:sz w:val="24"/>
          <w:szCs w:val="24"/>
          <w:lang w:val="en-US" w:eastAsia="pt-PT"/>
        </w:rPr>
        <w:t xml:space="preserve">-negative and triple negative breast cancer: Molecular features and potential therapeutic approaches. </w:t>
      </w:r>
      <w:r w:rsidRPr="000E2563">
        <w:rPr>
          <w:rFonts w:ascii="Times New Roman" w:hAnsi="Times New Roman"/>
          <w:i/>
          <w:color w:val="231F20"/>
          <w:sz w:val="24"/>
          <w:szCs w:val="24"/>
          <w:lang w:val="en-US" w:eastAsia="pt-PT"/>
        </w:rPr>
        <w:t>Biochimica et Biophysica Acta</w:t>
      </w:r>
      <w:r w:rsidRPr="000E2563">
        <w:rPr>
          <w:rFonts w:ascii="Times New Roman" w:hAnsi="Times New Roman"/>
          <w:color w:val="231F20"/>
          <w:sz w:val="24"/>
          <w:szCs w:val="24"/>
          <w:lang w:val="en-US" w:eastAsia="pt-PT"/>
        </w:rPr>
        <w:t>, 1796, 162–175.</w:t>
      </w:r>
    </w:p>
    <w:p w:rsidR="00501FA6" w:rsidRPr="000E2563" w:rsidRDefault="00501FA6" w:rsidP="000E2563">
      <w:pPr>
        <w:spacing w:before="100" w:beforeAutospacing="1"/>
        <w:jc w:val="both"/>
        <w:rPr>
          <w:rFonts w:ascii="Times New Roman" w:eastAsia="Times New Roman" w:hAnsi="Times New Roman"/>
          <w:sz w:val="24"/>
          <w:szCs w:val="24"/>
          <w:lang w:val="en-US" w:eastAsia="pt-PT"/>
        </w:rPr>
      </w:pPr>
      <w:r w:rsidRPr="000E2563">
        <w:rPr>
          <w:rFonts w:ascii="Times New Roman" w:eastAsia="Times New Roman" w:hAnsi="Times New Roman"/>
          <w:sz w:val="24"/>
          <w:szCs w:val="24"/>
          <w:lang w:val="en-US" w:eastAsia="pt-PT"/>
        </w:rPr>
        <w:t xml:space="preserve">Cleator, S., Heller, W., &amp; Coombes, R. C. (2007). Triple-negative breast cancer: therapeutic options. </w:t>
      </w:r>
      <w:r w:rsidRPr="000E2563">
        <w:rPr>
          <w:rFonts w:ascii="Times New Roman" w:eastAsia="Times New Roman" w:hAnsi="Times New Roman"/>
          <w:i/>
          <w:sz w:val="24"/>
          <w:szCs w:val="24"/>
          <w:lang w:val="en-US" w:eastAsia="pt-PT"/>
        </w:rPr>
        <w:t>The lancet oncology</w:t>
      </w:r>
      <w:r w:rsidRPr="000E2563">
        <w:rPr>
          <w:rFonts w:ascii="Times New Roman" w:eastAsia="Times New Roman" w:hAnsi="Times New Roman"/>
          <w:sz w:val="24"/>
          <w:szCs w:val="24"/>
          <w:lang w:val="en-US" w:eastAsia="pt-PT"/>
        </w:rPr>
        <w:t>, 8(3), 235-44.</w:t>
      </w:r>
    </w:p>
    <w:p w:rsidR="00C844D2" w:rsidRPr="000E2563" w:rsidRDefault="004F0E2D" w:rsidP="000E2563">
      <w:pPr>
        <w:autoSpaceDE w:val="0"/>
        <w:autoSpaceDN w:val="0"/>
        <w:adjustRightInd w:val="0"/>
        <w:jc w:val="both"/>
        <w:rPr>
          <w:rFonts w:ascii="Times New Roman" w:hAnsi="Times New Roman"/>
          <w:sz w:val="24"/>
          <w:szCs w:val="23"/>
          <w:lang w:val="en-US"/>
        </w:rPr>
      </w:pPr>
      <w:r w:rsidRPr="000E2563">
        <w:rPr>
          <w:rFonts w:ascii="Times New Roman" w:hAnsi="Times New Roman"/>
          <w:sz w:val="24"/>
          <w:szCs w:val="23"/>
          <w:lang w:val="en-US"/>
        </w:rPr>
        <w:t xml:space="preserve">Cooray, H. C., Janvilisri, T., Veen, H. W., Hladky, S. B., &amp; Barrand, M. A. (2004). Interaction of the breast cancer resistance protein with plant polyphenols. </w:t>
      </w:r>
      <w:r w:rsidRPr="000E2563">
        <w:rPr>
          <w:rFonts w:ascii="Times New Roman" w:hAnsi="Times New Roman"/>
          <w:i/>
          <w:sz w:val="24"/>
          <w:szCs w:val="23"/>
          <w:lang w:val="en-US"/>
        </w:rPr>
        <w:t>Biochemical and Biophysical Research Communications</w:t>
      </w:r>
      <w:r w:rsidRPr="000E2563">
        <w:rPr>
          <w:rFonts w:ascii="Times New Roman" w:hAnsi="Times New Roman"/>
          <w:sz w:val="24"/>
          <w:szCs w:val="23"/>
          <w:lang w:val="en-US"/>
        </w:rPr>
        <w:t>, 317, 269-275.</w:t>
      </w:r>
    </w:p>
    <w:p w:rsidR="008406C4" w:rsidRPr="00BF57D0" w:rsidRDefault="008406C4" w:rsidP="000E2563">
      <w:pPr>
        <w:autoSpaceDE w:val="0"/>
        <w:autoSpaceDN w:val="0"/>
        <w:adjustRightInd w:val="0"/>
        <w:jc w:val="both"/>
        <w:rPr>
          <w:rFonts w:ascii="Times New Roman" w:hAnsi="Times New Roman"/>
          <w:sz w:val="24"/>
          <w:szCs w:val="23"/>
        </w:rPr>
      </w:pPr>
      <w:r w:rsidRPr="000E2563">
        <w:rPr>
          <w:rFonts w:ascii="Times New Roman" w:hAnsi="Times New Roman"/>
          <w:sz w:val="24"/>
          <w:szCs w:val="23"/>
          <w:lang w:val="en-US"/>
        </w:rPr>
        <w:t xml:space="preserve">Cravotto, G., Boffa, L., Genzini, L., &amp; Garella, D. (2010). Phytotherapeutics: an evaluation of the potential of 1000 plants. </w:t>
      </w:r>
      <w:r w:rsidRPr="00BF57D0">
        <w:rPr>
          <w:rFonts w:ascii="Times New Roman" w:hAnsi="Times New Roman"/>
          <w:i/>
          <w:sz w:val="24"/>
          <w:szCs w:val="23"/>
        </w:rPr>
        <w:t>Journal of clinical pharmacy and therapeutics</w:t>
      </w:r>
      <w:r w:rsidRPr="00BF57D0">
        <w:rPr>
          <w:rFonts w:ascii="Times New Roman" w:hAnsi="Times New Roman"/>
          <w:sz w:val="24"/>
          <w:szCs w:val="23"/>
        </w:rPr>
        <w:t>, 35(1), 11-48.</w:t>
      </w:r>
    </w:p>
    <w:p w:rsidR="00501FA6" w:rsidRPr="000E2563" w:rsidRDefault="00C93E91" w:rsidP="000E2563">
      <w:pPr>
        <w:spacing w:before="100" w:beforeAutospacing="1"/>
        <w:jc w:val="both"/>
        <w:rPr>
          <w:rFonts w:ascii="Times New Roman" w:eastAsia="Times New Roman" w:hAnsi="Times New Roman"/>
          <w:bCs/>
          <w:sz w:val="24"/>
          <w:szCs w:val="24"/>
          <w:lang w:eastAsia="pt-PT"/>
        </w:rPr>
      </w:pPr>
      <w:r w:rsidRPr="000E2563">
        <w:rPr>
          <w:rFonts w:ascii="Times New Roman" w:eastAsia="Times New Roman" w:hAnsi="Times New Roman"/>
          <w:sz w:val="24"/>
          <w:szCs w:val="24"/>
          <w:lang w:eastAsia="pt-PT"/>
        </w:rPr>
        <w:lastRenderedPageBreak/>
        <w:t>Cuneo, C. A. (1999).</w:t>
      </w:r>
      <w:r w:rsidRPr="000E2563">
        <w:rPr>
          <w:rFonts w:ascii="Times New Roman" w:eastAsia="Times New Roman" w:hAnsi="Times New Roman"/>
          <w:bCs/>
          <w:sz w:val="24"/>
          <w:szCs w:val="24"/>
          <w:lang w:eastAsia="pt-PT"/>
        </w:rPr>
        <w:t xml:space="preserve"> Dieta mediterranea y enfermedad coronaria. Manejo </w:t>
      </w:r>
      <w:r w:rsidRPr="000E2563">
        <w:rPr>
          <w:rFonts w:ascii="Times New Roman" w:eastAsia="Times New Roman" w:hAnsi="Times New Roman"/>
          <w:bCs/>
          <w:sz w:val="24"/>
          <w:szCs w:val="24"/>
          <w:lang w:eastAsia="pt-PT"/>
        </w:rPr>
        <w:br/>
        <w:t xml:space="preserve">no-farmacologico de los factores de riesgo para la aterosclerosis. </w:t>
      </w:r>
      <w:r w:rsidRPr="000E2563">
        <w:rPr>
          <w:rFonts w:ascii="Times New Roman" w:eastAsia="Times New Roman" w:hAnsi="Times New Roman"/>
          <w:bCs/>
          <w:i/>
          <w:sz w:val="24"/>
          <w:szCs w:val="24"/>
          <w:lang w:eastAsia="pt-PT"/>
        </w:rPr>
        <w:t>Rev Fed Arg Cardiol</w:t>
      </w:r>
      <w:r w:rsidRPr="000E2563">
        <w:rPr>
          <w:rFonts w:ascii="Times New Roman" w:eastAsia="Times New Roman" w:hAnsi="Times New Roman"/>
          <w:bCs/>
          <w:sz w:val="24"/>
          <w:szCs w:val="24"/>
          <w:lang w:eastAsia="pt-PT"/>
        </w:rPr>
        <w:t>, 28, 119-124.</w:t>
      </w:r>
    </w:p>
    <w:p w:rsidR="00501FA6" w:rsidRPr="000E2563" w:rsidRDefault="00501FA6" w:rsidP="000E2563">
      <w:pPr>
        <w:autoSpaceDE w:val="0"/>
        <w:autoSpaceDN w:val="0"/>
        <w:adjustRightInd w:val="0"/>
        <w:jc w:val="both"/>
        <w:rPr>
          <w:rFonts w:ascii="Times New Roman" w:hAnsi="Times New Roman"/>
          <w:sz w:val="24"/>
          <w:szCs w:val="16"/>
          <w:lang w:eastAsia="pt-PT"/>
        </w:rPr>
      </w:pPr>
      <w:r w:rsidRPr="000E2563">
        <w:rPr>
          <w:rFonts w:ascii="Times New Roman" w:hAnsi="Times New Roman"/>
          <w:sz w:val="24"/>
          <w:szCs w:val="16"/>
          <w:lang w:eastAsia="pt-PT"/>
        </w:rPr>
        <w:t>D’</w:t>
      </w:r>
      <w:r w:rsidR="000A5766" w:rsidRPr="000E2563">
        <w:rPr>
          <w:rFonts w:ascii="Times New Roman" w:hAnsi="Times New Roman"/>
          <w:sz w:val="24"/>
          <w:szCs w:val="16"/>
          <w:lang w:eastAsia="pt-PT"/>
        </w:rPr>
        <w:t>Angelo, S., Manna, C., Migliardi, C., Mazzoni, O.,</w:t>
      </w:r>
      <w:r w:rsidRPr="000E2563">
        <w:rPr>
          <w:rFonts w:ascii="Times New Roman" w:hAnsi="Times New Roman"/>
          <w:sz w:val="24"/>
          <w:szCs w:val="16"/>
          <w:lang w:eastAsia="pt-PT"/>
        </w:rPr>
        <w:t xml:space="preserve"> Morrica, P.</w:t>
      </w:r>
      <w:r w:rsidR="000A5766" w:rsidRPr="000E2563">
        <w:rPr>
          <w:rFonts w:ascii="Times New Roman" w:hAnsi="Times New Roman"/>
          <w:sz w:val="24"/>
          <w:szCs w:val="16"/>
          <w:lang w:eastAsia="pt-PT"/>
        </w:rPr>
        <w:t>,</w:t>
      </w:r>
      <w:r w:rsidRPr="000E2563">
        <w:rPr>
          <w:rFonts w:ascii="Times New Roman" w:hAnsi="Times New Roman"/>
          <w:sz w:val="24"/>
          <w:szCs w:val="16"/>
          <w:lang w:eastAsia="pt-PT"/>
        </w:rPr>
        <w:t xml:space="preserve"> </w:t>
      </w:r>
      <w:r w:rsidR="000A5766" w:rsidRPr="000E2563">
        <w:rPr>
          <w:rFonts w:ascii="Times New Roman" w:hAnsi="Times New Roman"/>
          <w:sz w:val="24"/>
          <w:szCs w:val="16"/>
          <w:lang w:eastAsia="pt-PT"/>
        </w:rPr>
        <w:t>Papasso, G., Pontoni, G.,</w:t>
      </w:r>
      <w:r w:rsidRPr="000E2563">
        <w:rPr>
          <w:rFonts w:ascii="Times New Roman" w:hAnsi="Times New Roman"/>
          <w:sz w:val="24"/>
          <w:szCs w:val="16"/>
          <w:lang w:eastAsia="pt-PT"/>
        </w:rPr>
        <w:t xml:space="preserve"> </w:t>
      </w:r>
      <w:r w:rsidR="000A5766" w:rsidRPr="000E2563">
        <w:rPr>
          <w:rFonts w:ascii="Times New Roman" w:hAnsi="Times New Roman"/>
          <w:sz w:val="24"/>
          <w:szCs w:val="16"/>
          <w:lang w:eastAsia="pt-PT"/>
        </w:rPr>
        <w:t>Galletti, P.,</w:t>
      </w:r>
      <w:r w:rsidRPr="000E2563">
        <w:rPr>
          <w:rFonts w:ascii="Times New Roman" w:hAnsi="Times New Roman"/>
          <w:sz w:val="24"/>
          <w:szCs w:val="16"/>
          <w:lang w:eastAsia="pt-PT"/>
        </w:rPr>
        <w:t xml:space="preserve"> Zappia, V. </w:t>
      </w:r>
      <w:r w:rsidR="000A5766" w:rsidRPr="000E2563">
        <w:rPr>
          <w:rFonts w:ascii="Times New Roman" w:hAnsi="Times New Roman"/>
          <w:sz w:val="24"/>
          <w:szCs w:val="16"/>
          <w:lang w:eastAsia="pt-PT"/>
        </w:rPr>
        <w:t xml:space="preserve">(2001). </w:t>
      </w:r>
      <w:r w:rsidRPr="000E2563">
        <w:rPr>
          <w:rFonts w:ascii="Times New Roman" w:hAnsi="Times New Roman"/>
          <w:sz w:val="24"/>
          <w:szCs w:val="16"/>
          <w:lang w:val="en-US" w:eastAsia="pt-PT"/>
        </w:rPr>
        <w:t>Pharmacokinetics and</w:t>
      </w:r>
      <w:r w:rsidR="000A5766" w:rsidRPr="000E2563">
        <w:rPr>
          <w:rFonts w:ascii="Times New Roman" w:hAnsi="Times New Roman"/>
          <w:sz w:val="24"/>
          <w:szCs w:val="16"/>
          <w:lang w:val="en-US" w:eastAsia="pt-PT"/>
        </w:rPr>
        <w:t xml:space="preserve"> </w:t>
      </w:r>
      <w:r w:rsidRPr="000E2563">
        <w:rPr>
          <w:rFonts w:ascii="Times New Roman" w:hAnsi="Times New Roman"/>
          <w:sz w:val="24"/>
          <w:szCs w:val="16"/>
          <w:lang w:val="en-US" w:eastAsia="pt-PT"/>
        </w:rPr>
        <w:t>metabolism of hydroxytyrosol, a natural antioxidant from olive oil.</w:t>
      </w:r>
      <w:r w:rsidR="000A5766" w:rsidRPr="000E2563">
        <w:rPr>
          <w:rFonts w:ascii="Times New Roman" w:hAnsi="Times New Roman"/>
          <w:sz w:val="24"/>
          <w:szCs w:val="16"/>
          <w:lang w:val="en-US" w:eastAsia="pt-PT"/>
        </w:rPr>
        <w:t xml:space="preserve"> </w:t>
      </w:r>
      <w:r w:rsidRPr="000E2563">
        <w:rPr>
          <w:rFonts w:ascii="Times New Roman" w:hAnsi="Times New Roman"/>
          <w:i/>
          <w:sz w:val="24"/>
          <w:szCs w:val="16"/>
          <w:lang w:eastAsia="pt-PT"/>
        </w:rPr>
        <w:t>Drug Metab. Dispos</w:t>
      </w:r>
      <w:r w:rsidR="000A5766" w:rsidRPr="000E2563">
        <w:rPr>
          <w:rFonts w:ascii="Times New Roman" w:hAnsi="Times New Roman"/>
          <w:i/>
          <w:sz w:val="24"/>
          <w:szCs w:val="16"/>
          <w:lang w:eastAsia="pt-PT"/>
        </w:rPr>
        <w:t>.,</w:t>
      </w:r>
      <w:r w:rsidRPr="000E2563">
        <w:rPr>
          <w:rFonts w:ascii="Times New Roman" w:hAnsi="Times New Roman"/>
          <w:sz w:val="24"/>
          <w:szCs w:val="16"/>
          <w:lang w:eastAsia="pt-PT"/>
        </w:rPr>
        <w:t xml:space="preserve"> 29</w:t>
      </w:r>
      <w:r w:rsidR="000A5766" w:rsidRPr="000E2563">
        <w:rPr>
          <w:rFonts w:ascii="Times New Roman" w:hAnsi="Times New Roman"/>
          <w:sz w:val="24"/>
          <w:szCs w:val="16"/>
          <w:lang w:eastAsia="pt-PT"/>
        </w:rPr>
        <w:t xml:space="preserve">, </w:t>
      </w:r>
      <w:r w:rsidRPr="000E2563">
        <w:rPr>
          <w:rFonts w:ascii="Times New Roman" w:hAnsi="Times New Roman"/>
          <w:sz w:val="24"/>
          <w:szCs w:val="16"/>
          <w:lang w:eastAsia="pt-PT"/>
        </w:rPr>
        <w:t>1492–1498.</w:t>
      </w:r>
    </w:p>
    <w:p w:rsidR="000A5766" w:rsidRPr="000E2563" w:rsidRDefault="000A5766" w:rsidP="000E2563">
      <w:pPr>
        <w:spacing w:before="100" w:beforeAutospacing="1"/>
        <w:jc w:val="both"/>
        <w:rPr>
          <w:rFonts w:ascii="Times New Roman" w:hAnsi="Times New Roman"/>
          <w:sz w:val="24"/>
          <w:szCs w:val="24"/>
          <w:lang w:val="en-US" w:eastAsia="pt-PT"/>
        </w:rPr>
      </w:pPr>
      <w:r w:rsidRPr="000E2563">
        <w:rPr>
          <w:rFonts w:ascii="Times New Roman" w:hAnsi="Times New Roman"/>
          <w:sz w:val="24"/>
          <w:szCs w:val="24"/>
          <w:lang w:eastAsia="pt-PT"/>
        </w:rPr>
        <w:t>D’Angelo, S.,</w:t>
      </w:r>
      <w:r w:rsidR="00133165">
        <w:rPr>
          <w:rFonts w:ascii="Times New Roman" w:hAnsi="Times New Roman"/>
          <w:sz w:val="24"/>
          <w:szCs w:val="24"/>
          <w:lang w:eastAsia="pt-PT"/>
        </w:rPr>
        <w:t xml:space="preserve"> Ingrosso, D., Migliardi, V., </w:t>
      </w:r>
      <w:r w:rsidRPr="000E2563">
        <w:rPr>
          <w:rFonts w:ascii="Times New Roman" w:hAnsi="Times New Roman"/>
          <w:sz w:val="24"/>
          <w:szCs w:val="24"/>
          <w:lang w:eastAsia="pt-PT"/>
        </w:rPr>
        <w:t xml:space="preserve">Sorrentino, A., Donnarumma, G., Baroni, A., Masella, L., Maria Antonietta Tufano, M. A., Zappia, M., Galletti, P. (2005). </w:t>
      </w:r>
      <w:r w:rsidRPr="000E2563">
        <w:rPr>
          <w:rFonts w:ascii="Times New Roman" w:hAnsi="Times New Roman"/>
          <w:sz w:val="24"/>
          <w:szCs w:val="24"/>
          <w:lang w:val="en-US" w:eastAsia="pt-PT"/>
        </w:rPr>
        <w:t xml:space="preserve">Hydroxytyrosol, a natural antioxidant from olive oil, prevents protein damage induced by long-wave ultraviolet radiation in melanoma cells. </w:t>
      </w:r>
      <w:r w:rsidRPr="000E2563">
        <w:rPr>
          <w:rFonts w:ascii="Times New Roman" w:hAnsi="Times New Roman"/>
          <w:i/>
          <w:sz w:val="24"/>
          <w:szCs w:val="24"/>
          <w:lang w:val="en-US" w:eastAsia="pt-PT"/>
        </w:rPr>
        <w:t>Free Radical Biology &amp; Medicine</w:t>
      </w:r>
      <w:r w:rsidRPr="000E2563">
        <w:rPr>
          <w:rFonts w:ascii="Times New Roman" w:hAnsi="Times New Roman"/>
          <w:sz w:val="24"/>
          <w:szCs w:val="24"/>
          <w:lang w:val="en-US" w:eastAsia="pt-PT"/>
        </w:rPr>
        <w:t xml:space="preserve"> 38, 908– 919.</w:t>
      </w:r>
    </w:p>
    <w:p w:rsidR="00EF450E" w:rsidRPr="000E2563" w:rsidRDefault="00EF450E" w:rsidP="000E2563">
      <w:pPr>
        <w:spacing w:before="100" w:beforeAutospacing="1"/>
        <w:jc w:val="both"/>
        <w:rPr>
          <w:rFonts w:ascii="Times New Roman" w:hAnsi="Times New Roman"/>
          <w:sz w:val="24"/>
          <w:szCs w:val="24"/>
          <w:lang w:eastAsia="pt-PT"/>
        </w:rPr>
      </w:pPr>
      <w:r w:rsidRPr="000E2563">
        <w:rPr>
          <w:rFonts w:ascii="Times New Roman" w:hAnsi="Times New Roman"/>
          <w:sz w:val="24"/>
          <w:szCs w:val="24"/>
          <w:lang w:val="en-US" w:eastAsia="pt-PT"/>
        </w:rPr>
        <w:t xml:space="preserve">Davidson, J. F., Whytet, B., Bissingertt, P. H., Schiestl, R., H. (1996). Oxidative stress is involved in heat-induced cell death in </w:t>
      </w:r>
      <w:r w:rsidRPr="000E2563">
        <w:rPr>
          <w:rFonts w:ascii="Times New Roman" w:hAnsi="Times New Roman"/>
          <w:i/>
          <w:sz w:val="24"/>
          <w:szCs w:val="24"/>
          <w:lang w:val="en-US" w:eastAsia="pt-PT"/>
        </w:rPr>
        <w:t>Saccharomyces cerevisiae</w:t>
      </w:r>
      <w:r w:rsidRPr="000E2563">
        <w:rPr>
          <w:rFonts w:ascii="Times New Roman" w:hAnsi="Times New Roman"/>
          <w:sz w:val="24"/>
          <w:szCs w:val="24"/>
          <w:lang w:val="en-US" w:eastAsia="pt-PT"/>
        </w:rPr>
        <w:t xml:space="preserve">. </w:t>
      </w:r>
      <w:r w:rsidRPr="000E2563">
        <w:rPr>
          <w:rFonts w:ascii="Times New Roman" w:hAnsi="Times New Roman"/>
          <w:i/>
          <w:sz w:val="24"/>
          <w:szCs w:val="24"/>
          <w:lang w:eastAsia="pt-PT"/>
        </w:rPr>
        <w:t>Proc. Natl. Acad. Sci. USA</w:t>
      </w:r>
      <w:r w:rsidRPr="000E2563">
        <w:rPr>
          <w:rFonts w:ascii="Times New Roman" w:hAnsi="Times New Roman"/>
          <w:sz w:val="24"/>
          <w:szCs w:val="24"/>
          <w:lang w:eastAsia="pt-PT"/>
        </w:rPr>
        <w:t xml:space="preserve">, Vol. 93, 5116-5121. </w:t>
      </w:r>
    </w:p>
    <w:p w:rsidR="00653234" w:rsidRPr="000E2563" w:rsidRDefault="00653234" w:rsidP="00653234">
      <w:pPr>
        <w:autoSpaceDE w:val="0"/>
        <w:autoSpaceDN w:val="0"/>
        <w:adjustRightInd w:val="0"/>
        <w:jc w:val="both"/>
        <w:rPr>
          <w:rFonts w:ascii="Times New Roman" w:hAnsi="Times New Roman"/>
          <w:sz w:val="24"/>
          <w:szCs w:val="24"/>
          <w:lang w:val="es-ES" w:eastAsia="pt-PT"/>
        </w:rPr>
      </w:pPr>
      <w:r w:rsidRPr="000E2563">
        <w:rPr>
          <w:rFonts w:ascii="Times New Roman" w:hAnsi="Times New Roman"/>
          <w:sz w:val="24"/>
          <w:szCs w:val="24"/>
          <w:lang w:val="es-ES" w:eastAsia="pt-PT"/>
        </w:rPr>
        <w:t>Dumitrescu, R.G. e Cotarla, I., (2005). Understanding breast cancer risk - where do we stand in 2005?</w:t>
      </w:r>
      <w:r w:rsidRPr="000E2563">
        <w:rPr>
          <w:rFonts w:ascii="Times New Roman" w:hAnsi="Times New Roman"/>
          <w:i/>
          <w:sz w:val="24"/>
          <w:szCs w:val="24"/>
          <w:lang w:val="es-ES" w:eastAsia="pt-PT"/>
        </w:rPr>
        <w:t xml:space="preserve"> J</w:t>
      </w:r>
      <w:r w:rsidRPr="000E2563">
        <w:rPr>
          <w:rFonts w:ascii="Times New Roman" w:hAnsi="Times New Roman"/>
          <w:sz w:val="24"/>
          <w:szCs w:val="24"/>
          <w:lang w:val="es-ES" w:eastAsia="pt-PT"/>
        </w:rPr>
        <w:t xml:space="preserve"> </w:t>
      </w:r>
      <w:r w:rsidRPr="000E2563">
        <w:rPr>
          <w:rFonts w:ascii="Times New Roman" w:hAnsi="Times New Roman"/>
          <w:i/>
          <w:sz w:val="24"/>
          <w:szCs w:val="24"/>
          <w:lang w:val="es-ES" w:eastAsia="pt-PT"/>
        </w:rPr>
        <w:t>Cell Mol Med</w:t>
      </w:r>
      <w:r w:rsidRPr="000E2563">
        <w:rPr>
          <w:rFonts w:ascii="Times New Roman" w:hAnsi="Times New Roman"/>
          <w:sz w:val="24"/>
          <w:szCs w:val="24"/>
          <w:lang w:val="es-ES" w:eastAsia="pt-PT"/>
        </w:rPr>
        <w:t>, 9, 208-221.</w:t>
      </w:r>
    </w:p>
    <w:p w:rsidR="00B60B7F" w:rsidRPr="00B60B7F" w:rsidRDefault="00B60B7F" w:rsidP="00B60B7F">
      <w:pPr>
        <w:autoSpaceDE w:val="0"/>
        <w:autoSpaceDN w:val="0"/>
        <w:adjustRightInd w:val="0"/>
        <w:spacing w:line="240" w:lineRule="auto"/>
        <w:jc w:val="both"/>
        <w:rPr>
          <w:rFonts w:ascii="Times New Roman" w:hAnsi="Times New Roman"/>
          <w:sz w:val="24"/>
          <w:szCs w:val="24"/>
          <w:lang w:val="en-US" w:eastAsia="pt-PT"/>
        </w:rPr>
      </w:pPr>
      <w:r w:rsidRPr="00B60B7F">
        <w:rPr>
          <w:rFonts w:ascii="Times New Roman" w:hAnsi="Times New Roman"/>
          <w:bCs/>
          <w:sz w:val="24"/>
          <w:szCs w:val="24"/>
          <w:lang w:val="en-US" w:eastAsia="pt-PT"/>
        </w:rPr>
        <w:t xml:space="preserve">Dunning, A. M., Healey, C. S., Pharoah, P. D. P., Teare, M. D., Ponder, B. A. J., Easton, D. F. (1999). </w:t>
      </w:r>
      <w:r w:rsidRPr="00B60B7F">
        <w:rPr>
          <w:rFonts w:ascii="Times New Roman" w:hAnsi="Times New Roman"/>
          <w:sz w:val="24"/>
          <w:szCs w:val="24"/>
          <w:lang w:val="en-US" w:eastAsia="pt-PT"/>
        </w:rPr>
        <w:t xml:space="preserve">A Systematic Review Of Genetic Polymorphisms and Breast Cancer Risk. </w:t>
      </w:r>
      <w:r w:rsidRPr="00B60B7F">
        <w:rPr>
          <w:rFonts w:ascii="Times New Roman" w:hAnsi="Times New Roman"/>
          <w:bCs/>
          <w:i/>
          <w:sz w:val="24"/>
          <w:szCs w:val="24"/>
          <w:lang w:val="en-US" w:eastAsia="pt-PT"/>
        </w:rPr>
        <w:t>Cancer Epidemiology, Biomarkers &amp; Prevention</w:t>
      </w:r>
      <w:r w:rsidRPr="00B60B7F">
        <w:rPr>
          <w:rFonts w:ascii="Times New Roman" w:hAnsi="Times New Roman"/>
          <w:bCs/>
          <w:sz w:val="24"/>
          <w:szCs w:val="24"/>
          <w:lang w:val="en-US" w:eastAsia="pt-PT"/>
        </w:rPr>
        <w:t xml:space="preserve">, </w:t>
      </w:r>
      <w:r w:rsidRPr="00B60B7F">
        <w:rPr>
          <w:rFonts w:ascii="Times New Roman" w:hAnsi="Times New Roman"/>
          <w:iCs/>
          <w:sz w:val="24"/>
          <w:szCs w:val="24"/>
          <w:lang w:val="en-US" w:eastAsia="pt-PT"/>
        </w:rPr>
        <w:t>Vol. 8, 843–854.</w:t>
      </w:r>
    </w:p>
    <w:p w:rsidR="00CA6257" w:rsidRDefault="00CA6257" w:rsidP="00CA6257">
      <w:pPr>
        <w:jc w:val="both"/>
        <w:rPr>
          <w:rFonts w:ascii="Times New Roman" w:hAnsi="Times New Roman"/>
          <w:sz w:val="24"/>
          <w:szCs w:val="24"/>
          <w:lang w:val="en-US" w:eastAsia="pt-PT"/>
        </w:rPr>
      </w:pPr>
      <w:r>
        <w:rPr>
          <w:rFonts w:ascii="Times New Roman" w:hAnsi="Times New Roman"/>
          <w:sz w:val="24"/>
          <w:szCs w:val="24"/>
          <w:lang w:val="en-US" w:eastAsia="pt-PT"/>
        </w:rPr>
        <w:t xml:space="preserve">Duthie, G. G., Duthie, S. J., Kyle, J. A. M. (2000). Plant polyphenols in cancer and heart disease: implications as nutritional antioxidants. </w:t>
      </w:r>
      <w:r w:rsidRPr="00CA6257">
        <w:rPr>
          <w:rFonts w:ascii="Times New Roman" w:hAnsi="Times New Roman"/>
          <w:i/>
          <w:sz w:val="24"/>
          <w:szCs w:val="24"/>
          <w:lang w:val="en-US" w:eastAsia="pt-PT"/>
        </w:rPr>
        <w:t>Nutrition Research Reviews</w:t>
      </w:r>
      <w:r>
        <w:rPr>
          <w:rFonts w:ascii="Times New Roman" w:hAnsi="Times New Roman"/>
          <w:sz w:val="24"/>
          <w:szCs w:val="24"/>
          <w:lang w:val="en-US" w:eastAsia="pt-PT"/>
        </w:rPr>
        <w:t>, 13, 79-106.</w:t>
      </w:r>
    </w:p>
    <w:p w:rsidR="00152DEE" w:rsidRPr="00402E7C" w:rsidRDefault="00152DEE" w:rsidP="00152DEE">
      <w:pPr>
        <w:autoSpaceDE w:val="0"/>
        <w:autoSpaceDN w:val="0"/>
        <w:adjustRightInd w:val="0"/>
        <w:spacing w:after="0" w:line="240" w:lineRule="auto"/>
        <w:jc w:val="both"/>
        <w:rPr>
          <w:rFonts w:ascii="Times New Roman" w:hAnsi="Times New Roman"/>
          <w:sz w:val="24"/>
          <w:szCs w:val="24"/>
          <w:lang w:val="en-US" w:eastAsia="pt-PT"/>
        </w:rPr>
      </w:pPr>
      <w:r w:rsidRPr="001A137F">
        <w:rPr>
          <w:rFonts w:ascii="Times New Roman" w:hAnsi="Times New Roman"/>
          <w:sz w:val="24"/>
          <w:szCs w:val="24"/>
          <w:lang w:eastAsia="pt-PT"/>
        </w:rPr>
        <w:t xml:space="preserve">Fabiani, R.,  Rosignoli, P., Bartolomeo, A., Fuccelli, R., Morozzi, G. (2008). </w:t>
      </w:r>
      <w:r w:rsidRPr="00402E7C">
        <w:rPr>
          <w:rFonts w:ascii="Times New Roman" w:hAnsi="Times New Roman"/>
          <w:sz w:val="24"/>
          <w:szCs w:val="24"/>
          <w:lang w:val="en-US" w:eastAsia="pt-PT"/>
        </w:rPr>
        <w:t>Inhibition of Cell Cycle Progression by</w:t>
      </w:r>
      <w:r>
        <w:rPr>
          <w:rFonts w:ascii="Times New Roman" w:hAnsi="Times New Roman"/>
          <w:sz w:val="24"/>
          <w:szCs w:val="24"/>
          <w:lang w:val="en-US" w:eastAsia="pt-PT"/>
        </w:rPr>
        <w:t xml:space="preserve"> </w:t>
      </w:r>
      <w:r w:rsidRPr="00402E7C">
        <w:rPr>
          <w:rFonts w:ascii="Times New Roman" w:hAnsi="Times New Roman"/>
          <w:sz w:val="24"/>
          <w:szCs w:val="24"/>
          <w:lang w:val="en-US" w:eastAsia="pt-PT"/>
        </w:rPr>
        <w:t>Hydroxytyrosol Is Associated with</w:t>
      </w:r>
      <w:r>
        <w:rPr>
          <w:rFonts w:ascii="Times New Roman" w:hAnsi="Times New Roman"/>
          <w:sz w:val="24"/>
          <w:szCs w:val="24"/>
          <w:lang w:val="en-US" w:eastAsia="pt-PT"/>
        </w:rPr>
        <w:t xml:space="preserve"> </w:t>
      </w:r>
      <w:r w:rsidRPr="00402E7C">
        <w:rPr>
          <w:rFonts w:ascii="Times New Roman" w:hAnsi="Times New Roman"/>
          <w:sz w:val="24"/>
          <w:szCs w:val="24"/>
          <w:lang w:val="en-US" w:eastAsia="pt-PT"/>
        </w:rPr>
        <w:t>Upregulation of Cyclin-Dependent</w:t>
      </w:r>
      <w:r>
        <w:rPr>
          <w:rFonts w:ascii="Times New Roman" w:hAnsi="Times New Roman"/>
          <w:sz w:val="24"/>
          <w:szCs w:val="24"/>
          <w:lang w:val="en-US" w:eastAsia="pt-PT"/>
        </w:rPr>
        <w:t xml:space="preserve"> </w:t>
      </w:r>
      <w:r w:rsidRPr="00402E7C">
        <w:rPr>
          <w:rFonts w:ascii="Times New Roman" w:hAnsi="Times New Roman"/>
          <w:sz w:val="24"/>
          <w:szCs w:val="24"/>
          <w:lang w:val="en-US" w:eastAsia="pt-PT"/>
        </w:rPr>
        <w:t>Protein Kinase Inhibitors p21</w:t>
      </w:r>
      <w:r w:rsidRPr="004A7CBE">
        <w:rPr>
          <w:rFonts w:ascii="Times New Roman" w:hAnsi="Times New Roman"/>
          <w:sz w:val="24"/>
          <w:szCs w:val="24"/>
          <w:vertAlign w:val="superscript"/>
          <w:lang w:val="en-US" w:eastAsia="pt-PT"/>
        </w:rPr>
        <w:t>WAF1/Cip1</w:t>
      </w:r>
      <w:r>
        <w:rPr>
          <w:rFonts w:ascii="Times New Roman" w:hAnsi="Times New Roman"/>
          <w:sz w:val="24"/>
          <w:szCs w:val="24"/>
          <w:lang w:val="en-US" w:eastAsia="pt-PT"/>
        </w:rPr>
        <w:t xml:space="preserve"> </w:t>
      </w:r>
      <w:r w:rsidRPr="00402E7C">
        <w:rPr>
          <w:rFonts w:ascii="Times New Roman" w:hAnsi="Times New Roman"/>
          <w:sz w:val="24"/>
          <w:szCs w:val="24"/>
          <w:lang w:val="en-US" w:eastAsia="pt-PT"/>
        </w:rPr>
        <w:t>and p27</w:t>
      </w:r>
      <w:r w:rsidRPr="004A7CBE">
        <w:rPr>
          <w:rFonts w:ascii="Times New Roman" w:hAnsi="Times New Roman"/>
          <w:sz w:val="24"/>
          <w:szCs w:val="24"/>
          <w:vertAlign w:val="superscript"/>
          <w:lang w:val="en-US" w:eastAsia="pt-PT"/>
        </w:rPr>
        <w:t>Kip1</w:t>
      </w:r>
      <w:r w:rsidRPr="00402E7C">
        <w:rPr>
          <w:rFonts w:ascii="Times New Roman" w:hAnsi="Times New Roman"/>
          <w:sz w:val="24"/>
          <w:szCs w:val="24"/>
          <w:lang w:val="en-US" w:eastAsia="pt-PT"/>
        </w:rPr>
        <w:t xml:space="preserve"> and with Induction</w:t>
      </w:r>
      <w:r>
        <w:rPr>
          <w:rFonts w:ascii="Times New Roman" w:hAnsi="Times New Roman"/>
          <w:sz w:val="24"/>
          <w:szCs w:val="24"/>
          <w:lang w:val="en-US" w:eastAsia="pt-PT"/>
        </w:rPr>
        <w:t xml:space="preserve"> </w:t>
      </w:r>
      <w:r w:rsidRPr="00402E7C">
        <w:rPr>
          <w:rFonts w:ascii="Times New Roman" w:hAnsi="Times New Roman"/>
          <w:sz w:val="24"/>
          <w:szCs w:val="24"/>
          <w:lang w:val="en-US" w:eastAsia="pt-PT"/>
        </w:rPr>
        <w:t>o</w:t>
      </w:r>
      <w:r>
        <w:rPr>
          <w:rFonts w:ascii="Times New Roman" w:hAnsi="Times New Roman"/>
          <w:sz w:val="24"/>
          <w:szCs w:val="24"/>
          <w:lang w:val="en-US" w:eastAsia="pt-PT"/>
        </w:rPr>
        <w:t>f Differentiation in HL60 Cells.</w:t>
      </w:r>
      <w:r w:rsidRPr="00402E7C">
        <w:rPr>
          <w:rFonts w:ascii="Times New Roman" w:hAnsi="Times New Roman"/>
          <w:sz w:val="24"/>
          <w:szCs w:val="24"/>
          <w:lang w:val="en-US" w:eastAsia="pt-PT"/>
        </w:rPr>
        <w:t xml:space="preserve"> </w:t>
      </w:r>
      <w:r w:rsidRPr="00F84D22">
        <w:rPr>
          <w:rFonts w:ascii="Times New Roman" w:hAnsi="Times New Roman"/>
          <w:i/>
          <w:sz w:val="24"/>
          <w:szCs w:val="24"/>
          <w:lang w:val="en-US" w:eastAsia="pt-PT"/>
        </w:rPr>
        <w:t>The Journal of Nutrition</w:t>
      </w:r>
      <w:r>
        <w:rPr>
          <w:rFonts w:ascii="Times New Roman" w:hAnsi="Times New Roman"/>
          <w:sz w:val="24"/>
          <w:szCs w:val="24"/>
          <w:lang w:val="en-US" w:eastAsia="pt-PT"/>
        </w:rPr>
        <w:t>, 138, 42–48</w:t>
      </w:r>
      <w:r w:rsidRPr="00402E7C">
        <w:rPr>
          <w:rFonts w:ascii="Times New Roman" w:hAnsi="Times New Roman"/>
          <w:sz w:val="24"/>
          <w:szCs w:val="24"/>
          <w:lang w:val="en-US" w:eastAsia="pt-PT"/>
        </w:rPr>
        <w:t>.</w:t>
      </w:r>
    </w:p>
    <w:p w:rsidR="00EF450E" w:rsidRPr="000E2563" w:rsidRDefault="00144186" w:rsidP="000E2563">
      <w:pPr>
        <w:spacing w:before="100" w:beforeAutospacing="1"/>
        <w:jc w:val="both"/>
        <w:rPr>
          <w:rFonts w:ascii="Times New Roman" w:eastAsia="Times New Roman" w:hAnsi="Times New Roman"/>
          <w:bCs/>
          <w:sz w:val="24"/>
          <w:szCs w:val="24"/>
          <w:lang w:val="en-US" w:eastAsia="pt-PT"/>
        </w:rPr>
      </w:pPr>
      <w:r w:rsidRPr="00D92C05">
        <w:rPr>
          <w:rFonts w:ascii="Times New Roman" w:hAnsi="Times New Roman"/>
          <w:sz w:val="24"/>
          <w:szCs w:val="24"/>
          <w:lang w:val="en-US" w:eastAsia="pt-PT"/>
        </w:rPr>
        <w:t xml:space="preserve">Fargnoli, J., Kim, Y., Mantzoros, C. S. (2009). </w:t>
      </w:r>
      <w:r w:rsidRPr="000E2563">
        <w:rPr>
          <w:rFonts w:ascii="Times New Roman" w:hAnsi="Times New Roman"/>
          <w:sz w:val="24"/>
          <w:szCs w:val="24"/>
          <w:lang w:val="en-US" w:eastAsia="pt-PT"/>
        </w:rPr>
        <w:t xml:space="preserve">Mediterranean Diet in Disease Prevention: Current Pespectives. </w:t>
      </w:r>
      <w:r w:rsidRPr="000E2563">
        <w:rPr>
          <w:rFonts w:ascii="Times New Roman" w:hAnsi="Times New Roman"/>
          <w:i/>
          <w:sz w:val="24"/>
          <w:szCs w:val="24"/>
          <w:lang w:val="en-US" w:eastAsia="pt-PT"/>
        </w:rPr>
        <w:t>Nutrition and Health</w:t>
      </w:r>
      <w:r w:rsidRPr="000E2563">
        <w:rPr>
          <w:rFonts w:ascii="Times New Roman" w:hAnsi="Times New Roman"/>
          <w:sz w:val="24"/>
          <w:szCs w:val="24"/>
          <w:lang w:val="en-US" w:eastAsia="pt-PT"/>
        </w:rPr>
        <w:t xml:space="preserve">, Part 5, 263-278. </w:t>
      </w:r>
    </w:p>
    <w:p w:rsidR="00653234" w:rsidRPr="000E2563" w:rsidRDefault="00653234" w:rsidP="00653234">
      <w:pPr>
        <w:jc w:val="both"/>
        <w:rPr>
          <w:rFonts w:ascii="Times New Roman" w:hAnsi="Times New Roman"/>
          <w:sz w:val="24"/>
          <w:szCs w:val="24"/>
          <w:lang w:val="es-ES"/>
        </w:rPr>
      </w:pPr>
      <w:r w:rsidRPr="000E2563">
        <w:rPr>
          <w:rFonts w:ascii="Times New Roman" w:hAnsi="Times New Roman"/>
          <w:sz w:val="24"/>
          <w:szCs w:val="24"/>
          <w:lang w:val="es-ES"/>
        </w:rPr>
        <w:t xml:space="preserve">Gaudet, M., Bensen, J., Schroeder, J., Olshan, A., Terry, M., Eng S., Teitelbaum, S., Britton, J., Lehman, T. and Neugut, A., (2006). Catechol-O-methyltransferase haplotypes and breast cancer among women on Long Island, New York. </w:t>
      </w:r>
      <w:r w:rsidRPr="000E2563">
        <w:rPr>
          <w:rFonts w:ascii="Times New Roman" w:hAnsi="Times New Roman"/>
          <w:i/>
          <w:sz w:val="24"/>
          <w:szCs w:val="24"/>
          <w:lang w:val="es-ES"/>
        </w:rPr>
        <w:t>Breast cancer Research Treatment</w:t>
      </w:r>
      <w:r w:rsidRPr="000E2563">
        <w:rPr>
          <w:rFonts w:ascii="Times New Roman" w:hAnsi="Times New Roman"/>
          <w:sz w:val="24"/>
          <w:szCs w:val="24"/>
          <w:lang w:val="es-ES"/>
        </w:rPr>
        <w:t>, 99, 235-240.</w:t>
      </w:r>
    </w:p>
    <w:p w:rsidR="00DB2484" w:rsidRPr="00DB2484" w:rsidRDefault="00DB2484" w:rsidP="00DB2484">
      <w:pPr>
        <w:autoSpaceDE w:val="0"/>
        <w:autoSpaceDN w:val="0"/>
        <w:adjustRightInd w:val="0"/>
        <w:spacing w:line="240" w:lineRule="auto"/>
        <w:jc w:val="both"/>
        <w:rPr>
          <w:rFonts w:ascii="Times New Roman" w:hAnsi="Times New Roman"/>
          <w:iCs/>
          <w:sz w:val="24"/>
          <w:szCs w:val="24"/>
          <w:lang w:eastAsia="pt-PT"/>
        </w:rPr>
      </w:pPr>
      <w:r w:rsidRPr="00DB2484">
        <w:rPr>
          <w:rFonts w:ascii="Times New Roman" w:hAnsi="Times New Roman"/>
          <w:iCs/>
          <w:sz w:val="24"/>
          <w:szCs w:val="24"/>
          <w:lang w:val="en-US" w:eastAsia="pt-PT"/>
        </w:rPr>
        <w:t xml:space="preserve">Gaw, A., Cowan, R. A., O’Reilly, D. St. J., Stewart, M. J., Shepherd, J. (2008). </w:t>
      </w:r>
      <w:r w:rsidRPr="00DB2484">
        <w:rPr>
          <w:rFonts w:ascii="Times New Roman" w:hAnsi="Times New Roman"/>
          <w:iCs/>
          <w:sz w:val="24"/>
          <w:szCs w:val="24"/>
          <w:lang w:eastAsia="pt-PT"/>
        </w:rPr>
        <w:t>Clinical Bioquemistry, 2</w:t>
      </w:r>
      <w:r w:rsidRPr="00DB2484">
        <w:rPr>
          <w:rFonts w:ascii="Times New Roman" w:hAnsi="Times New Roman"/>
          <w:iCs/>
          <w:sz w:val="24"/>
          <w:szCs w:val="24"/>
          <w:vertAlign w:val="superscript"/>
          <w:lang w:eastAsia="pt-PT"/>
        </w:rPr>
        <w:t>nd</w:t>
      </w:r>
      <w:r w:rsidRPr="00DB2484">
        <w:rPr>
          <w:rFonts w:ascii="Times New Roman" w:hAnsi="Times New Roman"/>
          <w:iCs/>
          <w:sz w:val="24"/>
          <w:szCs w:val="24"/>
          <w:lang w:eastAsia="pt-PT"/>
        </w:rPr>
        <w:t xml:space="preserve"> edition. Churchill Livingstone, USA</w:t>
      </w:r>
      <w:r>
        <w:rPr>
          <w:rFonts w:ascii="Times New Roman" w:hAnsi="Times New Roman"/>
          <w:iCs/>
          <w:sz w:val="24"/>
          <w:szCs w:val="24"/>
          <w:lang w:eastAsia="pt-PT"/>
        </w:rPr>
        <w:t>.</w:t>
      </w:r>
    </w:p>
    <w:p w:rsidR="00186ACD" w:rsidRPr="00186ACD" w:rsidRDefault="00186ACD" w:rsidP="00186ACD">
      <w:pPr>
        <w:autoSpaceDE w:val="0"/>
        <w:autoSpaceDN w:val="0"/>
        <w:adjustRightInd w:val="0"/>
        <w:spacing w:line="240" w:lineRule="auto"/>
        <w:jc w:val="both"/>
        <w:rPr>
          <w:rFonts w:ascii="Times New Roman" w:hAnsi="Times New Roman"/>
          <w:bCs/>
          <w:sz w:val="24"/>
          <w:szCs w:val="24"/>
          <w:lang w:val="en-US" w:eastAsia="pt-PT"/>
        </w:rPr>
      </w:pPr>
      <w:r w:rsidRPr="00186ACD">
        <w:rPr>
          <w:rFonts w:ascii="Times New Roman" w:hAnsi="Times New Roman"/>
          <w:iCs/>
          <w:sz w:val="24"/>
          <w:szCs w:val="24"/>
          <w:lang w:eastAsia="pt-PT"/>
        </w:rPr>
        <w:t xml:space="preserve">Granados-Principal, S., Quiles, J. L., Ramirez-Tortosa, C., Camacho-Corencia, P., Sanchez-Rovira, P., Vera-Ramirez, L., Ramirez-Tortosa, M. C. (2011). </w:t>
      </w:r>
      <w:r w:rsidRPr="00C84434">
        <w:rPr>
          <w:rFonts w:ascii="Times New Roman" w:hAnsi="Times New Roman"/>
          <w:bCs/>
          <w:sz w:val="24"/>
          <w:szCs w:val="24"/>
          <w:lang w:val="en-US" w:eastAsia="pt-PT"/>
        </w:rPr>
        <w:t xml:space="preserve">Hydroxytyrosol </w:t>
      </w:r>
      <w:r w:rsidRPr="00C84434">
        <w:rPr>
          <w:rFonts w:ascii="Times New Roman" w:hAnsi="Times New Roman"/>
          <w:bCs/>
          <w:sz w:val="24"/>
          <w:szCs w:val="24"/>
          <w:lang w:val="en-US" w:eastAsia="pt-PT"/>
        </w:rPr>
        <w:lastRenderedPageBreak/>
        <w:t xml:space="preserve">inhibits growth and cell proliferation </w:t>
      </w:r>
      <w:r w:rsidRPr="00402E7C">
        <w:rPr>
          <w:rFonts w:ascii="Times New Roman" w:hAnsi="Times New Roman"/>
          <w:bCs/>
          <w:sz w:val="24"/>
          <w:szCs w:val="24"/>
          <w:lang w:val="en-US" w:eastAsia="pt-PT"/>
        </w:rPr>
        <w:t>and promotes high expression of sfrp4 in rat mammary</w:t>
      </w:r>
      <w:r>
        <w:rPr>
          <w:rFonts w:ascii="Times New Roman" w:hAnsi="Times New Roman"/>
          <w:bCs/>
          <w:sz w:val="24"/>
          <w:szCs w:val="24"/>
          <w:lang w:val="en-US" w:eastAsia="pt-PT"/>
        </w:rPr>
        <w:t xml:space="preserve"> </w:t>
      </w:r>
      <w:r w:rsidRPr="00402E7C">
        <w:rPr>
          <w:rFonts w:ascii="Times New Roman" w:hAnsi="Times New Roman"/>
          <w:bCs/>
          <w:sz w:val="24"/>
          <w:szCs w:val="24"/>
          <w:lang w:val="en-US" w:eastAsia="pt-PT"/>
        </w:rPr>
        <w:t>tumours</w:t>
      </w:r>
      <w:r>
        <w:rPr>
          <w:rFonts w:ascii="Times New Roman" w:hAnsi="Times New Roman"/>
          <w:bCs/>
          <w:sz w:val="24"/>
          <w:szCs w:val="24"/>
          <w:lang w:val="en-US" w:eastAsia="pt-PT"/>
        </w:rPr>
        <w:t>.</w:t>
      </w:r>
      <w:r w:rsidRPr="00402E7C">
        <w:rPr>
          <w:rFonts w:ascii="Times New Roman" w:hAnsi="Times New Roman"/>
          <w:i/>
          <w:iCs/>
          <w:sz w:val="24"/>
          <w:szCs w:val="24"/>
          <w:lang w:val="en-US" w:eastAsia="pt-PT"/>
        </w:rPr>
        <w:t xml:space="preserve"> Mol. Nutr. Food Res</w:t>
      </w:r>
      <w:r>
        <w:rPr>
          <w:rFonts w:ascii="Times New Roman" w:hAnsi="Times New Roman"/>
          <w:i/>
          <w:iCs/>
          <w:sz w:val="24"/>
          <w:szCs w:val="24"/>
          <w:lang w:val="en-US" w:eastAsia="pt-PT"/>
        </w:rPr>
        <w:t>,</w:t>
      </w:r>
      <w:r w:rsidRPr="00402E7C">
        <w:rPr>
          <w:rFonts w:ascii="Times New Roman" w:hAnsi="Times New Roman"/>
          <w:i/>
          <w:iCs/>
          <w:sz w:val="24"/>
          <w:szCs w:val="24"/>
          <w:lang w:val="en-US" w:eastAsia="pt-PT"/>
        </w:rPr>
        <w:t>55</w:t>
      </w:r>
      <w:r w:rsidRPr="00402E7C">
        <w:rPr>
          <w:rFonts w:ascii="Times New Roman" w:hAnsi="Times New Roman"/>
          <w:sz w:val="24"/>
          <w:szCs w:val="24"/>
          <w:lang w:val="en-US" w:eastAsia="pt-PT"/>
        </w:rPr>
        <w:t>, S117–S126</w:t>
      </w:r>
      <w:r>
        <w:rPr>
          <w:rFonts w:ascii="Times New Roman" w:hAnsi="Times New Roman"/>
          <w:sz w:val="24"/>
          <w:szCs w:val="24"/>
          <w:lang w:val="en-US" w:eastAsia="pt-PT"/>
        </w:rPr>
        <w:t>.</w:t>
      </w:r>
    </w:p>
    <w:p w:rsidR="00655A4A" w:rsidRPr="00655A4A" w:rsidRDefault="00655A4A" w:rsidP="00DB2484">
      <w:pPr>
        <w:autoSpaceDE w:val="0"/>
        <w:autoSpaceDN w:val="0"/>
        <w:adjustRightInd w:val="0"/>
        <w:spacing w:line="240" w:lineRule="auto"/>
        <w:jc w:val="both"/>
        <w:rPr>
          <w:rFonts w:ascii="Times New Roman" w:hAnsi="Times New Roman"/>
          <w:bCs/>
          <w:sz w:val="24"/>
          <w:szCs w:val="24"/>
          <w:lang w:val="en-US" w:eastAsia="pt-PT"/>
        </w:rPr>
      </w:pPr>
      <w:r w:rsidRPr="006737F5">
        <w:rPr>
          <w:rFonts w:ascii="Times New Roman" w:hAnsi="Times New Roman"/>
          <w:bCs/>
          <w:sz w:val="24"/>
          <w:szCs w:val="24"/>
          <w:lang w:val="en-US" w:eastAsia="pt-PT"/>
        </w:rPr>
        <w:t xml:space="preserve">Gupta, G. P., Perk, J., Acharyya, S., Candia, P., Mittal, V., Todorova-Manova, K., Gerald, W. L., Brogi, E., Benezra, R., Massague, J. (2007). </w:t>
      </w:r>
      <w:r w:rsidRPr="00B60B7F">
        <w:rPr>
          <w:rFonts w:ascii="Times New Roman" w:hAnsi="Times New Roman"/>
          <w:bCs/>
          <w:sz w:val="24"/>
          <w:szCs w:val="24"/>
          <w:lang w:val="en-US" w:eastAsia="pt-PT"/>
        </w:rPr>
        <w:t>ID genes mediate tumor reinitiation during breast</w:t>
      </w:r>
      <w:r>
        <w:rPr>
          <w:rFonts w:ascii="Times New Roman" w:hAnsi="Times New Roman"/>
          <w:bCs/>
          <w:sz w:val="24"/>
          <w:szCs w:val="24"/>
          <w:lang w:val="en-US" w:eastAsia="pt-PT"/>
        </w:rPr>
        <w:t xml:space="preserve"> </w:t>
      </w:r>
      <w:r w:rsidRPr="00655A4A">
        <w:rPr>
          <w:rFonts w:ascii="Times New Roman" w:hAnsi="Times New Roman"/>
          <w:bCs/>
          <w:sz w:val="24"/>
          <w:szCs w:val="24"/>
          <w:lang w:val="en-US" w:eastAsia="pt-PT"/>
        </w:rPr>
        <w:t>cancer lung metastasis.</w:t>
      </w:r>
      <w:r>
        <w:rPr>
          <w:rFonts w:ascii="Times New Roman" w:hAnsi="Times New Roman"/>
          <w:bCs/>
          <w:sz w:val="24"/>
          <w:szCs w:val="24"/>
          <w:lang w:val="en-US" w:eastAsia="pt-PT"/>
        </w:rPr>
        <w:t xml:space="preserve"> </w:t>
      </w:r>
      <w:r w:rsidRPr="00655A4A">
        <w:rPr>
          <w:rFonts w:ascii="Times New Roman" w:hAnsi="Times New Roman"/>
          <w:i/>
          <w:sz w:val="24"/>
          <w:szCs w:val="24"/>
          <w:lang w:val="en-US" w:eastAsia="pt-PT"/>
        </w:rPr>
        <w:t>PNAS</w:t>
      </w:r>
      <w:r>
        <w:rPr>
          <w:rFonts w:ascii="Times New Roman" w:hAnsi="Times New Roman"/>
          <w:sz w:val="24"/>
          <w:szCs w:val="24"/>
          <w:lang w:val="en-US" w:eastAsia="pt-PT"/>
        </w:rPr>
        <w:t xml:space="preserve">, </w:t>
      </w:r>
      <w:r w:rsidRPr="00655A4A">
        <w:rPr>
          <w:rFonts w:ascii="Times New Roman" w:hAnsi="Times New Roman"/>
          <w:sz w:val="24"/>
          <w:szCs w:val="24"/>
          <w:lang w:val="en-US" w:eastAsia="pt-PT"/>
        </w:rPr>
        <w:t>vol. 104</w:t>
      </w:r>
      <w:r>
        <w:rPr>
          <w:rFonts w:ascii="Times New Roman" w:hAnsi="Times New Roman"/>
          <w:sz w:val="24"/>
          <w:szCs w:val="24"/>
          <w:lang w:val="en-US" w:eastAsia="pt-PT"/>
        </w:rPr>
        <w:t xml:space="preserve">, </w:t>
      </w:r>
      <w:r w:rsidRPr="00655A4A">
        <w:rPr>
          <w:rFonts w:ascii="Times New Roman" w:hAnsi="Times New Roman"/>
          <w:sz w:val="24"/>
          <w:szCs w:val="24"/>
          <w:lang w:val="en-US" w:eastAsia="pt-PT"/>
        </w:rPr>
        <w:t>no. 49</w:t>
      </w:r>
      <w:r>
        <w:rPr>
          <w:rFonts w:ascii="Times New Roman" w:hAnsi="Times New Roman"/>
          <w:sz w:val="24"/>
          <w:szCs w:val="24"/>
          <w:lang w:val="en-US" w:eastAsia="pt-PT"/>
        </w:rPr>
        <w:t xml:space="preserve">, </w:t>
      </w:r>
      <w:r w:rsidRPr="00655A4A">
        <w:rPr>
          <w:rFonts w:ascii="Times New Roman" w:hAnsi="Times New Roman"/>
          <w:bCs/>
          <w:sz w:val="24"/>
          <w:szCs w:val="24"/>
          <w:lang w:val="en-US" w:eastAsia="pt-PT"/>
        </w:rPr>
        <w:t>19506–19511</w:t>
      </w:r>
      <w:r>
        <w:rPr>
          <w:rFonts w:ascii="Times New Roman" w:hAnsi="Times New Roman"/>
          <w:bCs/>
          <w:sz w:val="24"/>
          <w:szCs w:val="24"/>
          <w:lang w:val="en-US" w:eastAsia="pt-PT"/>
        </w:rPr>
        <w:t>.</w:t>
      </w:r>
    </w:p>
    <w:p w:rsidR="00102B2B" w:rsidRPr="000E2563" w:rsidRDefault="00102B2B" w:rsidP="006C3477">
      <w:pPr>
        <w:widowControl w:val="0"/>
        <w:suppressAutoHyphens/>
        <w:jc w:val="both"/>
        <w:rPr>
          <w:rFonts w:ascii="Times New Roman" w:hAnsi="Times New Roman"/>
          <w:sz w:val="24"/>
          <w:szCs w:val="24"/>
          <w:lang w:val="en-US"/>
        </w:rPr>
      </w:pPr>
      <w:r w:rsidRPr="000E2563">
        <w:rPr>
          <w:rFonts w:ascii="Times New Roman" w:hAnsi="Times New Roman"/>
          <w:sz w:val="24"/>
          <w:szCs w:val="24"/>
          <w:lang w:val="en-US"/>
        </w:rPr>
        <w:t xml:space="preserve">Hatano, T., </w:t>
      </w:r>
      <w:r w:rsidRPr="000E2563">
        <w:rPr>
          <w:rFonts w:ascii="Times New Roman" w:hAnsi="Times New Roman"/>
          <w:i/>
          <w:sz w:val="24"/>
          <w:szCs w:val="24"/>
          <w:lang w:val="en-US"/>
        </w:rPr>
        <w:t>et al</w:t>
      </w:r>
      <w:r w:rsidRPr="000E2563">
        <w:rPr>
          <w:rFonts w:ascii="Times New Roman" w:hAnsi="Times New Roman"/>
          <w:sz w:val="24"/>
          <w:szCs w:val="24"/>
          <w:lang w:val="en-US"/>
        </w:rPr>
        <w:t xml:space="preserve">, 1988, </w:t>
      </w:r>
      <w:r w:rsidRPr="000E2563">
        <w:rPr>
          <w:rFonts w:ascii="Times New Roman" w:hAnsi="Times New Roman"/>
          <w:i/>
          <w:sz w:val="24"/>
          <w:szCs w:val="24"/>
          <w:lang w:val="en-US"/>
        </w:rPr>
        <w:t>Chemical &amp; Pharmaceutical Bulletin</w:t>
      </w:r>
      <w:r w:rsidRPr="000E2563">
        <w:rPr>
          <w:rFonts w:ascii="Times New Roman" w:hAnsi="Times New Roman"/>
          <w:sz w:val="24"/>
          <w:szCs w:val="24"/>
          <w:lang w:val="en-US"/>
        </w:rPr>
        <w:t xml:space="preserve">, </w:t>
      </w:r>
      <w:r w:rsidRPr="000E2563">
        <w:rPr>
          <w:rFonts w:ascii="Times New Roman" w:hAnsi="Times New Roman"/>
          <w:b/>
          <w:sz w:val="24"/>
          <w:szCs w:val="24"/>
          <w:lang w:val="en-US"/>
        </w:rPr>
        <w:t>36</w:t>
      </w:r>
      <w:r w:rsidRPr="000E2563">
        <w:rPr>
          <w:rFonts w:ascii="Times New Roman" w:hAnsi="Times New Roman"/>
          <w:sz w:val="24"/>
          <w:szCs w:val="24"/>
          <w:lang w:val="en-US"/>
        </w:rPr>
        <w:t>: 2090-2097;</w:t>
      </w:r>
    </w:p>
    <w:p w:rsidR="00653234" w:rsidRPr="00A269C7" w:rsidRDefault="00653234" w:rsidP="00653234">
      <w:pPr>
        <w:autoSpaceDE w:val="0"/>
        <w:autoSpaceDN w:val="0"/>
        <w:adjustRightInd w:val="0"/>
        <w:spacing w:line="240" w:lineRule="auto"/>
        <w:jc w:val="both"/>
        <w:rPr>
          <w:rFonts w:ascii="Times New Roman" w:hAnsi="Times New Roman"/>
          <w:sz w:val="24"/>
          <w:szCs w:val="20"/>
          <w:lang w:val="en-US" w:eastAsia="pt-PT"/>
        </w:rPr>
      </w:pPr>
      <w:r w:rsidRPr="00A269C7">
        <w:rPr>
          <w:rFonts w:ascii="Times New Roman" w:hAnsi="Times New Roman"/>
          <w:sz w:val="24"/>
          <w:szCs w:val="20"/>
          <w:lang w:val="en-US" w:eastAsia="pt-PT"/>
        </w:rPr>
        <w:t>Huang, W., Cai, Y., Zhang, Y. (2009). Natural Phenolic Compounds From Medicinal Herbs</w:t>
      </w:r>
      <w:r>
        <w:rPr>
          <w:rFonts w:ascii="Times New Roman" w:hAnsi="Times New Roman"/>
          <w:sz w:val="24"/>
          <w:szCs w:val="20"/>
          <w:lang w:val="en-US" w:eastAsia="pt-PT"/>
        </w:rPr>
        <w:t xml:space="preserve"> </w:t>
      </w:r>
      <w:r w:rsidRPr="00A269C7">
        <w:rPr>
          <w:rFonts w:ascii="Times New Roman" w:hAnsi="Times New Roman"/>
          <w:sz w:val="24"/>
          <w:szCs w:val="20"/>
          <w:lang w:val="en-US" w:eastAsia="pt-PT"/>
        </w:rPr>
        <w:t xml:space="preserve">and Dietary Plants: Potential Use for Cancer Prevention. </w:t>
      </w:r>
      <w:r w:rsidRPr="00A269C7">
        <w:rPr>
          <w:rFonts w:ascii="Times New Roman" w:hAnsi="Times New Roman"/>
          <w:i/>
          <w:sz w:val="24"/>
          <w:szCs w:val="20"/>
          <w:lang w:val="en-US" w:eastAsia="pt-PT"/>
        </w:rPr>
        <w:t>Nutrition and Cancer</w:t>
      </w:r>
      <w:r w:rsidRPr="00A269C7">
        <w:rPr>
          <w:rFonts w:ascii="Times New Roman" w:hAnsi="Times New Roman"/>
          <w:sz w:val="24"/>
          <w:szCs w:val="20"/>
          <w:lang w:val="en-US" w:eastAsia="pt-PT"/>
        </w:rPr>
        <w:t>, 62</w:t>
      </w:r>
      <w:r>
        <w:rPr>
          <w:rFonts w:ascii="Times New Roman" w:hAnsi="Times New Roman"/>
          <w:sz w:val="24"/>
          <w:szCs w:val="20"/>
          <w:lang w:val="en-US" w:eastAsia="pt-PT"/>
        </w:rPr>
        <w:t>:</w:t>
      </w:r>
      <w:r w:rsidRPr="00A269C7">
        <w:rPr>
          <w:rFonts w:ascii="Times New Roman" w:hAnsi="Times New Roman"/>
          <w:sz w:val="24"/>
          <w:szCs w:val="20"/>
          <w:lang w:val="en-US" w:eastAsia="pt-PT"/>
        </w:rPr>
        <w:t>1, 1-20</w:t>
      </w:r>
      <w:r>
        <w:rPr>
          <w:rFonts w:ascii="Times New Roman" w:hAnsi="Times New Roman"/>
          <w:sz w:val="24"/>
          <w:szCs w:val="20"/>
          <w:lang w:val="en-US" w:eastAsia="pt-PT"/>
        </w:rPr>
        <w:t>.</w:t>
      </w:r>
    </w:p>
    <w:p w:rsidR="00CE505E" w:rsidRPr="00CE505E" w:rsidRDefault="00CE505E" w:rsidP="00CE505E">
      <w:pPr>
        <w:autoSpaceDE w:val="0"/>
        <w:autoSpaceDN w:val="0"/>
        <w:adjustRightInd w:val="0"/>
        <w:spacing w:line="240" w:lineRule="auto"/>
        <w:jc w:val="both"/>
        <w:rPr>
          <w:rFonts w:ascii="Times New Roman" w:eastAsia="AdvGulliv-R" w:hAnsi="Times New Roman"/>
          <w:sz w:val="24"/>
          <w:szCs w:val="24"/>
          <w:lang w:val="en-US" w:eastAsia="pt-PT"/>
        </w:rPr>
      </w:pPr>
      <w:r w:rsidRPr="00CE505E">
        <w:rPr>
          <w:rFonts w:ascii="Times New Roman" w:eastAsia="AdvGulliv-R" w:hAnsi="Times New Roman"/>
          <w:sz w:val="24"/>
          <w:szCs w:val="24"/>
          <w:lang w:val="en-US" w:eastAsia="pt-PT"/>
        </w:rPr>
        <w:t>Jerman</w:t>
      </w:r>
      <w:r>
        <w:rPr>
          <w:rFonts w:ascii="Times New Roman" w:eastAsia="AdvGulliv-R" w:hAnsi="Times New Roman"/>
          <w:sz w:val="24"/>
          <w:szCs w:val="24"/>
          <w:lang w:val="en-US" w:eastAsia="pt-PT"/>
        </w:rPr>
        <w:t xml:space="preserve">, </w:t>
      </w:r>
      <w:r w:rsidRPr="00CE505E">
        <w:rPr>
          <w:rFonts w:ascii="Times New Roman" w:eastAsia="AdvGulliv-R" w:hAnsi="Times New Roman"/>
          <w:sz w:val="24"/>
          <w:szCs w:val="24"/>
          <w:lang w:val="en-US" w:eastAsia="pt-PT"/>
        </w:rPr>
        <w:t>T.</w:t>
      </w:r>
      <w:r>
        <w:rPr>
          <w:rFonts w:ascii="Times New Roman" w:eastAsia="AdvGulliv-R" w:hAnsi="Times New Roman"/>
          <w:sz w:val="24"/>
          <w:szCs w:val="24"/>
          <w:lang w:val="en-US" w:eastAsia="pt-PT"/>
        </w:rPr>
        <w:t xml:space="preserve">, </w:t>
      </w:r>
      <w:r w:rsidRPr="00CE505E">
        <w:rPr>
          <w:rFonts w:ascii="Times New Roman" w:eastAsia="AdvGulliv-R" w:hAnsi="Times New Roman"/>
          <w:sz w:val="24"/>
          <w:szCs w:val="24"/>
          <w:lang w:val="en-US" w:eastAsia="pt-PT"/>
        </w:rPr>
        <w:t>Trebše</w:t>
      </w:r>
      <w:r>
        <w:rPr>
          <w:rFonts w:ascii="Times New Roman" w:eastAsia="AdvGulliv-R" w:hAnsi="Times New Roman"/>
          <w:sz w:val="24"/>
          <w:szCs w:val="24"/>
          <w:lang w:val="en-US" w:eastAsia="pt-PT"/>
        </w:rPr>
        <w:t>,</w:t>
      </w:r>
      <w:r w:rsidRPr="00CE505E">
        <w:rPr>
          <w:rFonts w:ascii="Times New Roman" w:eastAsia="AdvGulliv-R" w:hAnsi="Times New Roman"/>
          <w:sz w:val="24"/>
          <w:szCs w:val="24"/>
          <w:lang w:val="en-US" w:eastAsia="pt-PT"/>
        </w:rPr>
        <w:t xml:space="preserve"> P.</w:t>
      </w:r>
      <w:r>
        <w:rPr>
          <w:rFonts w:ascii="Times New Roman" w:eastAsia="AdvGulliv-R" w:hAnsi="Times New Roman"/>
          <w:sz w:val="24"/>
          <w:szCs w:val="24"/>
          <w:lang w:val="en-US" w:eastAsia="pt-PT"/>
        </w:rPr>
        <w:t xml:space="preserve">, </w:t>
      </w:r>
      <w:r w:rsidRPr="00CE505E">
        <w:rPr>
          <w:rFonts w:ascii="Times New Roman" w:eastAsia="AdvGulliv-R" w:hAnsi="Times New Roman"/>
          <w:sz w:val="24"/>
          <w:szCs w:val="24"/>
          <w:lang w:val="en-US" w:eastAsia="pt-PT"/>
        </w:rPr>
        <w:t>Vodopivec</w:t>
      </w:r>
      <w:r>
        <w:rPr>
          <w:rFonts w:ascii="Times New Roman" w:eastAsia="AdvGulliv-R" w:hAnsi="Times New Roman"/>
          <w:sz w:val="24"/>
          <w:szCs w:val="24"/>
          <w:lang w:val="en-US" w:eastAsia="pt-PT"/>
        </w:rPr>
        <w:t xml:space="preserve">, M. B. </w:t>
      </w:r>
      <w:r w:rsidRPr="00CE505E">
        <w:rPr>
          <w:rFonts w:ascii="Times New Roman" w:eastAsia="AdvGulliv-R" w:hAnsi="Times New Roman"/>
          <w:sz w:val="24"/>
          <w:szCs w:val="24"/>
          <w:lang w:val="en-US" w:eastAsia="pt-PT"/>
        </w:rPr>
        <w:t>(2010)</w:t>
      </w:r>
      <w:r>
        <w:rPr>
          <w:rFonts w:ascii="Times New Roman" w:eastAsia="AdvGulliv-R" w:hAnsi="Times New Roman"/>
          <w:sz w:val="24"/>
          <w:szCs w:val="24"/>
          <w:lang w:val="en-US" w:eastAsia="pt-PT"/>
        </w:rPr>
        <w:t>.</w:t>
      </w:r>
      <w:r w:rsidRPr="00CE505E">
        <w:rPr>
          <w:rFonts w:ascii="Times New Roman" w:eastAsia="AdvGulliv-R" w:hAnsi="Times New Roman"/>
          <w:sz w:val="24"/>
          <w:szCs w:val="24"/>
          <w:lang w:val="en-US" w:eastAsia="pt-PT"/>
        </w:rPr>
        <w:t xml:space="preserve"> Ultrasound-assisted solid liquid extraction (USLE) of olive fruit (</w:t>
      </w:r>
      <w:r w:rsidRPr="00CE505E">
        <w:rPr>
          <w:rFonts w:ascii="Times New Roman" w:eastAsia="AdvGulliv-I" w:hAnsi="Times New Roman"/>
          <w:sz w:val="24"/>
          <w:szCs w:val="24"/>
          <w:lang w:val="en-US" w:eastAsia="pt-PT"/>
        </w:rPr>
        <w:t>Olea europaea</w:t>
      </w:r>
      <w:r w:rsidRPr="00CE505E">
        <w:rPr>
          <w:rFonts w:ascii="Times New Roman" w:eastAsia="AdvGulliv-R" w:hAnsi="Times New Roman"/>
          <w:sz w:val="24"/>
          <w:szCs w:val="24"/>
          <w:lang w:val="en-US" w:eastAsia="pt-PT"/>
        </w:rPr>
        <w:t>)</w:t>
      </w:r>
      <w:r>
        <w:rPr>
          <w:rFonts w:ascii="Times New Roman" w:eastAsia="AdvGulliv-R" w:hAnsi="Times New Roman"/>
          <w:sz w:val="24"/>
          <w:szCs w:val="24"/>
          <w:lang w:val="en-US" w:eastAsia="pt-PT"/>
        </w:rPr>
        <w:t xml:space="preserve"> </w:t>
      </w:r>
      <w:r w:rsidRPr="00CE505E">
        <w:rPr>
          <w:rFonts w:ascii="Times New Roman" w:eastAsia="AdvGulliv-R" w:hAnsi="Times New Roman"/>
          <w:sz w:val="24"/>
          <w:szCs w:val="24"/>
          <w:lang w:val="en-US" w:eastAsia="pt-PT"/>
        </w:rPr>
        <w:t>phenolic compounds</w:t>
      </w:r>
      <w:r>
        <w:rPr>
          <w:rFonts w:ascii="Times New Roman" w:eastAsia="AdvGulliv-R" w:hAnsi="Times New Roman"/>
          <w:sz w:val="24"/>
          <w:szCs w:val="24"/>
          <w:lang w:val="en-US" w:eastAsia="pt-PT"/>
        </w:rPr>
        <w:t xml:space="preserve">. </w:t>
      </w:r>
      <w:r w:rsidRPr="00CE505E">
        <w:rPr>
          <w:rFonts w:ascii="Times New Roman" w:eastAsia="AdvGulliv-R" w:hAnsi="Times New Roman"/>
          <w:i/>
          <w:sz w:val="24"/>
          <w:szCs w:val="24"/>
          <w:lang w:val="en-US" w:eastAsia="pt-PT"/>
        </w:rPr>
        <w:t>Food Chemistry</w:t>
      </w:r>
      <w:r>
        <w:rPr>
          <w:rFonts w:ascii="Times New Roman" w:eastAsia="AdvGulliv-R" w:hAnsi="Times New Roman"/>
          <w:sz w:val="24"/>
          <w:szCs w:val="24"/>
          <w:lang w:val="en-US" w:eastAsia="pt-PT"/>
        </w:rPr>
        <w:t>,</w:t>
      </w:r>
      <w:r w:rsidRPr="00CE505E">
        <w:rPr>
          <w:rFonts w:ascii="Times New Roman" w:eastAsia="AdvGulliv-R" w:hAnsi="Times New Roman"/>
          <w:sz w:val="24"/>
          <w:szCs w:val="24"/>
          <w:lang w:val="en-US" w:eastAsia="pt-PT"/>
        </w:rPr>
        <w:t xml:space="preserve"> 123</w:t>
      </w:r>
      <w:r>
        <w:rPr>
          <w:rFonts w:ascii="Times New Roman" w:eastAsia="AdvGulliv-R" w:hAnsi="Times New Roman"/>
          <w:sz w:val="24"/>
          <w:szCs w:val="24"/>
          <w:lang w:val="en-US" w:eastAsia="pt-PT"/>
        </w:rPr>
        <w:t>,</w:t>
      </w:r>
      <w:r w:rsidRPr="00CE505E">
        <w:rPr>
          <w:rFonts w:ascii="Times New Roman" w:eastAsia="AdvGulliv-R" w:hAnsi="Times New Roman"/>
          <w:sz w:val="24"/>
          <w:szCs w:val="24"/>
          <w:lang w:val="en-US" w:eastAsia="pt-PT"/>
        </w:rPr>
        <w:t xml:space="preserve"> 175–182</w:t>
      </w:r>
      <w:r>
        <w:rPr>
          <w:rFonts w:ascii="Times New Roman" w:eastAsia="AdvGulliv-R" w:hAnsi="Times New Roman"/>
          <w:sz w:val="24"/>
          <w:szCs w:val="24"/>
          <w:lang w:val="en-US" w:eastAsia="pt-PT"/>
        </w:rPr>
        <w:t>.</w:t>
      </w:r>
    </w:p>
    <w:p w:rsidR="00653234" w:rsidRPr="00E416D3" w:rsidRDefault="00653234" w:rsidP="00653234">
      <w:pPr>
        <w:autoSpaceDE w:val="0"/>
        <w:autoSpaceDN w:val="0"/>
        <w:adjustRightInd w:val="0"/>
        <w:jc w:val="both"/>
        <w:rPr>
          <w:rFonts w:ascii="Times New Roman" w:hAnsi="Times New Roman"/>
          <w:sz w:val="24"/>
          <w:szCs w:val="24"/>
          <w:lang w:val="en-US" w:eastAsia="pt-PT"/>
        </w:rPr>
      </w:pPr>
      <w:r w:rsidRPr="003C5C08">
        <w:rPr>
          <w:rFonts w:ascii="Times New Roman" w:hAnsi="Times New Roman"/>
          <w:sz w:val="24"/>
          <w:szCs w:val="24"/>
          <w:lang w:val="en-US" w:eastAsia="pt-PT"/>
        </w:rPr>
        <w:t>Jones, J. L., Fernandez, M. L., McIntosh, M. S., Najm, W., Calle, M. C.</w:t>
      </w:r>
      <w:r>
        <w:rPr>
          <w:rFonts w:ascii="Times New Roman" w:hAnsi="Times New Roman"/>
          <w:sz w:val="24"/>
          <w:szCs w:val="24"/>
          <w:lang w:val="en-US" w:eastAsia="pt-PT"/>
        </w:rPr>
        <w:t xml:space="preserve">, </w:t>
      </w:r>
      <w:r w:rsidRPr="003C5C08">
        <w:rPr>
          <w:rFonts w:ascii="Times New Roman" w:hAnsi="Times New Roman"/>
          <w:sz w:val="24"/>
          <w:szCs w:val="24"/>
          <w:lang w:val="en-US" w:eastAsia="pt-PT"/>
        </w:rPr>
        <w:t>Kalynych,</w:t>
      </w:r>
      <w:r>
        <w:rPr>
          <w:rFonts w:ascii="Times New Roman" w:hAnsi="Times New Roman"/>
          <w:sz w:val="24"/>
          <w:szCs w:val="24"/>
          <w:lang w:val="en-US" w:eastAsia="pt-PT"/>
        </w:rPr>
        <w:t xml:space="preserve"> C., </w:t>
      </w:r>
      <w:r w:rsidRPr="003C5C08">
        <w:rPr>
          <w:rFonts w:ascii="Times New Roman" w:hAnsi="Times New Roman"/>
          <w:sz w:val="24"/>
          <w:szCs w:val="24"/>
          <w:lang w:val="en-US" w:eastAsia="pt-PT"/>
        </w:rPr>
        <w:t xml:space="preserve">Vukich, </w:t>
      </w:r>
      <w:r>
        <w:rPr>
          <w:rFonts w:ascii="Times New Roman" w:hAnsi="Times New Roman"/>
          <w:sz w:val="24"/>
          <w:szCs w:val="24"/>
          <w:lang w:val="en-US" w:eastAsia="pt-PT"/>
        </w:rPr>
        <w:t xml:space="preserve">C., </w:t>
      </w:r>
      <w:r w:rsidRPr="003C5C08">
        <w:rPr>
          <w:rFonts w:ascii="Times New Roman" w:hAnsi="Times New Roman"/>
          <w:sz w:val="24"/>
          <w:szCs w:val="24"/>
          <w:lang w:val="en-US" w:eastAsia="pt-PT"/>
        </w:rPr>
        <w:t xml:space="preserve">Barona, </w:t>
      </w:r>
      <w:r>
        <w:rPr>
          <w:rFonts w:ascii="Times New Roman" w:hAnsi="Times New Roman"/>
          <w:sz w:val="24"/>
          <w:szCs w:val="24"/>
          <w:lang w:val="en-US" w:eastAsia="pt-PT"/>
        </w:rPr>
        <w:t xml:space="preserve">J., </w:t>
      </w:r>
      <w:r w:rsidRPr="003C5C08">
        <w:rPr>
          <w:rFonts w:ascii="Times New Roman" w:hAnsi="Times New Roman"/>
          <w:sz w:val="24"/>
          <w:szCs w:val="24"/>
          <w:lang w:val="en-US" w:eastAsia="pt-PT"/>
        </w:rPr>
        <w:t xml:space="preserve">Ackermann, </w:t>
      </w:r>
      <w:r>
        <w:rPr>
          <w:rFonts w:ascii="Times New Roman" w:hAnsi="Times New Roman"/>
          <w:sz w:val="24"/>
          <w:szCs w:val="24"/>
          <w:lang w:val="en-US" w:eastAsia="pt-PT"/>
        </w:rPr>
        <w:t xml:space="preserve">D., </w:t>
      </w:r>
      <w:r w:rsidRPr="003C5C08">
        <w:rPr>
          <w:rFonts w:ascii="Times New Roman" w:hAnsi="Times New Roman"/>
          <w:sz w:val="24"/>
          <w:szCs w:val="24"/>
          <w:lang w:val="en-US" w:eastAsia="pt-PT"/>
        </w:rPr>
        <w:t xml:space="preserve">Kim, </w:t>
      </w:r>
      <w:r>
        <w:rPr>
          <w:rFonts w:ascii="Times New Roman" w:hAnsi="Times New Roman"/>
          <w:sz w:val="24"/>
          <w:szCs w:val="24"/>
          <w:lang w:val="en-US" w:eastAsia="pt-PT"/>
        </w:rPr>
        <w:t xml:space="preserve">J. E., </w:t>
      </w:r>
      <w:r w:rsidRPr="003C5C08">
        <w:rPr>
          <w:rFonts w:ascii="Times New Roman" w:hAnsi="Times New Roman"/>
          <w:sz w:val="24"/>
          <w:szCs w:val="24"/>
          <w:lang w:val="en-US" w:eastAsia="pt-PT"/>
        </w:rPr>
        <w:t xml:space="preserve">Kumar, </w:t>
      </w:r>
      <w:r>
        <w:rPr>
          <w:rFonts w:ascii="Times New Roman" w:hAnsi="Times New Roman"/>
          <w:sz w:val="24"/>
          <w:szCs w:val="24"/>
          <w:lang w:val="en-US" w:eastAsia="pt-PT"/>
        </w:rPr>
        <w:t xml:space="preserve">V., </w:t>
      </w:r>
      <w:r w:rsidRPr="003C5C08">
        <w:rPr>
          <w:rFonts w:ascii="Times New Roman" w:hAnsi="Times New Roman"/>
          <w:sz w:val="24"/>
          <w:szCs w:val="24"/>
          <w:lang w:val="en-US" w:eastAsia="pt-PT"/>
        </w:rPr>
        <w:t xml:space="preserve">Lott, </w:t>
      </w:r>
      <w:r>
        <w:rPr>
          <w:rFonts w:ascii="Times New Roman" w:hAnsi="Times New Roman"/>
          <w:sz w:val="24"/>
          <w:szCs w:val="24"/>
          <w:lang w:val="en-US" w:eastAsia="pt-PT"/>
        </w:rPr>
        <w:t xml:space="preserve">M., </w:t>
      </w:r>
      <w:r w:rsidRPr="003C5C08">
        <w:rPr>
          <w:rFonts w:ascii="Times New Roman" w:hAnsi="Times New Roman"/>
          <w:sz w:val="24"/>
          <w:szCs w:val="24"/>
          <w:lang w:val="en-US" w:eastAsia="pt-PT"/>
        </w:rPr>
        <w:t xml:space="preserve">Volek, </w:t>
      </w:r>
      <w:r>
        <w:rPr>
          <w:rFonts w:ascii="Times New Roman" w:hAnsi="Times New Roman"/>
          <w:sz w:val="24"/>
          <w:szCs w:val="24"/>
          <w:lang w:val="en-US" w:eastAsia="pt-PT"/>
        </w:rPr>
        <w:t xml:space="preserve">J.S., </w:t>
      </w:r>
      <w:r w:rsidRPr="003C5C08">
        <w:rPr>
          <w:rFonts w:ascii="Times New Roman" w:hAnsi="Times New Roman"/>
          <w:sz w:val="24"/>
          <w:szCs w:val="24"/>
          <w:lang w:val="en-US" w:eastAsia="pt-PT"/>
        </w:rPr>
        <w:t>Lerman,</w:t>
      </w:r>
      <w:r>
        <w:rPr>
          <w:rFonts w:ascii="Times New Roman" w:hAnsi="Times New Roman"/>
          <w:sz w:val="24"/>
          <w:szCs w:val="24"/>
          <w:lang w:val="en-US" w:eastAsia="pt-PT"/>
        </w:rPr>
        <w:t xml:space="preserve"> R. H. </w:t>
      </w:r>
      <w:r w:rsidRPr="003C5C08">
        <w:rPr>
          <w:rFonts w:ascii="Times New Roman" w:hAnsi="Times New Roman"/>
          <w:sz w:val="24"/>
          <w:szCs w:val="24"/>
          <w:lang w:val="en-US" w:eastAsia="pt-PT"/>
        </w:rPr>
        <w:t xml:space="preserve"> </w:t>
      </w:r>
      <w:r>
        <w:rPr>
          <w:rFonts w:ascii="Times New Roman" w:hAnsi="Times New Roman"/>
          <w:sz w:val="24"/>
          <w:szCs w:val="24"/>
          <w:lang w:val="en-US" w:eastAsia="pt-PT"/>
        </w:rPr>
        <w:t xml:space="preserve">(2011). </w:t>
      </w:r>
      <w:r w:rsidRPr="003C5C08">
        <w:rPr>
          <w:rFonts w:ascii="Times New Roman" w:hAnsi="Times New Roman"/>
          <w:sz w:val="24"/>
          <w:szCs w:val="24"/>
          <w:lang w:val="en-US" w:eastAsia="pt-PT"/>
        </w:rPr>
        <w:t>A Mediterranean-style low-glycemic-load diet improves</w:t>
      </w:r>
      <w:r>
        <w:rPr>
          <w:rFonts w:ascii="Times New Roman" w:hAnsi="Times New Roman"/>
          <w:sz w:val="24"/>
          <w:szCs w:val="24"/>
          <w:lang w:val="en-US" w:eastAsia="pt-PT"/>
        </w:rPr>
        <w:t xml:space="preserve"> </w:t>
      </w:r>
      <w:r w:rsidRPr="003C5C08">
        <w:rPr>
          <w:rFonts w:ascii="Times New Roman" w:hAnsi="Times New Roman"/>
          <w:sz w:val="24"/>
          <w:szCs w:val="24"/>
          <w:lang w:val="en-US" w:eastAsia="pt-PT"/>
        </w:rPr>
        <w:t>variables of metabolic syndrome in women, and addition</w:t>
      </w:r>
      <w:r>
        <w:rPr>
          <w:rFonts w:ascii="Times New Roman" w:hAnsi="Times New Roman"/>
          <w:sz w:val="24"/>
          <w:szCs w:val="24"/>
          <w:lang w:val="en-US" w:eastAsia="pt-PT"/>
        </w:rPr>
        <w:t xml:space="preserve"> </w:t>
      </w:r>
      <w:r w:rsidRPr="003C5C08">
        <w:rPr>
          <w:rFonts w:ascii="Times New Roman" w:hAnsi="Times New Roman"/>
          <w:sz w:val="24"/>
          <w:szCs w:val="24"/>
          <w:lang w:val="en-US" w:eastAsia="pt-PT"/>
        </w:rPr>
        <w:t>of a phytochemical-rich medical food enhances benefits</w:t>
      </w:r>
      <w:r>
        <w:rPr>
          <w:rFonts w:ascii="Times New Roman" w:hAnsi="Times New Roman"/>
          <w:sz w:val="24"/>
          <w:szCs w:val="24"/>
          <w:lang w:val="en-US" w:eastAsia="pt-PT"/>
        </w:rPr>
        <w:t xml:space="preserve"> </w:t>
      </w:r>
      <w:r w:rsidRPr="003C5C08">
        <w:rPr>
          <w:rFonts w:ascii="Times New Roman" w:hAnsi="Times New Roman"/>
          <w:sz w:val="24"/>
          <w:szCs w:val="24"/>
          <w:lang w:val="en-US" w:eastAsia="pt-PT"/>
        </w:rPr>
        <w:t>on lipoprotein metabolism</w:t>
      </w:r>
      <w:r>
        <w:rPr>
          <w:rFonts w:ascii="Times New Roman" w:hAnsi="Times New Roman"/>
          <w:sz w:val="24"/>
          <w:szCs w:val="24"/>
          <w:lang w:val="en-US" w:eastAsia="pt-PT"/>
        </w:rPr>
        <w:t>.</w:t>
      </w:r>
      <w:r w:rsidRPr="003C5C08">
        <w:rPr>
          <w:rFonts w:ascii="AdvPSA066" w:hAnsi="AdvPSA066" w:cs="AdvPSA066"/>
          <w:color w:val="000066"/>
          <w:sz w:val="16"/>
          <w:szCs w:val="16"/>
          <w:lang w:val="en-US" w:eastAsia="pt-PT"/>
        </w:rPr>
        <w:t xml:space="preserve"> </w:t>
      </w:r>
      <w:r w:rsidRPr="003C5C08">
        <w:rPr>
          <w:rFonts w:ascii="Times New Roman" w:hAnsi="Times New Roman"/>
          <w:i/>
          <w:sz w:val="24"/>
          <w:szCs w:val="24"/>
          <w:lang w:val="en-US" w:eastAsia="pt-PT"/>
        </w:rPr>
        <w:t>Journal of Clinical Lipidology</w:t>
      </w:r>
      <w:r>
        <w:rPr>
          <w:rFonts w:ascii="Times New Roman" w:hAnsi="Times New Roman"/>
          <w:sz w:val="24"/>
          <w:szCs w:val="24"/>
          <w:lang w:val="en-US" w:eastAsia="pt-PT"/>
        </w:rPr>
        <w:t xml:space="preserve">, </w:t>
      </w:r>
      <w:r w:rsidRPr="003C5C08">
        <w:rPr>
          <w:rFonts w:ascii="Times New Roman" w:hAnsi="Times New Roman"/>
          <w:sz w:val="24"/>
          <w:szCs w:val="24"/>
          <w:lang w:val="en-US" w:eastAsia="pt-PT"/>
        </w:rPr>
        <w:t>5, 188–196</w:t>
      </w:r>
      <w:r>
        <w:rPr>
          <w:rFonts w:ascii="Times New Roman" w:hAnsi="Times New Roman"/>
          <w:sz w:val="24"/>
          <w:szCs w:val="24"/>
          <w:lang w:val="en-US" w:eastAsia="pt-PT"/>
        </w:rPr>
        <w:t>.</w:t>
      </w:r>
    </w:p>
    <w:p w:rsidR="00653234" w:rsidRDefault="00653234" w:rsidP="00653234">
      <w:pPr>
        <w:jc w:val="both"/>
        <w:rPr>
          <w:rFonts w:ascii="Times New Roman" w:hAnsi="Times New Roman"/>
          <w:sz w:val="24"/>
          <w:szCs w:val="24"/>
          <w:lang w:val="en-US" w:eastAsia="pt-PT"/>
        </w:rPr>
      </w:pPr>
      <w:r w:rsidRPr="000E2563">
        <w:rPr>
          <w:rFonts w:ascii="Times New Roman" w:hAnsi="Times New Roman"/>
          <w:sz w:val="24"/>
          <w:szCs w:val="24"/>
          <w:lang w:val="es-ES"/>
        </w:rPr>
        <w:t>Karawita, R., Siriwardhana, N., Lee,  K. W., Heo, M. S., Yeo, I. K., Lee, Y. D., Jeon, Y. J. (2005). Reactive oxygen species</w:t>
      </w:r>
      <w:r w:rsidRPr="000E2563">
        <w:rPr>
          <w:rFonts w:ascii="Times New Roman" w:hAnsi="Times New Roman"/>
          <w:i/>
          <w:sz w:val="24"/>
          <w:szCs w:val="24"/>
          <w:lang w:val="es-ES"/>
        </w:rPr>
        <w:t xml:space="preserve"> </w:t>
      </w:r>
      <w:r w:rsidRPr="000E2563">
        <w:rPr>
          <w:rFonts w:ascii="Times New Roman" w:hAnsi="Times New Roman"/>
          <w:sz w:val="24"/>
          <w:szCs w:val="24"/>
          <w:lang w:val="es-ES"/>
        </w:rPr>
        <w:t xml:space="preserve">scavenging, metal chelation, reducing power and lipid peroxidation inhibition properties of different solvent fractions from </w:t>
      </w:r>
      <w:r w:rsidRPr="000E2563">
        <w:rPr>
          <w:rFonts w:ascii="Times New Roman" w:hAnsi="Times New Roman"/>
          <w:i/>
          <w:sz w:val="24"/>
          <w:szCs w:val="24"/>
          <w:lang w:val="es-ES"/>
        </w:rPr>
        <w:t>Hizikia fusiformis. Eur. Food Res. Technol</w:t>
      </w:r>
      <w:r w:rsidRPr="000E2563">
        <w:rPr>
          <w:rFonts w:ascii="Times New Roman" w:hAnsi="Times New Roman"/>
          <w:sz w:val="24"/>
          <w:szCs w:val="24"/>
          <w:lang w:val="es-ES"/>
        </w:rPr>
        <w:t>. 220, 363-371.</w:t>
      </w:r>
      <w:r w:rsidRPr="00653234">
        <w:rPr>
          <w:rFonts w:ascii="Times New Roman" w:hAnsi="Times New Roman"/>
          <w:sz w:val="24"/>
          <w:szCs w:val="24"/>
          <w:lang w:val="en-US" w:eastAsia="pt-PT"/>
        </w:rPr>
        <w:t xml:space="preserve"> </w:t>
      </w:r>
    </w:p>
    <w:p w:rsidR="00653234" w:rsidRPr="00653234" w:rsidRDefault="00653234" w:rsidP="00653234">
      <w:pPr>
        <w:rPr>
          <w:rFonts w:ascii="Times New Roman" w:hAnsi="Times New Roman"/>
          <w:sz w:val="24"/>
          <w:szCs w:val="24"/>
          <w:lang w:val="en-US" w:eastAsia="pt-PT"/>
        </w:rPr>
      </w:pPr>
      <w:r w:rsidRPr="00A269C7">
        <w:rPr>
          <w:rFonts w:ascii="Times New Roman" w:hAnsi="Times New Roman"/>
          <w:sz w:val="24"/>
          <w:szCs w:val="24"/>
          <w:lang w:val="en-US" w:eastAsia="pt-PT"/>
        </w:rPr>
        <w:t xml:space="preserve">Key, T. J. (2011). Fruit and vegetables and cancer risk. </w:t>
      </w:r>
      <w:r w:rsidRPr="00BF57D0">
        <w:rPr>
          <w:rFonts w:ascii="Times New Roman" w:hAnsi="Times New Roman"/>
          <w:i/>
          <w:sz w:val="24"/>
          <w:szCs w:val="24"/>
          <w:lang w:val="en-US" w:eastAsia="pt-PT"/>
        </w:rPr>
        <w:t>British Journal of Cancer</w:t>
      </w:r>
      <w:r>
        <w:rPr>
          <w:rFonts w:ascii="Times New Roman" w:hAnsi="Times New Roman"/>
          <w:sz w:val="24"/>
          <w:szCs w:val="24"/>
          <w:lang w:val="en-US" w:eastAsia="pt-PT"/>
        </w:rPr>
        <w:t>, 104, 6 –11.</w:t>
      </w:r>
    </w:p>
    <w:p w:rsidR="00102B2B" w:rsidRPr="00BF57D0" w:rsidRDefault="00E17C89" w:rsidP="000E2563">
      <w:pPr>
        <w:jc w:val="both"/>
        <w:rPr>
          <w:rFonts w:ascii="Times New Roman" w:hAnsi="Times New Roman"/>
          <w:sz w:val="24"/>
          <w:szCs w:val="24"/>
          <w:lang w:val="en-US" w:eastAsia="pt-PT"/>
        </w:rPr>
      </w:pPr>
      <w:r w:rsidRPr="00D92C05">
        <w:rPr>
          <w:rFonts w:ascii="Times New Roman" w:hAnsi="Times New Roman"/>
          <w:sz w:val="24"/>
          <w:szCs w:val="24"/>
          <w:lang w:val="en-US" w:eastAsia="pt-PT"/>
        </w:rPr>
        <w:t>Lide, D. R. (Ed.) </w:t>
      </w:r>
      <w:r w:rsidRPr="00165FE3">
        <w:rPr>
          <w:rFonts w:ascii="Times New Roman" w:hAnsi="Times New Roman"/>
          <w:sz w:val="24"/>
          <w:szCs w:val="24"/>
          <w:lang w:val="en-US" w:eastAsia="pt-PT"/>
        </w:rPr>
        <w:t xml:space="preserve">(1990). </w:t>
      </w:r>
      <w:r w:rsidRPr="00BF57D0">
        <w:rPr>
          <w:rFonts w:ascii="Times New Roman" w:hAnsi="Times New Roman"/>
          <w:sz w:val="24"/>
          <w:szCs w:val="24"/>
          <w:lang w:val="en-US" w:eastAsia="pt-PT"/>
        </w:rPr>
        <w:t>CRC Handbook of Chemistry and Physics (70th Edn.). </w:t>
      </w:r>
      <w:r w:rsidRPr="00BF57D0">
        <w:rPr>
          <w:rFonts w:ascii="Times New Roman" w:hAnsi="Times New Roman"/>
          <w:i/>
          <w:sz w:val="24"/>
          <w:szCs w:val="24"/>
          <w:lang w:val="en-US" w:eastAsia="pt-PT"/>
        </w:rPr>
        <w:t>Boca Raton (FL):CRC Press</w:t>
      </w:r>
      <w:r w:rsidRPr="00BF57D0">
        <w:rPr>
          <w:rFonts w:ascii="Times New Roman" w:hAnsi="Times New Roman"/>
          <w:sz w:val="24"/>
          <w:szCs w:val="24"/>
          <w:lang w:val="en-US" w:eastAsia="pt-PT"/>
        </w:rPr>
        <w:t>.</w:t>
      </w:r>
    </w:p>
    <w:p w:rsidR="00B60B7F" w:rsidRPr="00220728" w:rsidRDefault="00B60B7F" w:rsidP="00B60B7F">
      <w:pPr>
        <w:jc w:val="both"/>
        <w:rPr>
          <w:rFonts w:ascii="Times New Roman" w:hAnsi="Times New Roman"/>
          <w:sz w:val="24"/>
          <w:szCs w:val="24"/>
        </w:rPr>
      </w:pPr>
      <w:r w:rsidRPr="00220728">
        <w:rPr>
          <w:rFonts w:ascii="Times New Roman" w:eastAsia="SimSun" w:hAnsi="Times New Roman"/>
          <w:sz w:val="24"/>
          <w:szCs w:val="24"/>
          <w:lang w:val="en-US"/>
        </w:rPr>
        <w:t>Lima C.F.,</w:t>
      </w:r>
      <w:r>
        <w:rPr>
          <w:rFonts w:ascii="Times New Roman" w:eastAsia="SimSun" w:hAnsi="Times New Roman"/>
          <w:sz w:val="24"/>
          <w:szCs w:val="24"/>
          <w:lang w:val="en-US"/>
        </w:rPr>
        <w:t xml:space="preserve"> (2006).</w:t>
      </w:r>
      <w:r w:rsidRPr="00220728">
        <w:rPr>
          <w:rFonts w:ascii="Times New Roman" w:eastAsia="SimSun" w:hAnsi="Times New Roman"/>
          <w:sz w:val="24"/>
          <w:szCs w:val="24"/>
          <w:lang w:val="en-US"/>
        </w:rPr>
        <w:t xml:space="preserve"> Effects of </w:t>
      </w:r>
      <w:r w:rsidRPr="00220728">
        <w:rPr>
          <w:rFonts w:ascii="Times New Roman" w:eastAsia="SimSun" w:hAnsi="Times New Roman"/>
          <w:i/>
          <w:iCs/>
          <w:sz w:val="24"/>
          <w:szCs w:val="24"/>
          <w:lang w:val="en-US"/>
        </w:rPr>
        <w:t xml:space="preserve">Salvia officinalis </w:t>
      </w:r>
      <w:r w:rsidRPr="00220728">
        <w:rPr>
          <w:rFonts w:ascii="Times New Roman" w:eastAsia="SimSun" w:hAnsi="Times New Roman"/>
          <w:sz w:val="24"/>
          <w:szCs w:val="24"/>
          <w:lang w:val="en-US"/>
        </w:rPr>
        <w:t xml:space="preserve">in the liver: relevance of glutathione levels. </w:t>
      </w:r>
      <w:r w:rsidRPr="00220728">
        <w:rPr>
          <w:rFonts w:ascii="Times New Roman" w:eastAsia="SimSun" w:hAnsi="Times New Roman"/>
          <w:i/>
          <w:iCs/>
          <w:sz w:val="24"/>
          <w:szCs w:val="24"/>
        </w:rPr>
        <w:t>PhD thesis</w:t>
      </w:r>
      <w:r w:rsidRPr="00220728">
        <w:rPr>
          <w:rFonts w:ascii="Times New Roman" w:eastAsia="SimSun" w:hAnsi="Times New Roman"/>
          <w:sz w:val="24"/>
          <w:szCs w:val="24"/>
        </w:rPr>
        <w:t>, Escola de Ciências, Universidade do Minho</w:t>
      </w:r>
      <w:r>
        <w:rPr>
          <w:rFonts w:ascii="Times New Roman" w:eastAsia="SimSun" w:hAnsi="Times New Roman"/>
          <w:sz w:val="24"/>
          <w:szCs w:val="24"/>
        </w:rPr>
        <w:t>.</w:t>
      </w:r>
    </w:p>
    <w:p w:rsidR="00653234" w:rsidRPr="000E2563" w:rsidRDefault="00653234" w:rsidP="00653234">
      <w:pPr>
        <w:jc w:val="both"/>
        <w:rPr>
          <w:rFonts w:ascii="Times New Roman" w:hAnsi="Times New Roman"/>
          <w:sz w:val="24"/>
          <w:szCs w:val="24"/>
          <w:lang w:val="es-ES"/>
        </w:rPr>
      </w:pPr>
      <w:r w:rsidRPr="000E2563">
        <w:rPr>
          <w:rFonts w:ascii="Times New Roman" w:hAnsi="Times New Roman"/>
          <w:sz w:val="24"/>
          <w:szCs w:val="24"/>
          <w:lang w:val="es-ES"/>
        </w:rPr>
        <w:t xml:space="preserve">Liu, R. H. (2004). Nutrition, and Cancer Potential Synergy of Phytochemicals in Cancer Prevention: Mechanism of Action 1. </w:t>
      </w:r>
      <w:r w:rsidRPr="000E2563">
        <w:rPr>
          <w:rFonts w:ascii="Times New Roman" w:hAnsi="Times New Roman"/>
          <w:i/>
          <w:sz w:val="24"/>
          <w:szCs w:val="24"/>
          <w:lang w:val="es-ES"/>
        </w:rPr>
        <w:t>Society</w:t>
      </w:r>
      <w:r w:rsidRPr="000E2563">
        <w:rPr>
          <w:rFonts w:ascii="Times New Roman" w:hAnsi="Times New Roman"/>
          <w:sz w:val="24"/>
          <w:szCs w:val="24"/>
          <w:lang w:val="es-ES"/>
        </w:rPr>
        <w:t>, 3479-3485.</w:t>
      </w:r>
    </w:p>
    <w:p w:rsidR="006B1B7A" w:rsidRPr="00CE505E" w:rsidRDefault="006B1B7A" w:rsidP="006B1B7A">
      <w:pPr>
        <w:autoSpaceDE w:val="0"/>
        <w:autoSpaceDN w:val="0"/>
        <w:adjustRightInd w:val="0"/>
        <w:spacing w:line="240" w:lineRule="auto"/>
        <w:jc w:val="both"/>
        <w:rPr>
          <w:rFonts w:ascii="Times New Roman" w:hAnsi="Times New Roman"/>
          <w:sz w:val="24"/>
          <w:szCs w:val="24"/>
          <w:lang w:val="en-US" w:eastAsia="pt-PT"/>
        </w:rPr>
      </w:pPr>
      <w:r w:rsidRPr="00165FE3">
        <w:rPr>
          <w:rFonts w:ascii="Times New Roman" w:hAnsi="Times New Roman"/>
          <w:sz w:val="24"/>
          <w:szCs w:val="24"/>
          <w:lang w:val="en-US" w:eastAsia="pt-PT"/>
        </w:rPr>
        <w:t xml:space="preserve">Luis Goya, L., Mateos, R., Bravo, L. (2007). </w:t>
      </w:r>
      <w:r w:rsidRPr="00CE505E">
        <w:rPr>
          <w:rFonts w:ascii="Times New Roman" w:hAnsi="Times New Roman"/>
          <w:sz w:val="24"/>
          <w:szCs w:val="24"/>
          <w:lang w:val="en-US" w:eastAsia="pt-PT"/>
        </w:rPr>
        <w:t>Effect of the olive oil phenol</w:t>
      </w:r>
      <w:r>
        <w:rPr>
          <w:rFonts w:ascii="Times New Roman" w:hAnsi="Times New Roman"/>
          <w:sz w:val="24"/>
          <w:szCs w:val="24"/>
          <w:lang w:val="en-US" w:eastAsia="pt-PT"/>
        </w:rPr>
        <w:t xml:space="preserve"> </w:t>
      </w:r>
      <w:r w:rsidRPr="00CE505E">
        <w:rPr>
          <w:rFonts w:ascii="Times New Roman" w:hAnsi="Times New Roman"/>
          <w:sz w:val="24"/>
          <w:szCs w:val="24"/>
          <w:lang w:val="en-US" w:eastAsia="pt-PT"/>
        </w:rPr>
        <w:t>hydroxytyrosol on human hepatoma HepG2 cells. Protection against oxidative stress induced by tert-butylhydroperoxide. Eur J Nutr 46,70–78.</w:t>
      </w:r>
    </w:p>
    <w:p w:rsidR="00653234" w:rsidRPr="000E2563" w:rsidRDefault="00653234" w:rsidP="00653234">
      <w:pPr>
        <w:autoSpaceDE w:val="0"/>
        <w:autoSpaceDN w:val="0"/>
        <w:adjustRightInd w:val="0"/>
        <w:jc w:val="both"/>
        <w:rPr>
          <w:rFonts w:ascii="Times New Roman" w:hAnsi="Times New Roman"/>
          <w:sz w:val="24"/>
          <w:szCs w:val="24"/>
          <w:lang w:val="es-ES"/>
        </w:rPr>
      </w:pPr>
      <w:r w:rsidRPr="000E2563">
        <w:rPr>
          <w:rFonts w:ascii="Times New Roman" w:hAnsi="Times New Roman"/>
          <w:sz w:val="24"/>
          <w:szCs w:val="24"/>
          <w:lang w:val="es-ES"/>
        </w:rPr>
        <w:t>Manna, C., Galletti, P., Cucciolla,V., Montedoro, G., Zappia, V. (1999). Olive oil hydroxytyrosol protects human erythrocytes against oxidative damages.</w:t>
      </w:r>
      <w:r w:rsidRPr="000E2563">
        <w:rPr>
          <w:rFonts w:ascii="Times New Roman" w:hAnsi="Times New Roman"/>
          <w:sz w:val="16"/>
          <w:szCs w:val="16"/>
          <w:lang w:val="en-US" w:eastAsia="pt-PT"/>
        </w:rPr>
        <w:t xml:space="preserve"> </w:t>
      </w:r>
      <w:r w:rsidRPr="000E2563">
        <w:rPr>
          <w:rFonts w:ascii="Times New Roman" w:hAnsi="Times New Roman"/>
          <w:i/>
          <w:sz w:val="24"/>
          <w:szCs w:val="24"/>
          <w:lang w:val="es-ES"/>
        </w:rPr>
        <w:t>Journal Nutrition Biochemistry</w:t>
      </w:r>
      <w:r w:rsidRPr="000E2563">
        <w:rPr>
          <w:rFonts w:ascii="Times New Roman" w:hAnsi="Times New Roman"/>
          <w:sz w:val="24"/>
          <w:szCs w:val="24"/>
          <w:lang w:val="es-ES"/>
        </w:rPr>
        <w:t xml:space="preserve"> 10,159 –165.</w:t>
      </w:r>
    </w:p>
    <w:p w:rsidR="00653234" w:rsidRPr="000E2563" w:rsidRDefault="00653234" w:rsidP="00653234">
      <w:pPr>
        <w:jc w:val="both"/>
        <w:rPr>
          <w:rFonts w:ascii="Times New Roman" w:hAnsi="Times New Roman"/>
          <w:sz w:val="24"/>
          <w:szCs w:val="24"/>
          <w:lang w:val="es-ES"/>
        </w:rPr>
      </w:pPr>
      <w:r w:rsidRPr="000E2563">
        <w:rPr>
          <w:rFonts w:ascii="Times New Roman" w:hAnsi="Times New Roman"/>
          <w:bCs/>
          <w:sz w:val="24"/>
          <w:szCs w:val="24"/>
          <w:lang w:val="es-ES"/>
        </w:rPr>
        <w:lastRenderedPageBreak/>
        <w:t>Manna, C., Galletti, P., Maisto, G., Cucciolla, V., D'Angelo, S., Zappia, V. (</w:t>
      </w:r>
      <w:r w:rsidRPr="000E2563">
        <w:rPr>
          <w:rFonts w:ascii="Times New Roman" w:hAnsi="Times New Roman"/>
          <w:sz w:val="24"/>
          <w:szCs w:val="24"/>
          <w:lang w:val="es-ES"/>
        </w:rPr>
        <w:t>2000). Transport mechanism and metabolism of olive oil hydroxytyrosol in Caco-2-cells. </w:t>
      </w:r>
      <w:r w:rsidRPr="000E2563">
        <w:rPr>
          <w:rFonts w:ascii="Times New Roman" w:hAnsi="Times New Roman"/>
          <w:i/>
          <w:sz w:val="24"/>
          <w:szCs w:val="24"/>
          <w:lang w:val="es-ES"/>
        </w:rPr>
        <w:t>FEBS Lett</w:t>
      </w:r>
      <w:r w:rsidRPr="000E2563">
        <w:rPr>
          <w:rFonts w:ascii="Times New Roman" w:hAnsi="Times New Roman"/>
          <w:sz w:val="24"/>
          <w:szCs w:val="24"/>
          <w:lang w:val="es-ES"/>
        </w:rPr>
        <w:t>. 470</w:t>
      </w:r>
      <w:r w:rsidRPr="000E2563">
        <w:rPr>
          <w:rFonts w:ascii="Times New Roman" w:hAnsi="Times New Roman"/>
          <w:b/>
          <w:bCs/>
          <w:sz w:val="24"/>
          <w:szCs w:val="24"/>
          <w:lang w:val="es-ES"/>
        </w:rPr>
        <w:t xml:space="preserve">, </w:t>
      </w:r>
      <w:r w:rsidRPr="000E2563">
        <w:rPr>
          <w:rFonts w:ascii="Times New Roman" w:hAnsi="Times New Roman"/>
          <w:sz w:val="24"/>
          <w:szCs w:val="24"/>
          <w:lang w:val="es-ES"/>
        </w:rPr>
        <w:t>341-344.</w:t>
      </w:r>
    </w:p>
    <w:p w:rsidR="00653234" w:rsidRPr="000E2563" w:rsidRDefault="00653234" w:rsidP="00653234">
      <w:pPr>
        <w:autoSpaceDE w:val="0"/>
        <w:autoSpaceDN w:val="0"/>
        <w:adjustRightInd w:val="0"/>
        <w:jc w:val="both"/>
        <w:rPr>
          <w:rFonts w:ascii="Times New Roman" w:hAnsi="Times New Roman"/>
          <w:sz w:val="24"/>
          <w:szCs w:val="24"/>
          <w:lang w:val="es-ES"/>
        </w:rPr>
      </w:pPr>
      <w:r w:rsidRPr="000E2563">
        <w:rPr>
          <w:rFonts w:ascii="Times New Roman" w:hAnsi="Times New Roman"/>
          <w:sz w:val="24"/>
          <w:szCs w:val="24"/>
          <w:lang w:val="es-ES"/>
        </w:rPr>
        <w:t xml:space="preserve">Miadokova, E., (2009). Isoflavonoids – an overview of their biological activities and potential health benefits. </w:t>
      </w:r>
      <w:r w:rsidRPr="000E2563">
        <w:rPr>
          <w:rFonts w:ascii="Times New Roman" w:hAnsi="Times New Roman"/>
          <w:i/>
          <w:sz w:val="24"/>
          <w:szCs w:val="24"/>
          <w:lang w:val="es-ES"/>
        </w:rPr>
        <w:t>Interdisciplinary Toxicology</w:t>
      </w:r>
      <w:r w:rsidRPr="000E2563">
        <w:rPr>
          <w:rFonts w:ascii="Times New Roman" w:hAnsi="Times New Roman"/>
          <w:sz w:val="24"/>
          <w:szCs w:val="24"/>
          <w:lang w:val="es-ES"/>
        </w:rPr>
        <w:t>, Vol. 2(4), 211–218.</w:t>
      </w:r>
    </w:p>
    <w:p w:rsidR="001B1113" w:rsidRPr="001B1113" w:rsidRDefault="001B1113" w:rsidP="001B1113">
      <w:pPr>
        <w:autoSpaceDE w:val="0"/>
        <w:autoSpaceDN w:val="0"/>
        <w:adjustRightInd w:val="0"/>
        <w:spacing w:line="240" w:lineRule="auto"/>
        <w:jc w:val="both"/>
        <w:rPr>
          <w:rFonts w:ascii="Times New Roman" w:hAnsi="Times New Roman"/>
          <w:sz w:val="24"/>
          <w:szCs w:val="24"/>
          <w:lang w:val="en-US" w:eastAsia="pt-PT"/>
        </w:rPr>
      </w:pPr>
      <w:r>
        <w:rPr>
          <w:rFonts w:ascii="Times New Roman" w:hAnsi="Times New Roman"/>
          <w:sz w:val="24"/>
          <w:szCs w:val="24"/>
          <w:lang w:eastAsia="pt-PT"/>
        </w:rPr>
        <w:t>Miró-Casas</w:t>
      </w:r>
      <w:r w:rsidRPr="006B1B7A">
        <w:rPr>
          <w:rFonts w:ascii="Times New Roman" w:hAnsi="Times New Roman"/>
          <w:sz w:val="24"/>
          <w:szCs w:val="24"/>
          <w:lang w:eastAsia="pt-PT"/>
        </w:rPr>
        <w:t xml:space="preserve">, </w:t>
      </w:r>
      <w:r>
        <w:rPr>
          <w:rFonts w:ascii="Times New Roman" w:hAnsi="Times New Roman"/>
          <w:sz w:val="24"/>
          <w:szCs w:val="24"/>
          <w:lang w:eastAsia="pt-PT"/>
        </w:rPr>
        <w:t>E., Covas</w:t>
      </w:r>
      <w:r w:rsidRPr="006B1B7A">
        <w:rPr>
          <w:rFonts w:ascii="Times New Roman" w:hAnsi="Times New Roman"/>
          <w:sz w:val="24"/>
          <w:szCs w:val="24"/>
          <w:lang w:eastAsia="pt-PT"/>
        </w:rPr>
        <w:t>,</w:t>
      </w:r>
      <w:r>
        <w:rPr>
          <w:rFonts w:ascii="Times New Roman" w:hAnsi="Times New Roman"/>
          <w:sz w:val="24"/>
          <w:szCs w:val="24"/>
          <w:lang w:eastAsia="pt-PT"/>
        </w:rPr>
        <w:t xml:space="preserve"> M., Fitó, M., Farré</w:t>
      </w:r>
      <w:r w:rsidRPr="006B1B7A">
        <w:rPr>
          <w:rFonts w:ascii="Times New Roman" w:hAnsi="Times New Roman"/>
          <w:sz w:val="24"/>
          <w:szCs w:val="24"/>
          <w:lang w:eastAsia="pt-PT"/>
        </w:rPr>
        <w:t>-Albadalejo</w:t>
      </w:r>
      <w:r>
        <w:rPr>
          <w:rFonts w:ascii="Times New Roman" w:hAnsi="Times New Roman"/>
          <w:sz w:val="24"/>
          <w:szCs w:val="24"/>
          <w:lang w:eastAsia="pt-PT"/>
        </w:rPr>
        <w:t>, M., Marrugat, J.,</w:t>
      </w:r>
      <w:r w:rsidRPr="006B1B7A">
        <w:rPr>
          <w:rFonts w:ascii="Times New Roman" w:hAnsi="Times New Roman"/>
          <w:sz w:val="24"/>
          <w:szCs w:val="24"/>
          <w:lang w:eastAsia="pt-PT"/>
        </w:rPr>
        <w:t>Torre1</w:t>
      </w:r>
      <w:r>
        <w:rPr>
          <w:rFonts w:ascii="Times New Roman" w:hAnsi="Times New Roman"/>
          <w:sz w:val="24"/>
          <w:szCs w:val="24"/>
          <w:lang w:eastAsia="pt-PT"/>
        </w:rPr>
        <w:t xml:space="preserve">, R. </w:t>
      </w:r>
      <w:r w:rsidRPr="006B1B7A">
        <w:rPr>
          <w:rFonts w:ascii="Times New Roman" w:hAnsi="Times New Roman"/>
          <w:sz w:val="24"/>
          <w:szCs w:val="24"/>
          <w:lang w:eastAsia="pt-PT"/>
        </w:rPr>
        <w:t xml:space="preserve"> </w:t>
      </w:r>
      <w:r w:rsidRPr="001B1113">
        <w:rPr>
          <w:rFonts w:ascii="Times New Roman" w:hAnsi="Times New Roman"/>
          <w:sz w:val="24"/>
          <w:szCs w:val="24"/>
          <w:lang w:val="en-US" w:eastAsia="pt-PT"/>
        </w:rPr>
        <w:t xml:space="preserve">(2003). </w:t>
      </w:r>
      <w:r w:rsidRPr="006B1B7A">
        <w:rPr>
          <w:rFonts w:ascii="Times New Roman" w:hAnsi="Times New Roman"/>
          <w:sz w:val="24"/>
          <w:szCs w:val="24"/>
          <w:lang w:val="en-US" w:eastAsia="pt-PT"/>
        </w:rPr>
        <w:t>Tyrosol and hydroxytyrosol are absorbed from</w:t>
      </w:r>
      <w:r>
        <w:rPr>
          <w:rFonts w:ascii="Times New Roman" w:hAnsi="Times New Roman"/>
          <w:sz w:val="24"/>
          <w:szCs w:val="24"/>
          <w:lang w:val="en-US" w:eastAsia="pt-PT"/>
        </w:rPr>
        <w:t xml:space="preserve"> </w:t>
      </w:r>
      <w:r w:rsidRPr="006B1B7A">
        <w:rPr>
          <w:rFonts w:ascii="Times New Roman" w:hAnsi="Times New Roman"/>
          <w:sz w:val="24"/>
          <w:szCs w:val="24"/>
          <w:lang w:val="en-US" w:eastAsia="pt-PT"/>
        </w:rPr>
        <w:t>moderate and sustained doses of virgin olive oil in</w:t>
      </w:r>
      <w:r>
        <w:rPr>
          <w:rFonts w:ascii="Times New Roman" w:hAnsi="Times New Roman"/>
          <w:sz w:val="24"/>
          <w:szCs w:val="24"/>
          <w:lang w:val="en-US" w:eastAsia="pt-PT"/>
        </w:rPr>
        <w:t xml:space="preserve"> </w:t>
      </w:r>
      <w:r w:rsidRPr="001B1113">
        <w:rPr>
          <w:rFonts w:ascii="Times New Roman" w:hAnsi="Times New Roman"/>
          <w:sz w:val="24"/>
          <w:szCs w:val="24"/>
          <w:lang w:val="en-US" w:eastAsia="pt-PT"/>
        </w:rPr>
        <w:t>humans</w:t>
      </w:r>
      <w:r>
        <w:rPr>
          <w:rFonts w:ascii="Times New Roman" w:hAnsi="Times New Roman"/>
          <w:sz w:val="24"/>
          <w:szCs w:val="24"/>
          <w:lang w:val="en-US" w:eastAsia="pt-PT"/>
        </w:rPr>
        <w:t xml:space="preserve">. </w:t>
      </w:r>
      <w:r w:rsidRPr="001B1113">
        <w:rPr>
          <w:rFonts w:ascii="Times New Roman" w:hAnsi="Times New Roman"/>
          <w:i/>
          <w:sz w:val="24"/>
          <w:szCs w:val="24"/>
          <w:lang w:val="en-US" w:eastAsia="pt-PT"/>
        </w:rPr>
        <w:t>European Journal of Clinical Nutrition</w:t>
      </w:r>
      <w:r>
        <w:rPr>
          <w:rFonts w:ascii="Times New Roman" w:hAnsi="Times New Roman"/>
          <w:sz w:val="24"/>
          <w:szCs w:val="24"/>
          <w:lang w:val="en-US" w:eastAsia="pt-PT"/>
        </w:rPr>
        <w:t>,</w:t>
      </w:r>
      <w:r w:rsidRPr="001B1113">
        <w:rPr>
          <w:rFonts w:ascii="Times New Roman" w:hAnsi="Times New Roman"/>
          <w:sz w:val="24"/>
          <w:szCs w:val="24"/>
          <w:lang w:val="en-US" w:eastAsia="pt-PT"/>
        </w:rPr>
        <w:t xml:space="preserve"> 57, 186–190</w:t>
      </w:r>
      <w:r>
        <w:rPr>
          <w:rFonts w:ascii="Times New Roman" w:hAnsi="Times New Roman"/>
          <w:sz w:val="24"/>
          <w:szCs w:val="24"/>
          <w:lang w:val="en-US" w:eastAsia="pt-PT"/>
        </w:rPr>
        <w:t>.</w:t>
      </w:r>
    </w:p>
    <w:p w:rsidR="00C84434" w:rsidRPr="00133444" w:rsidRDefault="00C84434" w:rsidP="00C84434">
      <w:pPr>
        <w:autoSpaceDE w:val="0"/>
        <w:autoSpaceDN w:val="0"/>
        <w:adjustRightInd w:val="0"/>
        <w:spacing w:line="240" w:lineRule="auto"/>
        <w:jc w:val="both"/>
        <w:rPr>
          <w:rFonts w:ascii="Times New Roman" w:hAnsi="Times New Roman"/>
          <w:sz w:val="24"/>
          <w:szCs w:val="24"/>
          <w:lang w:val="en-US" w:eastAsia="pt-PT"/>
        </w:rPr>
      </w:pPr>
      <w:r w:rsidRPr="001A137F">
        <w:rPr>
          <w:rFonts w:ascii="Times New Roman" w:hAnsi="Times New Roman"/>
          <w:bCs/>
          <w:sz w:val="24"/>
          <w:szCs w:val="24"/>
          <w:lang w:eastAsia="pt-PT"/>
        </w:rPr>
        <w:t>Moral, P. S.,  Méndez, M. V. R. (</w:t>
      </w:r>
      <w:r w:rsidRPr="001A137F">
        <w:rPr>
          <w:rFonts w:ascii="Times New Roman" w:hAnsi="Times New Roman"/>
          <w:sz w:val="24"/>
          <w:szCs w:val="24"/>
          <w:lang w:eastAsia="pt-PT"/>
        </w:rPr>
        <w:t>2006</w:t>
      </w:r>
      <w:r w:rsidRPr="001A137F">
        <w:rPr>
          <w:rFonts w:ascii="Times New Roman" w:hAnsi="Times New Roman"/>
          <w:bCs/>
          <w:sz w:val="24"/>
          <w:szCs w:val="24"/>
          <w:lang w:eastAsia="pt-PT"/>
        </w:rPr>
        <w:t xml:space="preserve">). </w:t>
      </w:r>
      <w:r w:rsidRPr="006737F5">
        <w:rPr>
          <w:rFonts w:ascii="Times New Roman" w:hAnsi="Times New Roman"/>
          <w:bCs/>
          <w:sz w:val="24"/>
          <w:szCs w:val="24"/>
          <w:lang w:val="en-US" w:eastAsia="pt-PT"/>
        </w:rPr>
        <w:t>Production of pomace olive oil</w:t>
      </w:r>
      <w:r>
        <w:rPr>
          <w:rFonts w:ascii="Times New Roman" w:hAnsi="Times New Roman"/>
          <w:bCs/>
          <w:sz w:val="24"/>
          <w:szCs w:val="24"/>
          <w:lang w:val="en-US" w:eastAsia="pt-PT"/>
        </w:rPr>
        <w:t>.</w:t>
      </w:r>
      <w:r w:rsidRPr="006737F5">
        <w:rPr>
          <w:rFonts w:ascii="Times New Roman" w:hAnsi="Times New Roman"/>
          <w:bCs/>
          <w:sz w:val="24"/>
          <w:szCs w:val="24"/>
          <w:lang w:val="en-US" w:eastAsia="pt-PT"/>
        </w:rPr>
        <w:t xml:space="preserve"> </w:t>
      </w:r>
      <w:r w:rsidRPr="00133444">
        <w:rPr>
          <w:rFonts w:ascii="Times New Roman" w:hAnsi="Times New Roman"/>
          <w:sz w:val="24"/>
          <w:szCs w:val="24"/>
          <w:lang w:val="en-US" w:eastAsia="pt-PT"/>
        </w:rPr>
        <w:t>Grasas y Aceites, 57 (1), 47-55.</w:t>
      </w:r>
    </w:p>
    <w:p w:rsidR="00133444" w:rsidRPr="00133444" w:rsidRDefault="00133444" w:rsidP="00133444">
      <w:pPr>
        <w:spacing w:before="120"/>
        <w:jc w:val="both"/>
        <w:rPr>
          <w:rFonts w:ascii="Times New Roman" w:hAnsi="Times New Roman"/>
          <w:sz w:val="24"/>
          <w:szCs w:val="24"/>
          <w:lang w:val="en-US"/>
        </w:rPr>
      </w:pPr>
      <w:r w:rsidRPr="0031050D">
        <w:rPr>
          <w:rFonts w:ascii="Times New Roman" w:hAnsi="Times New Roman"/>
          <w:sz w:val="24"/>
          <w:szCs w:val="24"/>
          <w:lang w:val="en-US"/>
        </w:rPr>
        <w:t xml:space="preserve">Mosmann, T., 1983. </w:t>
      </w:r>
      <w:r w:rsidRPr="00175642">
        <w:rPr>
          <w:rFonts w:ascii="Times New Roman" w:hAnsi="Times New Roman"/>
          <w:sz w:val="24"/>
          <w:szCs w:val="24"/>
          <w:lang w:val="en-GB"/>
        </w:rPr>
        <w:t xml:space="preserve">Rapid colorimetric assay for cellular growth and survival: application to proliferation and cytotoxicity assays. </w:t>
      </w:r>
      <w:r w:rsidRPr="00175642">
        <w:rPr>
          <w:rFonts w:ascii="Times New Roman" w:hAnsi="Times New Roman"/>
          <w:i/>
          <w:sz w:val="24"/>
          <w:szCs w:val="24"/>
          <w:lang w:val="en-US"/>
        </w:rPr>
        <w:t>Journal of Immunological Methods</w:t>
      </w:r>
      <w:r w:rsidRPr="00175642">
        <w:rPr>
          <w:rFonts w:ascii="Times New Roman" w:hAnsi="Times New Roman"/>
          <w:sz w:val="24"/>
          <w:szCs w:val="24"/>
          <w:lang w:val="en-US"/>
        </w:rPr>
        <w:t xml:space="preserve"> 65: 55-63.</w:t>
      </w:r>
    </w:p>
    <w:p w:rsidR="001B1113" w:rsidRPr="0029756B" w:rsidRDefault="001B1113" w:rsidP="001B1113">
      <w:pPr>
        <w:autoSpaceDE w:val="0"/>
        <w:autoSpaceDN w:val="0"/>
        <w:adjustRightInd w:val="0"/>
        <w:spacing w:line="240" w:lineRule="auto"/>
        <w:jc w:val="both"/>
        <w:rPr>
          <w:rFonts w:ascii="Times New Roman" w:hAnsi="Times New Roman"/>
          <w:bCs/>
          <w:sz w:val="24"/>
          <w:szCs w:val="24"/>
          <w:lang w:eastAsia="pt-PT"/>
        </w:rPr>
      </w:pPr>
      <w:r w:rsidRPr="001B1113">
        <w:rPr>
          <w:rFonts w:ascii="Times New Roman" w:hAnsi="Times New Roman"/>
          <w:sz w:val="24"/>
          <w:szCs w:val="24"/>
          <w:lang w:val="es-ES" w:eastAsia="pt-PT"/>
        </w:rPr>
        <w:t xml:space="preserve">Nakbi, A., Tayeb, W., Grissa, A., Issaoui, M., Dabbou, S., Chargui, I., Ellouz, M., Miled, A., Hammami, M. (2010). </w:t>
      </w:r>
      <w:r w:rsidRPr="001B1113">
        <w:rPr>
          <w:rFonts w:ascii="Times New Roman" w:hAnsi="Times New Roman"/>
          <w:i/>
          <w:iCs/>
          <w:sz w:val="24"/>
          <w:szCs w:val="24"/>
          <w:lang w:val="es-ES" w:eastAsia="pt-PT"/>
        </w:rPr>
        <w:t xml:space="preserve"> </w:t>
      </w:r>
      <w:r w:rsidRPr="006B1B7A">
        <w:rPr>
          <w:rFonts w:ascii="Times New Roman" w:hAnsi="Times New Roman"/>
          <w:bCs/>
          <w:sz w:val="24"/>
          <w:szCs w:val="24"/>
          <w:lang w:val="en-US" w:eastAsia="pt-PT"/>
        </w:rPr>
        <w:t>Effects of olive oil and its fractions on oxidative stress and the liver’s fatty acid</w:t>
      </w:r>
      <w:r>
        <w:rPr>
          <w:rFonts w:ascii="Times New Roman" w:hAnsi="Times New Roman"/>
          <w:bCs/>
          <w:sz w:val="24"/>
          <w:szCs w:val="24"/>
          <w:lang w:val="en-US" w:eastAsia="pt-PT"/>
        </w:rPr>
        <w:t xml:space="preserve"> </w:t>
      </w:r>
      <w:r w:rsidRPr="006B1B7A">
        <w:rPr>
          <w:rFonts w:ascii="Times New Roman" w:hAnsi="Times New Roman"/>
          <w:bCs/>
          <w:sz w:val="24"/>
          <w:szCs w:val="24"/>
          <w:lang w:val="en-US" w:eastAsia="pt-PT"/>
        </w:rPr>
        <w:t>composition in 2,4-Dichlorophenoxyacetic acid- treated rats</w:t>
      </w:r>
      <w:r>
        <w:rPr>
          <w:rFonts w:ascii="Times New Roman" w:hAnsi="Times New Roman"/>
          <w:bCs/>
          <w:sz w:val="24"/>
          <w:szCs w:val="24"/>
          <w:lang w:val="en-US" w:eastAsia="pt-PT"/>
        </w:rPr>
        <w:t xml:space="preserve">. </w:t>
      </w:r>
      <w:r w:rsidRPr="0029756B">
        <w:rPr>
          <w:rFonts w:ascii="Times New Roman" w:hAnsi="Times New Roman"/>
          <w:i/>
          <w:iCs/>
          <w:sz w:val="24"/>
          <w:szCs w:val="24"/>
          <w:lang w:eastAsia="pt-PT"/>
        </w:rPr>
        <w:t>Nutrition &amp; Metabolism</w:t>
      </w:r>
      <w:r w:rsidRPr="0029756B">
        <w:rPr>
          <w:rFonts w:ascii="Times New Roman" w:hAnsi="Times New Roman"/>
          <w:sz w:val="24"/>
          <w:szCs w:val="24"/>
          <w:lang w:eastAsia="pt-PT"/>
        </w:rPr>
        <w:t xml:space="preserve">, </w:t>
      </w:r>
      <w:r w:rsidRPr="0029756B">
        <w:rPr>
          <w:rFonts w:ascii="Times New Roman" w:hAnsi="Times New Roman"/>
          <w:bCs/>
          <w:sz w:val="24"/>
          <w:szCs w:val="24"/>
          <w:lang w:eastAsia="pt-PT"/>
        </w:rPr>
        <w:t>7</w:t>
      </w:r>
      <w:r w:rsidRPr="0029756B">
        <w:rPr>
          <w:rFonts w:ascii="Times New Roman" w:hAnsi="Times New Roman"/>
          <w:sz w:val="24"/>
          <w:szCs w:val="24"/>
          <w:lang w:eastAsia="pt-PT"/>
        </w:rPr>
        <w:t>, 80.</w:t>
      </w:r>
    </w:p>
    <w:p w:rsidR="00DB2484" w:rsidRPr="00DB2484" w:rsidRDefault="00DB2484" w:rsidP="00DB2484">
      <w:pPr>
        <w:jc w:val="both"/>
        <w:rPr>
          <w:rFonts w:ascii="Times New Roman" w:hAnsi="Times New Roman"/>
          <w:sz w:val="28"/>
          <w:szCs w:val="24"/>
          <w:lang w:val="en-US" w:eastAsia="pt-PT"/>
        </w:rPr>
      </w:pPr>
      <w:r w:rsidRPr="00DB2484">
        <w:rPr>
          <w:rFonts w:ascii="Times New Roman" w:hAnsi="Times New Roman"/>
          <w:sz w:val="24"/>
        </w:rPr>
        <w:t xml:space="preserve">Nunes da Ponte, M., Santos, J.L.C.;  Matias, A.; Nunes, A.; Duarte, C.; Crespo, J. P. S. G.; (2007). </w:t>
      </w:r>
      <w:r w:rsidRPr="00DB2484">
        <w:rPr>
          <w:rFonts w:ascii="Times New Roman" w:hAnsi="Times New Roman"/>
          <w:sz w:val="24"/>
          <w:lang w:val="en-US"/>
        </w:rPr>
        <w:t xml:space="preserve">Method of obtaining a natural hydroxytyrosol-rich concentrate from olive tree residues and subproducts using clean technologies. </w:t>
      </w:r>
      <w:r w:rsidRPr="00DB2484">
        <w:rPr>
          <w:rFonts w:ascii="Times New Roman" w:hAnsi="Times New Roman"/>
          <w:i/>
          <w:sz w:val="24"/>
          <w:lang w:val="en-US"/>
        </w:rPr>
        <w:t>PCT</w:t>
      </w:r>
      <w:r w:rsidRPr="00DB2484">
        <w:rPr>
          <w:rFonts w:ascii="Times New Roman" w:hAnsi="Times New Roman"/>
          <w:sz w:val="24"/>
          <w:lang w:val="en-US"/>
        </w:rPr>
        <w:t>, WO 2007/013032 A2.</w:t>
      </w:r>
    </w:p>
    <w:p w:rsidR="00C84434" w:rsidRPr="00C84434" w:rsidRDefault="00C84434" w:rsidP="00C84434">
      <w:pPr>
        <w:autoSpaceDE w:val="0"/>
        <w:autoSpaceDN w:val="0"/>
        <w:adjustRightInd w:val="0"/>
        <w:spacing w:line="240" w:lineRule="auto"/>
        <w:jc w:val="both"/>
        <w:rPr>
          <w:rFonts w:ascii="Times New Roman" w:hAnsi="Times New Roman"/>
          <w:bCs/>
          <w:sz w:val="24"/>
          <w:szCs w:val="24"/>
          <w:lang w:val="en-US" w:eastAsia="pt-PT"/>
        </w:rPr>
      </w:pPr>
      <w:r>
        <w:rPr>
          <w:rFonts w:ascii="Times New Roman" w:hAnsi="Times New Roman"/>
          <w:sz w:val="24"/>
          <w:szCs w:val="24"/>
          <w:lang w:val="en-US" w:eastAsia="pt-PT"/>
        </w:rPr>
        <w:t xml:space="preserve">Obied, H. K., </w:t>
      </w:r>
      <w:r w:rsidRPr="00402E7C">
        <w:rPr>
          <w:rFonts w:ascii="Times New Roman" w:hAnsi="Times New Roman"/>
          <w:sz w:val="24"/>
          <w:szCs w:val="24"/>
          <w:lang w:val="en-US" w:eastAsia="pt-PT"/>
        </w:rPr>
        <w:t>Allen,</w:t>
      </w:r>
      <w:r>
        <w:rPr>
          <w:rFonts w:ascii="Times New Roman" w:hAnsi="Times New Roman"/>
          <w:sz w:val="24"/>
          <w:szCs w:val="24"/>
          <w:lang w:val="en-US" w:eastAsia="pt-PT"/>
        </w:rPr>
        <w:t xml:space="preserve"> M. S., </w:t>
      </w:r>
      <w:r w:rsidRPr="00402E7C">
        <w:rPr>
          <w:rFonts w:ascii="Times New Roman" w:hAnsi="Times New Roman"/>
          <w:sz w:val="24"/>
          <w:szCs w:val="24"/>
          <w:lang w:val="en-US" w:eastAsia="pt-PT"/>
        </w:rPr>
        <w:t>Bedgood,</w:t>
      </w:r>
      <w:r>
        <w:rPr>
          <w:rFonts w:ascii="Times New Roman" w:hAnsi="Times New Roman"/>
          <w:sz w:val="24"/>
          <w:szCs w:val="24"/>
          <w:lang w:val="en-US" w:eastAsia="pt-PT"/>
        </w:rPr>
        <w:t xml:space="preserve"> D. R., </w:t>
      </w:r>
      <w:r w:rsidRPr="00402E7C">
        <w:rPr>
          <w:rFonts w:ascii="Times New Roman" w:hAnsi="Times New Roman"/>
          <w:sz w:val="24"/>
          <w:szCs w:val="24"/>
          <w:lang w:val="en-US" w:eastAsia="pt-PT"/>
        </w:rPr>
        <w:t>Prenzler,</w:t>
      </w:r>
      <w:r>
        <w:rPr>
          <w:rFonts w:ascii="Times New Roman" w:hAnsi="Times New Roman"/>
          <w:sz w:val="24"/>
          <w:szCs w:val="24"/>
          <w:lang w:val="en-US" w:eastAsia="pt-PT"/>
        </w:rPr>
        <w:t xml:space="preserve"> P. D., </w:t>
      </w:r>
      <w:r w:rsidRPr="00402E7C">
        <w:rPr>
          <w:rFonts w:ascii="Times New Roman" w:hAnsi="Times New Roman"/>
          <w:sz w:val="24"/>
          <w:szCs w:val="24"/>
          <w:lang w:val="en-US" w:eastAsia="pt-PT"/>
        </w:rPr>
        <w:t>Robards,</w:t>
      </w:r>
      <w:r>
        <w:rPr>
          <w:rFonts w:ascii="Times New Roman" w:hAnsi="Times New Roman"/>
          <w:sz w:val="24"/>
          <w:szCs w:val="24"/>
          <w:lang w:val="en-US" w:eastAsia="pt-PT"/>
        </w:rPr>
        <w:t xml:space="preserve"> K., Stockmann, R.</w:t>
      </w:r>
      <w:r w:rsidRPr="00402E7C">
        <w:rPr>
          <w:rFonts w:ascii="Times New Roman" w:hAnsi="Times New Roman"/>
          <w:sz w:val="24"/>
          <w:szCs w:val="24"/>
          <w:lang w:val="en-US" w:eastAsia="pt-PT"/>
        </w:rPr>
        <w:t xml:space="preserve"> </w:t>
      </w:r>
      <w:r>
        <w:rPr>
          <w:rFonts w:ascii="Times New Roman" w:hAnsi="Times New Roman"/>
          <w:sz w:val="24"/>
          <w:szCs w:val="24"/>
          <w:lang w:val="en-US" w:eastAsia="pt-PT"/>
        </w:rPr>
        <w:t>(</w:t>
      </w:r>
      <w:r w:rsidRPr="00402E7C">
        <w:rPr>
          <w:rFonts w:ascii="Times New Roman" w:hAnsi="Times New Roman"/>
          <w:bCs/>
          <w:sz w:val="24"/>
          <w:szCs w:val="24"/>
          <w:lang w:val="en-US" w:eastAsia="pt-PT"/>
        </w:rPr>
        <w:t>2005</w:t>
      </w:r>
      <w:r>
        <w:rPr>
          <w:rFonts w:ascii="Times New Roman" w:hAnsi="Times New Roman"/>
          <w:bCs/>
          <w:sz w:val="24"/>
          <w:szCs w:val="24"/>
          <w:lang w:val="en-US" w:eastAsia="pt-PT"/>
        </w:rPr>
        <w:t xml:space="preserve">). </w:t>
      </w:r>
      <w:r w:rsidRPr="00402E7C">
        <w:rPr>
          <w:rFonts w:ascii="Times New Roman" w:hAnsi="Times New Roman"/>
          <w:bCs/>
          <w:sz w:val="24"/>
          <w:szCs w:val="24"/>
          <w:lang w:val="en-US" w:eastAsia="pt-PT"/>
        </w:rPr>
        <w:t>Bioactivity and Analysis of Biophenols Recovered from Olive</w:t>
      </w:r>
      <w:r>
        <w:rPr>
          <w:rFonts w:ascii="Times New Roman" w:hAnsi="Times New Roman"/>
          <w:bCs/>
          <w:sz w:val="24"/>
          <w:szCs w:val="24"/>
          <w:lang w:val="en-US" w:eastAsia="pt-PT"/>
        </w:rPr>
        <w:t xml:space="preserve"> </w:t>
      </w:r>
      <w:r w:rsidRPr="00402E7C">
        <w:rPr>
          <w:rFonts w:ascii="Times New Roman" w:hAnsi="Times New Roman"/>
          <w:bCs/>
          <w:sz w:val="24"/>
          <w:szCs w:val="24"/>
          <w:lang w:val="en-US" w:eastAsia="pt-PT"/>
        </w:rPr>
        <w:t>Mill Waste</w:t>
      </w:r>
      <w:r>
        <w:rPr>
          <w:rFonts w:ascii="Times New Roman" w:hAnsi="Times New Roman"/>
          <w:bCs/>
          <w:sz w:val="24"/>
          <w:szCs w:val="24"/>
          <w:lang w:val="en-US" w:eastAsia="pt-PT"/>
        </w:rPr>
        <w:t xml:space="preserve">. </w:t>
      </w:r>
      <w:r w:rsidRPr="00C84434">
        <w:rPr>
          <w:rFonts w:ascii="Times New Roman" w:hAnsi="Times New Roman"/>
          <w:i/>
          <w:sz w:val="24"/>
          <w:szCs w:val="24"/>
          <w:lang w:val="en-US" w:eastAsia="pt-PT"/>
        </w:rPr>
        <w:t>J. Agric. Food Chem</w:t>
      </w:r>
      <w:r w:rsidRPr="00402E7C">
        <w:rPr>
          <w:rFonts w:ascii="Times New Roman" w:hAnsi="Times New Roman"/>
          <w:sz w:val="24"/>
          <w:szCs w:val="24"/>
          <w:lang w:val="en-US" w:eastAsia="pt-PT"/>
        </w:rPr>
        <w:t>.</w:t>
      </w:r>
      <w:r w:rsidRPr="00402E7C">
        <w:rPr>
          <w:rFonts w:ascii="Times New Roman" w:hAnsi="Times New Roman"/>
          <w:bCs/>
          <w:sz w:val="24"/>
          <w:szCs w:val="24"/>
          <w:lang w:val="en-US" w:eastAsia="pt-PT"/>
        </w:rPr>
        <w:t xml:space="preserve">, </w:t>
      </w:r>
      <w:r w:rsidRPr="00402E7C">
        <w:rPr>
          <w:rFonts w:ascii="Times New Roman" w:hAnsi="Times New Roman"/>
          <w:sz w:val="24"/>
          <w:szCs w:val="24"/>
          <w:lang w:val="en-US" w:eastAsia="pt-PT"/>
        </w:rPr>
        <w:t>53, 823</w:t>
      </w:r>
      <w:r w:rsidRPr="00C84434">
        <w:rPr>
          <w:rFonts w:ascii="Times New Roman" w:hAnsi="Times New Roman"/>
          <w:sz w:val="24"/>
          <w:szCs w:val="24"/>
          <w:lang w:val="en-US" w:eastAsia="pt-PT"/>
        </w:rPr>
        <w:t>-</w:t>
      </w:r>
      <w:r w:rsidRPr="00402E7C">
        <w:rPr>
          <w:rFonts w:ascii="Times New Roman" w:hAnsi="Times New Roman"/>
          <w:sz w:val="24"/>
          <w:szCs w:val="24"/>
          <w:lang w:val="en-US" w:eastAsia="pt-PT"/>
        </w:rPr>
        <w:t>837</w:t>
      </w:r>
      <w:r>
        <w:rPr>
          <w:rFonts w:ascii="Times New Roman" w:hAnsi="Times New Roman"/>
          <w:sz w:val="24"/>
          <w:szCs w:val="24"/>
          <w:lang w:val="en-US" w:eastAsia="pt-PT"/>
        </w:rPr>
        <w:t>.</w:t>
      </w:r>
    </w:p>
    <w:p w:rsidR="00655A4A" w:rsidRPr="00655A4A" w:rsidRDefault="00655A4A" w:rsidP="00655A4A">
      <w:pPr>
        <w:autoSpaceDE w:val="0"/>
        <w:autoSpaceDN w:val="0"/>
        <w:adjustRightInd w:val="0"/>
        <w:spacing w:line="240" w:lineRule="auto"/>
        <w:jc w:val="both"/>
        <w:rPr>
          <w:rFonts w:ascii="Times New Roman" w:hAnsi="Times New Roman"/>
          <w:sz w:val="24"/>
          <w:szCs w:val="24"/>
          <w:lang w:val="en-US" w:eastAsia="pt-PT"/>
        </w:rPr>
      </w:pPr>
      <w:r w:rsidRPr="00655A4A">
        <w:rPr>
          <w:rFonts w:ascii="Times New Roman" w:hAnsi="Times New Roman"/>
          <w:sz w:val="24"/>
          <w:szCs w:val="24"/>
          <w:lang w:val="en-US" w:eastAsia="pt-PT"/>
        </w:rPr>
        <w:t>Owen, R. W., Giacosa, A., Hull, W. E., Haubner, R., Spiegelhalder, B., Bartsch, H., (2000). The antioxidant/anticancer potential of phenolic compounds isolated from olive oil. European Journal of Cancer, 36, 1235-1247.</w:t>
      </w:r>
    </w:p>
    <w:p w:rsidR="00653234" w:rsidRPr="000E2563" w:rsidRDefault="00653234" w:rsidP="00653234">
      <w:pPr>
        <w:autoSpaceDE w:val="0"/>
        <w:autoSpaceDN w:val="0"/>
        <w:adjustRightInd w:val="0"/>
        <w:jc w:val="both"/>
        <w:rPr>
          <w:rFonts w:ascii="Times New Roman" w:hAnsi="Times New Roman"/>
          <w:sz w:val="24"/>
          <w:szCs w:val="24"/>
          <w:lang w:val="en-US" w:eastAsia="pt-PT"/>
        </w:rPr>
      </w:pPr>
      <w:r w:rsidRPr="000E2563">
        <w:rPr>
          <w:rFonts w:ascii="Times New Roman" w:hAnsi="Times New Roman"/>
          <w:sz w:val="24"/>
          <w:szCs w:val="24"/>
          <w:lang w:val="en-US" w:eastAsia="pt-PT"/>
        </w:rPr>
        <w:t xml:space="preserve">Oyaizu, M. (1986). Studies on products of browning reactions: antioxidative activities of products of browning reaction prepared from glucosamine. </w:t>
      </w:r>
      <w:r w:rsidRPr="0024197F">
        <w:rPr>
          <w:rFonts w:ascii="Times New Roman" w:hAnsi="Times New Roman"/>
          <w:i/>
          <w:sz w:val="24"/>
          <w:szCs w:val="24"/>
          <w:lang w:val="en-US" w:eastAsia="pt-PT"/>
        </w:rPr>
        <w:t>Jap. J. Nut</w:t>
      </w:r>
      <w:r w:rsidRPr="0024197F">
        <w:rPr>
          <w:rFonts w:ascii="Times New Roman" w:hAnsi="Times New Roman"/>
          <w:sz w:val="24"/>
          <w:szCs w:val="24"/>
          <w:lang w:val="en-US" w:eastAsia="pt-PT"/>
        </w:rPr>
        <w:t>. 44, 307–315.</w:t>
      </w:r>
    </w:p>
    <w:p w:rsidR="00653234" w:rsidRPr="000E2563" w:rsidRDefault="00653234" w:rsidP="00653234">
      <w:pPr>
        <w:jc w:val="both"/>
        <w:rPr>
          <w:rFonts w:ascii="Times New Roman" w:hAnsi="Times New Roman"/>
          <w:sz w:val="24"/>
          <w:szCs w:val="24"/>
          <w:lang w:val="es-ES"/>
        </w:rPr>
      </w:pPr>
      <w:r w:rsidRPr="000E2563">
        <w:rPr>
          <w:rFonts w:ascii="Times New Roman" w:hAnsi="Times New Roman"/>
          <w:sz w:val="24"/>
          <w:szCs w:val="24"/>
          <w:lang w:val="es-ES"/>
        </w:rPr>
        <w:t>Pereira, J. A.; Oliveira, I.; Sousa, A.; Valentão, P.; Andrade, Paula B.; Ferreira, Isabel C. F. R.; Ferreres, F.; Bento, A.; Seabra, R.; Estevinho, L. (2007)  Walnut (</w:t>
      </w:r>
      <w:r w:rsidRPr="000E2563">
        <w:rPr>
          <w:rFonts w:ascii="Times New Roman" w:hAnsi="Times New Roman"/>
          <w:i/>
          <w:sz w:val="24"/>
          <w:szCs w:val="24"/>
          <w:lang w:val="es-ES"/>
        </w:rPr>
        <w:t>Juglans regia</w:t>
      </w:r>
      <w:r w:rsidRPr="000E2563">
        <w:rPr>
          <w:rFonts w:ascii="Times New Roman" w:hAnsi="Times New Roman"/>
          <w:sz w:val="24"/>
          <w:szCs w:val="24"/>
          <w:lang w:val="es-ES"/>
        </w:rPr>
        <w:t xml:space="preserve"> L.) leaves: phenolic compounds, antibacterial activity and antioxidant potential of different cultivars, </w:t>
      </w:r>
      <w:r w:rsidRPr="000E2563">
        <w:rPr>
          <w:rFonts w:ascii="Times New Roman" w:hAnsi="Times New Roman"/>
          <w:i/>
          <w:sz w:val="24"/>
          <w:szCs w:val="24"/>
          <w:lang w:val="es-ES"/>
        </w:rPr>
        <w:t>Food and Chemical Toxicology</w:t>
      </w:r>
      <w:r w:rsidRPr="000E2563">
        <w:rPr>
          <w:rFonts w:ascii="Times New Roman" w:hAnsi="Times New Roman"/>
          <w:sz w:val="24"/>
          <w:szCs w:val="24"/>
          <w:lang w:val="es-ES"/>
        </w:rPr>
        <w:t>, 45: 2287-2295.</w:t>
      </w:r>
    </w:p>
    <w:p w:rsidR="00653234" w:rsidRPr="000E2563" w:rsidRDefault="00653234" w:rsidP="00653234">
      <w:pPr>
        <w:jc w:val="both"/>
        <w:rPr>
          <w:rFonts w:ascii="Times New Roman" w:hAnsi="Times New Roman"/>
          <w:sz w:val="24"/>
          <w:szCs w:val="24"/>
          <w:lang w:val="es-ES"/>
        </w:rPr>
      </w:pPr>
      <w:r w:rsidRPr="000E2563">
        <w:rPr>
          <w:rFonts w:ascii="Times New Roman" w:hAnsi="Times New Roman"/>
          <w:sz w:val="24"/>
          <w:szCs w:val="24"/>
          <w:lang w:val="es-ES"/>
        </w:rPr>
        <w:t xml:space="preserve">Petroni, A., Blasevich, M., Salami, M., Servili, M., Montedoro, G. F., Galli, C. A. (1994). Phenolic antioxidant extracted from olive oil inhibits platelet aggregation and arachidonic acid metabolism in vitro. </w:t>
      </w:r>
      <w:r w:rsidRPr="000E2563">
        <w:rPr>
          <w:rFonts w:ascii="Times New Roman" w:hAnsi="Times New Roman"/>
          <w:i/>
          <w:sz w:val="24"/>
          <w:szCs w:val="24"/>
          <w:lang w:val="es-ES"/>
        </w:rPr>
        <w:t>World Rev. Nutr. Diet</w:t>
      </w:r>
      <w:r w:rsidRPr="000E2563">
        <w:rPr>
          <w:rFonts w:ascii="Times New Roman" w:hAnsi="Times New Roman"/>
          <w:sz w:val="24"/>
          <w:szCs w:val="24"/>
          <w:lang w:val="es-ES"/>
        </w:rPr>
        <w:t>, 75, 169-172.</w:t>
      </w:r>
    </w:p>
    <w:p w:rsidR="00653234" w:rsidRPr="000E2563" w:rsidRDefault="00653234" w:rsidP="00653234">
      <w:pPr>
        <w:jc w:val="both"/>
        <w:rPr>
          <w:rFonts w:ascii="Times New Roman" w:hAnsi="Times New Roman"/>
          <w:sz w:val="24"/>
          <w:szCs w:val="24"/>
          <w:lang w:val="es-ES"/>
        </w:rPr>
      </w:pPr>
      <w:r w:rsidRPr="000E2563">
        <w:rPr>
          <w:rFonts w:ascii="Times New Roman" w:hAnsi="Times New Roman"/>
          <w:sz w:val="24"/>
          <w:szCs w:val="24"/>
          <w:lang w:val="es-ES"/>
        </w:rPr>
        <w:t xml:space="preserve">Petroni, A., Blasevich, M., Salami, M., Papini, N., Montedoro, G. F., Galli, C. (1995). Inhibition of platelet aggregation and eicosanoid production by phenolic components of olive oil. </w:t>
      </w:r>
      <w:r w:rsidRPr="000E2563">
        <w:rPr>
          <w:rFonts w:ascii="Times New Roman" w:hAnsi="Times New Roman"/>
          <w:i/>
          <w:sz w:val="24"/>
          <w:szCs w:val="24"/>
          <w:lang w:val="es-ES"/>
        </w:rPr>
        <w:t>Thromb. Res</w:t>
      </w:r>
      <w:r w:rsidRPr="000E2563">
        <w:rPr>
          <w:rFonts w:ascii="Times New Roman" w:hAnsi="Times New Roman"/>
          <w:sz w:val="24"/>
          <w:szCs w:val="24"/>
          <w:lang w:val="es-ES"/>
        </w:rPr>
        <w:t>., 78(2), 151-160.</w:t>
      </w:r>
    </w:p>
    <w:p w:rsidR="00106DB2" w:rsidRPr="00402E7C" w:rsidRDefault="00106DB2" w:rsidP="00106DB2">
      <w:pPr>
        <w:autoSpaceDE w:val="0"/>
        <w:autoSpaceDN w:val="0"/>
        <w:adjustRightInd w:val="0"/>
        <w:spacing w:after="0" w:line="240" w:lineRule="auto"/>
        <w:jc w:val="both"/>
        <w:rPr>
          <w:rFonts w:ascii="Times New Roman" w:hAnsi="Times New Roman"/>
          <w:bCs/>
          <w:sz w:val="24"/>
          <w:szCs w:val="24"/>
          <w:lang w:val="en-US" w:eastAsia="pt-PT"/>
        </w:rPr>
      </w:pPr>
      <w:r w:rsidRPr="00402E7C">
        <w:rPr>
          <w:rFonts w:ascii="Times New Roman" w:hAnsi="Times New Roman"/>
          <w:bCs/>
          <w:sz w:val="24"/>
          <w:szCs w:val="24"/>
          <w:lang w:val="en-US" w:eastAsia="pt-PT"/>
        </w:rPr>
        <w:lastRenderedPageBreak/>
        <w:t>Philip Molyneux</w:t>
      </w:r>
      <w:r>
        <w:rPr>
          <w:rFonts w:ascii="Times New Roman" w:hAnsi="Times New Roman"/>
          <w:bCs/>
          <w:sz w:val="24"/>
          <w:szCs w:val="24"/>
          <w:lang w:val="en-US" w:eastAsia="pt-PT"/>
        </w:rPr>
        <w:t>, P.</w:t>
      </w:r>
      <w:r w:rsidRPr="00402E7C">
        <w:rPr>
          <w:rFonts w:ascii="Times New Roman" w:hAnsi="Times New Roman"/>
          <w:bCs/>
          <w:sz w:val="24"/>
          <w:szCs w:val="24"/>
          <w:lang w:val="en-US" w:eastAsia="pt-PT"/>
        </w:rPr>
        <w:t xml:space="preserve"> </w:t>
      </w:r>
      <w:r>
        <w:rPr>
          <w:rFonts w:ascii="Times New Roman" w:hAnsi="Times New Roman"/>
          <w:bCs/>
          <w:sz w:val="24"/>
          <w:szCs w:val="24"/>
          <w:lang w:val="en-US" w:eastAsia="pt-PT"/>
        </w:rPr>
        <w:t>(</w:t>
      </w:r>
      <w:r w:rsidRPr="00402E7C">
        <w:rPr>
          <w:rFonts w:ascii="Times New Roman" w:hAnsi="Times New Roman"/>
          <w:bCs/>
          <w:sz w:val="24"/>
          <w:szCs w:val="24"/>
          <w:lang w:val="en-US" w:eastAsia="pt-PT"/>
        </w:rPr>
        <w:t>2003</w:t>
      </w:r>
      <w:r>
        <w:rPr>
          <w:rFonts w:ascii="Times New Roman" w:hAnsi="Times New Roman"/>
          <w:bCs/>
          <w:sz w:val="24"/>
          <w:szCs w:val="24"/>
          <w:lang w:val="en-US" w:eastAsia="pt-PT"/>
        </w:rPr>
        <w:t>).</w:t>
      </w:r>
      <w:r w:rsidRPr="00106DB2">
        <w:rPr>
          <w:rFonts w:ascii="Times New Roman" w:hAnsi="Times New Roman"/>
          <w:bCs/>
          <w:sz w:val="24"/>
          <w:szCs w:val="24"/>
          <w:lang w:val="en-US" w:eastAsia="pt-PT"/>
        </w:rPr>
        <w:t xml:space="preserve"> </w:t>
      </w:r>
      <w:r w:rsidRPr="00402E7C">
        <w:rPr>
          <w:rFonts w:ascii="Times New Roman" w:hAnsi="Times New Roman"/>
          <w:bCs/>
          <w:sz w:val="24"/>
          <w:szCs w:val="24"/>
          <w:lang w:val="en-US" w:eastAsia="pt-PT"/>
        </w:rPr>
        <w:t>The use of the stable free radical diphenylpicrylhydrazyl</w:t>
      </w:r>
    </w:p>
    <w:p w:rsidR="00106DB2" w:rsidRPr="00402E7C" w:rsidRDefault="00106DB2" w:rsidP="00106DB2">
      <w:pPr>
        <w:autoSpaceDE w:val="0"/>
        <w:autoSpaceDN w:val="0"/>
        <w:adjustRightInd w:val="0"/>
        <w:spacing w:line="240" w:lineRule="auto"/>
        <w:jc w:val="both"/>
        <w:rPr>
          <w:rFonts w:ascii="Times New Roman" w:hAnsi="Times New Roman"/>
          <w:bCs/>
          <w:sz w:val="24"/>
          <w:szCs w:val="24"/>
          <w:lang w:val="en-US" w:eastAsia="pt-PT"/>
        </w:rPr>
      </w:pPr>
      <w:r w:rsidRPr="00402E7C">
        <w:rPr>
          <w:rFonts w:ascii="Times New Roman" w:hAnsi="Times New Roman"/>
          <w:bCs/>
          <w:sz w:val="24"/>
          <w:szCs w:val="24"/>
          <w:lang w:val="en-US" w:eastAsia="pt-PT"/>
        </w:rPr>
        <w:t>(DPPH) for estimating antioxidant</w:t>
      </w:r>
      <w:r>
        <w:rPr>
          <w:rFonts w:ascii="Times New Roman" w:hAnsi="Times New Roman"/>
          <w:bCs/>
          <w:sz w:val="24"/>
          <w:szCs w:val="24"/>
          <w:lang w:val="en-US" w:eastAsia="pt-PT"/>
        </w:rPr>
        <w:t xml:space="preserve"> </w:t>
      </w:r>
      <w:r w:rsidRPr="00402E7C">
        <w:rPr>
          <w:rFonts w:ascii="Times New Roman" w:hAnsi="Times New Roman"/>
          <w:bCs/>
          <w:sz w:val="24"/>
          <w:szCs w:val="24"/>
          <w:lang w:val="en-US" w:eastAsia="pt-PT"/>
        </w:rPr>
        <w:t>activity</w:t>
      </w:r>
      <w:r>
        <w:rPr>
          <w:rFonts w:ascii="Times New Roman" w:hAnsi="Times New Roman"/>
          <w:bCs/>
          <w:sz w:val="24"/>
          <w:szCs w:val="24"/>
          <w:lang w:val="en-US" w:eastAsia="pt-PT"/>
        </w:rPr>
        <w:t>.</w:t>
      </w:r>
    </w:p>
    <w:p w:rsidR="00102B2B" w:rsidRPr="000E2563" w:rsidRDefault="0003564A" w:rsidP="000E2563">
      <w:pPr>
        <w:jc w:val="both"/>
        <w:rPr>
          <w:rFonts w:ascii="Times New Roman" w:hAnsi="Times New Roman"/>
          <w:sz w:val="24"/>
          <w:szCs w:val="24"/>
          <w:lang w:val="en-US"/>
        </w:rPr>
      </w:pPr>
      <w:r w:rsidRPr="0003564A">
        <w:rPr>
          <w:rFonts w:ascii="Times New Roman" w:hAnsi="Times New Roman"/>
          <w:sz w:val="24"/>
          <w:szCs w:val="24"/>
          <w:lang w:eastAsia="pt-PT"/>
        </w:rPr>
        <w:t xml:space="preserve">Ramos, P., Santos, S. A. O., Felício, L., Guerreiro, O., Guerra, A., Velez, Z., Silvestre, A. J. D., Pascoal Neto, C., Jerónimo, E., Duarte, M.. </w:t>
      </w:r>
      <w:r w:rsidRPr="0003564A">
        <w:rPr>
          <w:rFonts w:ascii="Times New Roman" w:hAnsi="Times New Roman"/>
          <w:sz w:val="24"/>
          <w:szCs w:val="24"/>
          <w:lang w:val="en-US" w:eastAsia="pt-PT"/>
        </w:rPr>
        <w:t>Antioxidative and breast cancer antiproliferative potential of hydroxytyrosol-rich extract from olive oil by-products. (</w:t>
      </w:r>
      <w:r>
        <w:rPr>
          <w:rFonts w:ascii="Times New Roman" w:hAnsi="Times New Roman"/>
          <w:sz w:val="24"/>
          <w:szCs w:val="24"/>
          <w:lang w:val="en-US" w:eastAsia="pt-PT"/>
        </w:rPr>
        <w:t>artigo submetido a</w:t>
      </w:r>
      <w:r w:rsidRPr="0003564A">
        <w:rPr>
          <w:rFonts w:ascii="Times New Roman" w:hAnsi="Times New Roman"/>
          <w:sz w:val="24"/>
          <w:szCs w:val="24"/>
          <w:lang w:val="en-US" w:eastAsia="pt-PT"/>
        </w:rPr>
        <w:t xml:space="preserve"> Molecular Nutrition and Food Research)</w:t>
      </w:r>
      <w:r>
        <w:rPr>
          <w:rFonts w:ascii="Times New Roman" w:hAnsi="Times New Roman"/>
          <w:sz w:val="24"/>
          <w:szCs w:val="24"/>
          <w:lang w:val="en-US" w:eastAsia="pt-PT"/>
        </w:rPr>
        <w:t>.</w:t>
      </w:r>
      <w:r w:rsidRPr="0003564A">
        <w:rPr>
          <w:rFonts w:ascii="Times New Roman" w:hAnsi="Times New Roman"/>
          <w:sz w:val="24"/>
          <w:szCs w:val="24"/>
          <w:lang w:val="en-US" w:eastAsia="pt-PT"/>
        </w:rPr>
        <w:br/>
      </w:r>
      <w:r w:rsidR="00102B2B" w:rsidRPr="000E2563">
        <w:rPr>
          <w:rFonts w:ascii="Times New Roman" w:hAnsi="Times New Roman"/>
          <w:sz w:val="24"/>
          <w:szCs w:val="24"/>
          <w:lang w:val="sv-SE"/>
        </w:rPr>
        <w:t xml:space="preserve">Reddy, L., Odhav, B., &amp; Bhoola, K. D. (2003). </w:t>
      </w:r>
      <w:r w:rsidR="00102B2B" w:rsidRPr="000E2563">
        <w:rPr>
          <w:rFonts w:ascii="Times New Roman" w:hAnsi="Times New Roman"/>
          <w:sz w:val="24"/>
          <w:szCs w:val="24"/>
          <w:lang w:val="en-US"/>
        </w:rPr>
        <w:t>Natural</w:t>
      </w:r>
      <w:r w:rsidR="0024197F">
        <w:rPr>
          <w:rFonts w:ascii="Times New Roman" w:hAnsi="Times New Roman"/>
          <w:sz w:val="24"/>
          <w:szCs w:val="24"/>
          <w:lang w:val="en-US"/>
        </w:rPr>
        <w:t xml:space="preserve"> products for cancer prevention</w:t>
      </w:r>
      <w:r w:rsidR="00102B2B" w:rsidRPr="000E2563">
        <w:rPr>
          <w:rFonts w:ascii="Times New Roman" w:hAnsi="Times New Roman"/>
          <w:sz w:val="24"/>
          <w:szCs w:val="24"/>
          <w:lang w:val="en-US"/>
        </w:rPr>
        <w:t xml:space="preserve">: a global perspective. </w:t>
      </w:r>
      <w:r w:rsidR="00102B2B" w:rsidRPr="000E2563">
        <w:rPr>
          <w:rFonts w:ascii="Times New Roman" w:hAnsi="Times New Roman"/>
          <w:i/>
          <w:iCs/>
          <w:sz w:val="24"/>
          <w:szCs w:val="24"/>
          <w:lang w:val="en-US"/>
        </w:rPr>
        <w:t>Pharmacology &amp; Therapeutics</w:t>
      </w:r>
      <w:r w:rsidR="00102B2B" w:rsidRPr="000E2563">
        <w:rPr>
          <w:rFonts w:ascii="Times New Roman" w:hAnsi="Times New Roman"/>
          <w:sz w:val="24"/>
          <w:szCs w:val="24"/>
          <w:lang w:val="en-US"/>
        </w:rPr>
        <w:t>, 99, 1 - 13.</w:t>
      </w:r>
    </w:p>
    <w:p w:rsidR="00102B2B" w:rsidRPr="000E2563" w:rsidRDefault="00102B2B" w:rsidP="000E2563">
      <w:pPr>
        <w:jc w:val="both"/>
        <w:rPr>
          <w:rFonts w:ascii="Times New Roman" w:hAnsi="Times New Roman"/>
          <w:sz w:val="24"/>
          <w:szCs w:val="24"/>
          <w:lang w:val="en-US"/>
        </w:rPr>
      </w:pPr>
      <w:r w:rsidRPr="00165FE3">
        <w:rPr>
          <w:rFonts w:ascii="Times New Roman" w:hAnsi="Times New Roman"/>
          <w:sz w:val="24"/>
          <w:szCs w:val="24"/>
        </w:rPr>
        <w:t xml:space="preserve">Reis-Filho, J. S., &amp; Tutt, a. N. (2008). </w:t>
      </w:r>
      <w:r w:rsidRPr="000E2563">
        <w:rPr>
          <w:rFonts w:ascii="Times New Roman" w:hAnsi="Times New Roman"/>
          <w:sz w:val="24"/>
          <w:szCs w:val="24"/>
          <w:lang w:val="en-US"/>
        </w:rPr>
        <w:t>Triple negative tumours: a critical review.</w:t>
      </w:r>
      <w:r w:rsidR="00D0739F" w:rsidRPr="000E2563">
        <w:rPr>
          <w:rFonts w:ascii="Times New Roman" w:hAnsi="Times New Roman"/>
          <w:sz w:val="24"/>
          <w:szCs w:val="24"/>
          <w:lang w:val="en-US"/>
        </w:rPr>
        <w:t xml:space="preserve"> </w:t>
      </w:r>
      <w:r w:rsidRPr="000E2563">
        <w:rPr>
          <w:rFonts w:ascii="Times New Roman" w:hAnsi="Times New Roman"/>
          <w:i/>
          <w:iCs/>
          <w:sz w:val="24"/>
          <w:szCs w:val="24"/>
          <w:lang w:val="en-US"/>
        </w:rPr>
        <w:t>Histopathology</w:t>
      </w:r>
      <w:r w:rsidRPr="000E2563">
        <w:rPr>
          <w:rFonts w:ascii="Times New Roman" w:hAnsi="Times New Roman"/>
          <w:sz w:val="24"/>
          <w:szCs w:val="24"/>
          <w:lang w:val="en-US"/>
        </w:rPr>
        <w:t>, 52(1), 108-18.</w:t>
      </w:r>
    </w:p>
    <w:p w:rsidR="00EF450E" w:rsidRPr="000E2563" w:rsidRDefault="001A37D2" w:rsidP="000E2563">
      <w:pPr>
        <w:spacing w:before="100" w:beforeAutospacing="1"/>
        <w:jc w:val="both"/>
        <w:rPr>
          <w:rFonts w:ascii="Times New Roman" w:hAnsi="Times New Roman"/>
          <w:sz w:val="24"/>
          <w:szCs w:val="24"/>
          <w:lang w:val="en-US" w:eastAsia="pt-PT"/>
        </w:rPr>
      </w:pPr>
      <w:r w:rsidRPr="000E2563">
        <w:rPr>
          <w:rFonts w:ascii="Times New Roman" w:hAnsi="Times New Roman"/>
          <w:sz w:val="24"/>
          <w:szCs w:val="24"/>
          <w:lang w:val="en-US" w:eastAsia="pt-PT"/>
        </w:rPr>
        <w:t>Richardson, J. F., Harker, J. H., Backhurs, J. R. (2002). Particle Technology and Separation Processes, Coulson and Richardson’s Chemical Engineering, Volume 2, fifth edition.</w:t>
      </w:r>
    </w:p>
    <w:p w:rsidR="00152DEE" w:rsidRDefault="00152DEE" w:rsidP="00152DEE">
      <w:pPr>
        <w:autoSpaceDE w:val="0"/>
        <w:autoSpaceDN w:val="0"/>
        <w:adjustRightInd w:val="0"/>
        <w:spacing w:line="240" w:lineRule="auto"/>
        <w:jc w:val="both"/>
        <w:rPr>
          <w:rFonts w:ascii="Times New Roman" w:hAnsi="Times New Roman"/>
          <w:sz w:val="24"/>
          <w:szCs w:val="24"/>
          <w:lang w:val="en-US" w:eastAsia="pt-PT"/>
        </w:rPr>
      </w:pPr>
      <w:r>
        <w:rPr>
          <w:rFonts w:ascii="Times New Roman" w:hAnsi="Times New Roman"/>
          <w:sz w:val="24"/>
          <w:szCs w:val="24"/>
          <w:lang w:val="en-US" w:eastAsia="pt-PT"/>
        </w:rPr>
        <w:t xml:space="preserve">Rietjens, S. J., </w:t>
      </w:r>
      <w:r w:rsidRPr="00402E7C">
        <w:rPr>
          <w:rFonts w:ascii="Times New Roman" w:hAnsi="Times New Roman"/>
          <w:sz w:val="24"/>
          <w:szCs w:val="24"/>
          <w:lang w:val="en-US" w:eastAsia="pt-PT"/>
        </w:rPr>
        <w:t>Bast,</w:t>
      </w:r>
      <w:r>
        <w:rPr>
          <w:rFonts w:ascii="Times New Roman" w:hAnsi="Times New Roman"/>
          <w:sz w:val="24"/>
          <w:szCs w:val="24"/>
          <w:lang w:val="en-US" w:eastAsia="pt-PT"/>
        </w:rPr>
        <w:t xml:space="preserve"> A., </w:t>
      </w:r>
      <w:r w:rsidRPr="00402E7C">
        <w:rPr>
          <w:rFonts w:ascii="Times New Roman" w:hAnsi="Times New Roman"/>
          <w:sz w:val="24"/>
          <w:szCs w:val="24"/>
          <w:lang w:val="en-US" w:eastAsia="pt-PT"/>
        </w:rPr>
        <w:t>Haenen</w:t>
      </w:r>
      <w:r>
        <w:rPr>
          <w:rFonts w:ascii="Times New Roman" w:hAnsi="Times New Roman"/>
          <w:sz w:val="24"/>
          <w:szCs w:val="24"/>
          <w:lang w:val="en-US" w:eastAsia="pt-PT"/>
        </w:rPr>
        <w:t>, G.</w:t>
      </w:r>
      <w:r w:rsidRPr="00402E7C">
        <w:rPr>
          <w:rFonts w:ascii="Times New Roman" w:hAnsi="Times New Roman"/>
          <w:sz w:val="24"/>
          <w:szCs w:val="24"/>
          <w:lang w:val="en-US" w:eastAsia="pt-PT"/>
        </w:rPr>
        <w:t xml:space="preserve"> R. M. M. </w:t>
      </w:r>
      <w:r>
        <w:rPr>
          <w:rFonts w:ascii="Times New Roman" w:hAnsi="Times New Roman"/>
          <w:sz w:val="24"/>
          <w:szCs w:val="24"/>
          <w:lang w:val="en-US" w:eastAsia="pt-PT"/>
        </w:rPr>
        <w:t>(</w:t>
      </w:r>
      <w:r w:rsidRPr="006737F5">
        <w:rPr>
          <w:rFonts w:ascii="Times New Roman" w:hAnsi="Times New Roman"/>
          <w:bCs/>
          <w:sz w:val="24"/>
          <w:szCs w:val="24"/>
          <w:lang w:val="en-US" w:eastAsia="pt-PT"/>
        </w:rPr>
        <w:t>2007</w:t>
      </w:r>
      <w:r>
        <w:rPr>
          <w:rFonts w:ascii="Times New Roman" w:hAnsi="Times New Roman"/>
          <w:bCs/>
          <w:sz w:val="24"/>
          <w:szCs w:val="24"/>
          <w:lang w:val="en-US" w:eastAsia="pt-PT"/>
        </w:rPr>
        <w:t xml:space="preserve">). </w:t>
      </w:r>
      <w:r w:rsidRPr="00402E7C">
        <w:rPr>
          <w:rFonts w:ascii="Times New Roman" w:hAnsi="Times New Roman"/>
          <w:bCs/>
          <w:sz w:val="24"/>
          <w:szCs w:val="24"/>
          <w:lang w:val="en-US" w:eastAsia="pt-PT"/>
        </w:rPr>
        <w:t>New Insights into Controversies on the Antioxidant Potential of</w:t>
      </w:r>
      <w:r>
        <w:rPr>
          <w:rFonts w:ascii="Times New Roman" w:hAnsi="Times New Roman"/>
          <w:bCs/>
          <w:sz w:val="24"/>
          <w:szCs w:val="24"/>
          <w:lang w:val="en-US" w:eastAsia="pt-PT"/>
        </w:rPr>
        <w:t xml:space="preserve"> </w:t>
      </w:r>
      <w:r w:rsidRPr="00402E7C">
        <w:rPr>
          <w:rFonts w:ascii="Times New Roman" w:hAnsi="Times New Roman"/>
          <w:bCs/>
          <w:sz w:val="24"/>
          <w:szCs w:val="24"/>
          <w:lang w:val="en-US" w:eastAsia="pt-PT"/>
        </w:rPr>
        <w:t>the Olive Oil Antioxidant Hydroxytyrosol</w:t>
      </w:r>
      <w:r>
        <w:rPr>
          <w:rFonts w:ascii="Times New Roman" w:hAnsi="Times New Roman"/>
          <w:bCs/>
          <w:sz w:val="24"/>
          <w:szCs w:val="24"/>
          <w:lang w:val="en-US" w:eastAsia="pt-PT"/>
        </w:rPr>
        <w:t xml:space="preserve">.  </w:t>
      </w:r>
      <w:r w:rsidRPr="00152DEE">
        <w:rPr>
          <w:rFonts w:ascii="Times New Roman" w:hAnsi="Times New Roman"/>
          <w:i/>
          <w:sz w:val="24"/>
          <w:szCs w:val="24"/>
          <w:lang w:val="en-US" w:eastAsia="pt-PT"/>
        </w:rPr>
        <w:t>J. Agric. Food Chem</w:t>
      </w:r>
      <w:r w:rsidRPr="006737F5">
        <w:rPr>
          <w:rFonts w:ascii="Times New Roman" w:hAnsi="Times New Roman"/>
          <w:sz w:val="24"/>
          <w:szCs w:val="24"/>
          <w:lang w:val="en-US" w:eastAsia="pt-PT"/>
        </w:rPr>
        <w:t>.</w:t>
      </w:r>
      <w:r w:rsidRPr="006737F5">
        <w:rPr>
          <w:rFonts w:ascii="Times New Roman" w:hAnsi="Times New Roman"/>
          <w:bCs/>
          <w:sz w:val="24"/>
          <w:szCs w:val="24"/>
          <w:lang w:val="en-US" w:eastAsia="pt-PT"/>
        </w:rPr>
        <w:t xml:space="preserve">, </w:t>
      </w:r>
      <w:r w:rsidRPr="006737F5">
        <w:rPr>
          <w:rFonts w:ascii="Times New Roman" w:hAnsi="Times New Roman"/>
          <w:sz w:val="24"/>
          <w:szCs w:val="24"/>
          <w:lang w:val="en-US" w:eastAsia="pt-PT"/>
        </w:rPr>
        <w:t>55, 7609</w:t>
      </w:r>
      <w:r w:rsidRPr="00165FE3">
        <w:rPr>
          <w:rFonts w:ascii="Times New Roman" w:hAnsi="Times New Roman"/>
          <w:sz w:val="24"/>
          <w:szCs w:val="24"/>
          <w:lang w:val="en-US" w:eastAsia="pt-PT"/>
        </w:rPr>
        <w:t>-</w:t>
      </w:r>
      <w:r w:rsidRPr="006737F5">
        <w:rPr>
          <w:rFonts w:ascii="Times New Roman" w:hAnsi="Times New Roman"/>
          <w:sz w:val="24"/>
          <w:szCs w:val="24"/>
          <w:lang w:val="en-US" w:eastAsia="pt-PT"/>
        </w:rPr>
        <w:t>7614</w:t>
      </w:r>
      <w:r>
        <w:rPr>
          <w:rFonts w:ascii="Times New Roman" w:hAnsi="Times New Roman"/>
          <w:sz w:val="24"/>
          <w:szCs w:val="24"/>
          <w:lang w:val="en-US" w:eastAsia="pt-PT"/>
        </w:rPr>
        <w:t>.</w:t>
      </w:r>
    </w:p>
    <w:p w:rsidR="001B1113" w:rsidRDefault="001B1113" w:rsidP="001B1113">
      <w:pPr>
        <w:autoSpaceDE w:val="0"/>
        <w:autoSpaceDN w:val="0"/>
        <w:adjustRightInd w:val="0"/>
        <w:spacing w:line="240" w:lineRule="auto"/>
        <w:jc w:val="both"/>
        <w:rPr>
          <w:rFonts w:ascii="Times New Roman" w:hAnsi="Times New Roman"/>
          <w:sz w:val="24"/>
          <w:szCs w:val="24"/>
          <w:lang w:val="en-US" w:eastAsia="pt-PT"/>
        </w:rPr>
      </w:pPr>
      <w:r w:rsidRPr="00402E7C">
        <w:rPr>
          <w:rFonts w:ascii="Times New Roman" w:hAnsi="Times New Roman"/>
          <w:bCs/>
          <w:sz w:val="24"/>
          <w:szCs w:val="24"/>
          <w:lang w:val="en-US" w:eastAsia="pt-PT"/>
        </w:rPr>
        <w:t>Rietjens</w:t>
      </w:r>
      <w:r>
        <w:rPr>
          <w:rFonts w:ascii="Times New Roman" w:hAnsi="Times New Roman"/>
          <w:bCs/>
          <w:sz w:val="24"/>
          <w:szCs w:val="24"/>
          <w:lang w:val="en-US" w:eastAsia="pt-PT"/>
        </w:rPr>
        <w:t>, S. J., (</w:t>
      </w:r>
      <w:r w:rsidRPr="00402E7C">
        <w:rPr>
          <w:rFonts w:ascii="Times New Roman" w:hAnsi="Times New Roman"/>
          <w:sz w:val="24"/>
          <w:szCs w:val="24"/>
          <w:lang w:val="en-US" w:eastAsia="pt-PT"/>
        </w:rPr>
        <w:t>2008</w:t>
      </w:r>
      <w:r>
        <w:rPr>
          <w:rFonts w:ascii="Times New Roman" w:hAnsi="Times New Roman"/>
          <w:sz w:val="24"/>
          <w:szCs w:val="24"/>
          <w:lang w:val="en-US" w:eastAsia="pt-PT"/>
        </w:rPr>
        <w:t xml:space="preserve">). </w:t>
      </w:r>
      <w:r w:rsidRPr="00402E7C">
        <w:rPr>
          <w:rFonts w:ascii="Times New Roman" w:hAnsi="Times New Roman"/>
          <w:bCs/>
          <w:sz w:val="24"/>
          <w:szCs w:val="24"/>
          <w:lang w:val="en-US" w:eastAsia="pt-PT"/>
        </w:rPr>
        <w:t>Hydroxytyrosol</w:t>
      </w:r>
      <w:r>
        <w:rPr>
          <w:rFonts w:ascii="Times New Roman" w:hAnsi="Times New Roman"/>
          <w:bCs/>
          <w:sz w:val="24"/>
          <w:szCs w:val="24"/>
          <w:lang w:val="en-US" w:eastAsia="pt-PT"/>
        </w:rPr>
        <w:t xml:space="preserve"> </w:t>
      </w:r>
      <w:r w:rsidRPr="00402E7C">
        <w:rPr>
          <w:rFonts w:ascii="Times New Roman" w:hAnsi="Times New Roman"/>
          <w:bCs/>
          <w:sz w:val="24"/>
          <w:szCs w:val="24"/>
          <w:lang w:val="en-US" w:eastAsia="pt-PT"/>
        </w:rPr>
        <w:t>A versatile antioxidant from olive oil</w:t>
      </w:r>
      <w:r>
        <w:rPr>
          <w:rFonts w:ascii="Times New Roman" w:hAnsi="Times New Roman"/>
          <w:bCs/>
          <w:sz w:val="24"/>
          <w:szCs w:val="24"/>
          <w:lang w:val="en-US" w:eastAsia="pt-PT"/>
        </w:rPr>
        <w:t>,</w:t>
      </w:r>
      <w:r w:rsidRPr="00402E7C">
        <w:rPr>
          <w:rFonts w:ascii="Times New Roman" w:hAnsi="Times New Roman"/>
          <w:bCs/>
          <w:sz w:val="24"/>
          <w:szCs w:val="24"/>
          <w:lang w:val="en-US" w:eastAsia="pt-PT"/>
        </w:rPr>
        <w:t xml:space="preserve"> PhD Thesis</w:t>
      </w:r>
      <w:r>
        <w:rPr>
          <w:rFonts w:ascii="Times New Roman" w:hAnsi="Times New Roman"/>
          <w:bCs/>
          <w:sz w:val="24"/>
          <w:szCs w:val="24"/>
          <w:lang w:val="en-US" w:eastAsia="pt-PT"/>
        </w:rPr>
        <w:t>.</w:t>
      </w:r>
      <w:r w:rsidRPr="00402E7C">
        <w:rPr>
          <w:rFonts w:ascii="Times New Roman" w:hAnsi="Times New Roman"/>
          <w:bCs/>
          <w:sz w:val="24"/>
          <w:szCs w:val="24"/>
          <w:lang w:val="en-US" w:eastAsia="pt-PT"/>
        </w:rPr>
        <w:t xml:space="preserve"> </w:t>
      </w:r>
      <w:r w:rsidRPr="00402E7C">
        <w:rPr>
          <w:rFonts w:ascii="Times New Roman" w:hAnsi="Times New Roman"/>
          <w:sz w:val="24"/>
          <w:szCs w:val="24"/>
          <w:lang w:val="en-US" w:eastAsia="pt-PT"/>
        </w:rPr>
        <w:t>Maastricht</w:t>
      </w:r>
      <w:r>
        <w:rPr>
          <w:rFonts w:ascii="Times New Roman" w:hAnsi="Times New Roman"/>
          <w:sz w:val="24"/>
          <w:szCs w:val="24"/>
          <w:lang w:val="en-US" w:eastAsia="pt-PT"/>
        </w:rPr>
        <w:t>, Netherlands.</w:t>
      </w:r>
      <w:r w:rsidRPr="00402E7C">
        <w:rPr>
          <w:rFonts w:ascii="Times New Roman" w:hAnsi="Times New Roman"/>
          <w:sz w:val="24"/>
          <w:szCs w:val="24"/>
          <w:lang w:val="en-US" w:eastAsia="pt-PT"/>
        </w:rPr>
        <w:t xml:space="preserve"> </w:t>
      </w:r>
    </w:p>
    <w:p w:rsidR="004B298D" w:rsidRPr="006737F5" w:rsidRDefault="004B298D" w:rsidP="004B298D">
      <w:pPr>
        <w:jc w:val="both"/>
        <w:rPr>
          <w:rFonts w:ascii="Times New Roman" w:hAnsi="Times New Roman"/>
          <w:sz w:val="24"/>
          <w:szCs w:val="24"/>
          <w:lang w:eastAsia="pt-PT"/>
        </w:rPr>
      </w:pPr>
      <w:r w:rsidRPr="00B766F9">
        <w:rPr>
          <w:rFonts w:ascii="Times New Roman" w:hAnsi="Times New Roman"/>
          <w:sz w:val="24"/>
          <w:szCs w:val="24"/>
          <w:lang w:val="en-US" w:eastAsia="pt-PT"/>
        </w:rPr>
        <w:t xml:space="preserve">Roig, A., Cayuela, M.L., Sánchez-Monedero, M.A., (2006). </w:t>
      </w:r>
      <w:r w:rsidRPr="00D16A6B">
        <w:rPr>
          <w:rFonts w:ascii="Times New Roman" w:hAnsi="Times New Roman"/>
          <w:i/>
          <w:iCs/>
          <w:sz w:val="24"/>
          <w:szCs w:val="24"/>
          <w:lang w:val="en-US" w:eastAsia="pt-PT"/>
        </w:rPr>
        <w:t xml:space="preserve">An </w:t>
      </w:r>
      <w:r w:rsidRPr="00D16A6B">
        <w:rPr>
          <w:rFonts w:ascii="Times New Roman" w:hAnsi="Times New Roman"/>
          <w:iCs/>
          <w:sz w:val="24"/>
          <w:szCs w:val="24"/>
          <w:lang w:val="en-US" w:eastAsia="pt-PT"/>
        </w:rPr>
        <w:t>overview on olive mill wastes and their valorization methods</w:t>
      </w:r>
      <w:r w:rsidRPr="00D16A6B">
        <w:rPr>
          <w:rFonts w:ascii="Times New Roman" w:hAnsi="Times New Roman"/>
          <w:i/>
          <w:iCs/>
          <w:sz w:val="24"/>
          <w:szCs w:val="24"/>
          <w:lang w:val="en-US" w:eastAsia="pt-PT"/>
        </w:rPr>
        <w:t>.</w:t>
      </w:r>
      <w:r w:rsidRPr="00D16A6B">
        <w:rPr>
          <w:rFonts w:ascii="Times New Roman" w:hAnsi="Times New Roman"/>
          <w:sz w:val="24"/>
          <w:szCs w:val="24"/>
          <w:lang w:val="en-US" w:eastAsia="pt-PT"/>
        </w:rPr>
        <w:t xml:space="preserve"> </w:t>
      </w:r>
      <w:r w:rsidRPr="006737F5">
        <w:rPr>
          <w:rFonts w:ascii="Times New Roman" w:hAnsi="Times New Roman"/>
          <w:i/>
          <w:sz w:val="24"/>
          <w:szCs w:val="24"/>
          <w:lang w:eastAsia="pt-PT"/>
        </w:rPr>
        <w:t>Waste Management</w:t>
      </w:r>
      <w:r w:rsidRPr="006737F5">
        <w:rPr>
          <w:rFonts w:ascii="Times New Roman" w:hAnsi="Times New Roman"/>
          <w:sz w:val="24"/>
          <w:szCs w:val="24"/>
          <w:lang w:eastAsia="pt-PT"/>
        </w:rPr>
        <w:t>,</w:t>
      </w:r>
      <w:r w:rsidRPr="006737F5">
        <w:rPr>
          <w:rFonts w:ascii="Times New Roman" w:hAnsi="Times New Roman"/>
          <w:i/>
          <w:sz w:val="24"/>
          <w:szCs w:val="24"/>
          <w:lang w:eastAsia="pt-PT"/>
        </w:rPr>
        <w:t xml:space="preserve"> </w:t>
      </w:r>
      <w:r w:rsidRPr="006737F5">
        <w:rPr>
          <w:rFonts w:ascii="Times New Roman" w:hAnsi="Times New Roman"/>
          <w:sz w:val="24"/>
          <w:szCs w:val="24"/>
          <w:lang w:eastAsia="pt-PT"/>
        </w:rPr>
        <w:t>26, 960-969.</w:t>
      </w:r>
    </w:p>
    <w:p w:rsidR="001B1113" w:rsidRPr="006B1B7A" w:rsidRDefault="001B1113" w:rsidP="001B1113">
      <w:pPr>
        <w:autoSpaceDE w:val="0"/>
        <w:autoSpaceDN w:val="0"/>
        <w:adjustRightInd w:val="0"/>
        <w:spacing w:after="0" w:line="240" w:lineRule="auto"/>
        <w:jc w:val="both"/>
        <w:rPr>
          <w:rFonts w:ascii="Times New Roman" w:hAnsi="Times New Roman"/>
          <w:bCs/>
          <w:sz w:val="24"/>
          <w:szCs w:val="24"/>
          <w:lang w:val="en-US" w:eastAsia="pt-PT"/>
        </w:rPr>
      </w:pPr>
      <w:r>
        <w:rPr>
          <w:rFonts w:ascii="Times New Roman" w:hAnsi="Times New Roman"/>
          <w:sz w:val="24"/>
          <w:szCs w:val="24"/>
          <w:lang w:eastAsia="pt-PT"/>
        </w:rPr>
        <w:t>R</w:t>
      </w:r>
      <w:r w:rsidRPr="006B1B7A">
        <w:rPr>
          <w:rFonts w:ascii="Times New Roman" w:hAnsi="Times New Roman"/>
          <w:sz w:val="24"/>
          <w:szCs w:val="24"/>
          <w:lang w:eastAsia="pt-PT"/>
        </w:rPr>
        <w:t>omero,</w:t>
      </w:r>
      <w:r>
        <w:rPr>
          <w:rFonts w:ascii="Times New Roman" w:hAnsi="Times New Roman"/>
          <w:sz w:val="24"/>
          <w:szCs w:val="24"/>
          <w:lang w:eastAsia="pt-PT"/>
        </w:rPr>
        <w:t xml:space="preserve"> C., B</w:t>
      </w:r>
      <w:r w:rsidRPr="006B1B7A">
        <w:rPr>
          <w:rFonts w:ascii="Times New Roman" w:hAnsi="Times New Roman"/>
          <w:sz w:val="24"/>
          <w:szCs w:val="24"/>
          <w:lang w:eastAsia="pt-PT"/>
        </w:rPr>
        <w:t>renes,</w:t>
      </w:r>
      <w:r>
        <w:rPr>
          <w:rFonts w:ascii="Times New Roman" w:hAnsi="Times New Roman"/>
          <w:sz w:val="24"/>
          <w:szCs w:val="24"/>
          <w:lang w:eastAsia="pt-PT"/>
        </w:rPr>
        <w:t xml:space="preserve"> M., Garciä</w:t>
      </w:r>
      <w:r w:rsidRPr="006B1B7A">
        <w:rPr>
          <w:rFonts w:ascii="Times New Roman" w:hAnsi="Times New Roman"/>
          <w:sz w:val="24"/>
          <w:szCs w:val="24"/>
          <w:lang w:eastAsia="pt-PT"/>
        </w:rPr>
        <w:t>,</w:t>
      </w:r>
      <w:r>
        <w:rPr>
          <w:rFonts w:ascii="Times New Roman" w:hAnsi="Times New Roman"/>
          <w:sz w:val="24"/>
          <w:szCs w:val="24"/>
          <w:lang w:eastAsia="pt-PT"/>
        </w:rPr>
        <w:t xml:space="preserve"> P., Garrido, A</w:t>
      </w:r>
      <w:r w:rsidRPr="00D65C4B">
        <w:rPr>
          <w:rFonts w:ascii="Times New Roman" w:hAnsi="Times New Roman"/>
          <w:sz w:val="24"/>
          <w:szCs w:val="24"/>
          <w:lang w:eastAsia="pt-PT"/>
        </w:rPr>
        <w:t>.</w:t>
      </w:r>
      <w:r w:rsidRPr="00D65C4B">
        <w:rPr>
          <w:rFonts w:ascii="Times New Roman" w:hAnsi="Times New Roman"/>
          <w:i/>
          <w:iCs/>
          <w:sz w:val="24"/>
          <w:szCs w:val="24"/>
          <w:lang w:eastAsia="pt-PT"/>
        </w:rPr>
        <w:t xml:space="preserve"> </w:t>
      </w:r>
      <w:r w:rsidRPr="00D65C4B">
        <w:rPr>
          <w:rFonts w:ascii="Times New Roman" w:hAnsi="Times New Roman"/>
          <w:iCs/>
          <w:sz w:val="24"/>
          <w:szCs w:val="24"/>
          <w:lang w:eastAsia="pt-PT"/>
        </w:rPr>
        <w:t>(</w:t>
      </w:r>
      <w:r w:rsidRPr="00D65C4B">
        <w:rPr>
          <w:rFonts w:ascii="Times New Roman" w:hAnsi="Times New Roman"/>
          <w:bCs/>
          <w:sz w:val="24"/>
          <w:szCs w:val="24"/>
          <w:lang w:eastAsia="pt-PT"/>
        </w:rPr>
        <w:t>2002</w:t>
      </w:r>
      <w:r>
        <w:rPr>
          <w:rFonts w:ascii="Times New Roman" w:hAnsi="Times New Roman"/>
          <w:bCs/>
          <w:sz w:val="24"/>
          <w:szCs w:val="24"/>
          <w:lang w:eastAsia="pt-PT"/>
        </w:rPr>
        <w:t xml:space="preserve">). </w:t>
      </w:r>
      <w:r w:rsidRPr="006B1B7A">
        <w:rPr>
          <w:rFonts w:ascii="Times New Roman" w:hAnsi="Times New Roman"/>
          <w:bCs/>
          <w:sz w:val="24"/>
          <w:szCs w:val="24"/>
          <w:lang w:val="en-US" w:eastAsia="pt-PT"/>
        </w:rPr>
        <w:t>Hydroxytyrosol 4-</w:t>
      </w:r>
      <w:r w:rsidRPr="006B1B7A">
        <w:rPr>
          <w:rFonts w:ascii="Times New Roman" w:hAnsi="Times New Roman"/>
          <w:bCs/>
          <w:i/>
          <w:iCs/>
          <w:sz w:val="24"/>
          <w:szCs w:val="24"/>
          <w:lang w:val="en-US" w:eastAsia="pt-PT"/>
        </w:rPr>
        <w:t>â</w:t>
      </w:r>
      <w:r w:rsidRPr="006B1B7A">
        <w:rPr>
          <w:rFonts w:ascii="Times New Roman" w:hAnsi="Times New Roman"/>
          <w:bCs/>
          <w:sz w:val="24"/>
          <w:szCs w:val="24"/>
          <w:lang w:val="en-US" w:eastAsia="pt-PT"/>
        </w:rPr>
        <w:t>-D-Glucoside, an Important Phenolic</w:t>
      </w:r>
      <w:r>
        <w:rPr>
          <w:rFonts w:ascii="Times New Roman" w:hAnsi="Times New Roman"/>
          <w:bCs/>
          <w:sz w:val="24"/>
          <w:szCs w:val="24"/>
          <w:lang w:val="en-US" w:eastAsia="pt-PT"/>
        </w:rPr>
        <w:t xml:space="preserve"> </w:t>
      </w:r>
      <w:r w:rsidRPr="006B1B7A">
        <w:rPr>
          <w:rFonts w:ascii="Times New Roman" w:hAnsi="Times New Roman"/>
          <w:bCs/>
          <w:sz w:val="24"/>
          <w:szCs w:val="24"/>
          <w:lang w:val="en-US" w:eastAsia="pt-PT"/>
        </w:rPr>
        <w:t>Compound in Olive Fruits and Derived Products</w:t>
      </w:r>
      <w:r>
        <w:rPr>
          <w:rFonts w:ascii="Times New Roman" w:hAnsi="Times New Roman"/>
          <w:bCs/>
          <w:sz w:val="24"/>
          <w:szCs w:val="24"/>
          <w:lang w:val="en-US" w:eastAsia="pt-PT"/>
        </w:rPr>
        <w:t>.</w:t>
      </w:r>
    </w:p>
    <w:p w:rsidR="001B1113" w:rsidRPr="00D65C4B" w:rsidRDefault="001B1113" w:rsidP="001B1113">
      <w:pPr>
        <w:autoSpaceDE w:val="0"/>
        <w:autoSpaceDN w:val="0"/>
        <w:adjustRightInd w:val="0"/>
        <w:spacing w:line="240" w:lineRule="auto"/>
        <w:jc w:val="both"/>
        <w:rPr>
          <w:rFonts w:ascii="Times New Roman" w:hAnsi="Times New Roman"/>
          <w:sz w:val="24"/>
          <w:szCs w:val="24"/>
          <w:lang w:eastAsia="pt-PT"/>
        </w:rPr>
      </w:pPr>
      <w:r w:rsidRPr="00D65C4B">
        <w:rPr>
          <w:rFonts w:ascii="Times New Roman" w:hAnsi="Times New Roman"/>
          <w:bCs/>
          <w:sz w:val="24"/>
          <w:szCs w:val="24"/>
          <w:lang w:eastAsia="pt-PT"/>
        </w:rPr>
        <w:t>,</w:t>
      </w:r>
      <w:r w:rsidRPr="00D65C4B">
        <w:rPr>
          <w:rFonts w:ascii="Times New Roman" w:hAnsi="Times New Roman"/>
          <w:i/>
          <w:iCs/>
          <w:sz w:val="24"/>
          <w:szCs w:val="24"/>
          <w:lang w:eastAsia="pt-PT"/>
        </w:rPr>
        <w:t xml:space="preserve">J. Agric. </w:t>
      </w:r>
      <w:r w:rsidRPr="001B1113">
        <w:rPr>
          <w:rFonts w:ascii="Times New Roman" w:hAnsi="Times New Roman"/>
          <w:i/>
          <w:iCs/>
          <w:sz w:val="24"/>
          <w:szCs w:val="24"/>
          <w:lang w:eastAsia="pt-PT"/>
        </w:rPr>
        <w:t xml:space="preserve">Food Chem. 50, </w:t>
      </w:r>
      <w:r w:rsidRPr="001B1113">
        <w:rPr>
          <w:rFonts w:ascii="Times New Roman" w:hAnsi="Times New Roman"/>
          <w:sz w:val="24"/>
          <w:szCs w:val="24"/>
          <w:lang w:eastAsia="pt-PT"/>
        </w:rPr>
        <w:t>3835-3839.</w:t>
      </w:r>
    </w:p>
    <w:p w:rsidR="00C84434" w:rsidRPr="00165FE3" w:rsidRDefault="00C84434" w:rsidP="00C84434">
      <w:pPr>
        <w:autoSpaceDE w:val="0"/>
        <w:autoSpaceDN w:val="0"/>
        <w:adjustRightInd w:val="0"/>
        <w:spacing w:line="240" w:lineRule="auto"/>
        <w:jc w:val="both"/>
        <w:rPr>
          <w:rFonts w:ascii="Times New Roman" w:hAnsi="Times New Roman"/>
          <w:bCs/>
          <w:sz w:val="24"/>
          <w:szCs w:val="24"/>
          <w:lang w:eastAsia="pt-PT"/>
        </w:rPr>
      </w:pPr>
      <w:r>
        <w:rPr>
          <w:rFonts w:ascii="Times New Roman" w:hAnsi="Times New Roman"/>
          <w:sz w:val="24"/>
          <w:szCs w:val="24"/>
          <w:lang w:eastAsia="pt-PT"/>
        </w:rPr>
        <w:t>Sampedro, I., Romero, C. N., Ocampo, J. A., B</w:t>
      </w:r>
      <w:r w:rsidRPr="00402E7C">
        <w:rPr>
          <w:rFonts w:ascii="Times New Roman" w:hAnsi="Times New Roman"/>
          <w:sz w:val="24"/>
          <w:szCs w:val="24"/>
          <w:lang w:eastAsia="pt-PT"/>
        </w:rPr>
        <w:t>renes,</w:t>
      </w:r>
      <w:r>
        <w:rPr>
          <w:rFonts w:ascii="Times New Roman" w:hAnsi="Times New Roman"/>
          <w:sz w:val="24"/>
          <w:szCs w:val="24"/>
          <w:lang w:eastAsia="pt-PT"/>
        </w:rPr>
        <w:t xml:space="preserve"> M., Garcia, I.</w:t>
      </w:r>
      <w:r w:rsidRPr="00402E7C">
        <w:rPr>
          <w:rFonts w:ascii="Times New Roman" w:hAnsi="Times New Roman"/>
          <w:i/>
          <w:iCs/>
          <w:sz w:val="24"/>
          <w:szCs w:val="24"/>
          <w:lang w:eastAsia="pt-PT"/>
        </w:rPr>
        <w:t xml:space="preserve"> </w:t>
      </w:r>
      <w:r w:rsidRPr="00106DB2">
        <w:rPr>
          <w:rFonts w:ascii="Times New Roman" w:hAnsi="Times New Roman"/>
          <w:iCs/>
          <w:sz w:val="24"/>
          <w:szCs w:val="24"/>
          <w:lang w:eastAsia="pt-PT"/>
        </w:rPr>
        <w:t>(</w:t>
      </w:r>
      <w:r w:rsidRPr="00106DB2">
        <w:rPr>
          <w:rFonts w:ascii="Times New Roman" w:hAnsi="Times New Roman"/>
          <w:bCs/>
          <w:sz w:val="24"/>
          <w:szCs w:val="24"/>
          <w:lang w:eastAsia="pt-PT"/>
        </w:rPr>
        <w:t>2004</w:t>
      </w:r>
      <w:r>
        <w:rPr>
          <w:rFonts w:ascii="Times New Roman" w:hAnsi="Times New Roman"/>
          <w:bCs/>
          <w:sz w:val="24"/>
          <w:szCs w:val="24"/>
          <w:lang w:eastAsia="pt-PT"/>
        </w:rPr>
        <w:t xml:space="preserve">). </w:t>
      </w:r>
      <w:r w:rsidRPr="00402E7C">
        <w:rPr>
          <w:rFonts w:ascii="Times New Roman" w:hAnsi="Times New Roman"/>
          <w:bCs/>
          <w:sz w:val="24"/>
          <w:szCs w:val="24"/>
          <w:lang w:val="en-US" w:eastAsia="pt-PT"/>
        </w:rPr>
        <w:t>Removal of Monomeric Phenols in Dry Mill Olive Residue by</w:t>
      </w:r>
      <w:r>
        <w:rPr>
          <w:rFonts w:ascii="Times New Roman" w:hAnsi="Times New Roman"/>
          <w:bCs/>
          <w:sz w:val="24"/>
          <w:szCs w:val="24"/>
          <w:lang w:val="en-US" w:eastAsia="pt-PT"/>
        </w:rPr>
        <w:t xml:space="preserve"> </w:t>
      </w:r>
      <w:r w:rsidRPr="00106DB2">
        <w:rPr>
          <w:rFonts w:ascii="Times New Roman" w:hAnsi="Times New Roman"/>
          <w:bCs/>
          <w:sz w:val="24"/>
          <w:szCs w:val="24"/>
          <w:lang w:val="en-US" w:eastAsia="pt-PT"/>
        </w:rPr>
        <w:t>Saprobic Fungi</w:t>
      </w:r>
      <w:r>
        <w:rPr>
          <w:rFonts w:ascii="Times New Roman" w:hAnsi="Times New Roman"/>
          <w:bCs/>
          <w:sz w:val="24"/>
          <w:szCs w:val="24"/>
          <w:lang w:val="en-US" w:eastAsia="pt-PT"/>
        </w:rPr>
        <w:t xml:space="preserve">. </w:t>
      </w:r>
      <w:r w:rsidRPr="00402E7C">
        <w:rPr>
          <w:rFonts w:ascii="Times New Roman" w:hAnsi="Times New Roman"/>
          <w:i/>
          <w:iCs/>
          <w:sz w:val="24"/>
          <w:szCs w:val="24"/>
          <w:lang w:eastAsia="pt-PT"/>
        </w:rPr>
        <w:t xml:space="preserve">J. Agric. </w:t>
      </w:r>
      <w:r>
        <w:rPr>
          <w:rFonts w:ascii="Times New Roman" w:hAnsi="Times New Roman"/>
          <w:i/>
          <w:iCs/>
          <w:sz w:val="24"/>
          <w:szCs w:val="24"/>
          <w:lang w:eastAsia="pt-PT"/>
        </w:rPr>
        <w:t xml:space="preserve">Food </w:t>
      </w:r>
      <w:r w:rsidRPr="00106DB2">
        <w:rPr>
          <w:rFonts w:ascii="Times New Roman" w:hAnsi="Times New Roman"/>
          <w:i/>
          <w:iCs/>
          <w:sz w:val="24"/>
          <w:szCs w:val="24"/>
          <w:lang w:eastAsia="pt-PT"/>
        </w:rPr>
        <w:t>Chem.</w:t>
      </w:r>
      <w:r w:rsidRPr="00106DB2">
        <w:rPr>
          <w:rFonts w:ascii="Times New Roman" w:hAnsi="Times New Roman"/>
          <w:bCs/>
          <w:sz w:val="24"/>
          <w:szCs w:val="24"/>
          <w:lang w:eastAsia="pt-PT"/>
        </w:rPr>
        <w:t xml:space="preserve">, </w:t>
      </w:r>
      <w:r w:rsidRPr="00106DB2">
        <w:rPr>
          <w:rFonts w:ascii="Times New Roman" w:hAnsi="Times New Roman"/>
          <w:i/>
          <w:iCs/>
          <w:sz w:val="24"/>
          <w:szCs w:val="24"/>
          <w:lang w:eastAsia="pt-PT"/>
        </w:rPr>
        <w:t xml:space="preserve">52, </w:t>
      </w:r>
      <w:r w:rsidRPr="00106DB2">
        <w:rPr>
          <w:rFonts w:ascii="Times New Roman" w:hAnsi="Times New Roman"/>
          <w:sz w:val="24"/>
          <w:szCs w:val="24"/>
          <w:lang w:eastAsia="pt-PT"/>
        </w:rPr>
        <w:t>4487</w:t>
      </w:r>
      <w:r>
        <w:rPr>
          <w:rFonts w:ascii="Times New Roman" w:hAnsi="Times New Roman"/>
          <w:sz w:val="24"/>
          <w:szCs w:val="24"/>
          <w:lang w:eastAsia="pt-PT"/>
        </w:rPr>
        <w:t>-</w:t>
      </w:r>
      <w:r w:rsidRPr="00106DB2">
        <w:rPr>
          <w:rFonts w:ascii="Times New Roman" w:hAnsi="Times New Roman"/>
          <w:sz w:val="24"/>
          <w:szCs w:val="24"/>
          <w:lang w:eastAsia="pt-PT"/>
        </w:rPr>
        <w:t>4492</w:t>
      </w:r>
      <w:r>
        <w:rPr>
          <w:rFonts w:ascii="Times New Roman" w:hAnsi="Times New Roman"/>
          <w:sz w:val="24"/>
          <w:szCs w:val="24"/>
          <w:lang w:eastAsia="pt-PT"/>
        </w:rPr>
        <w:t>.</w:t>
      </w:r>
    </w:p>
    <w:p w:rsidR="00106DB2" w:rsidRDefault="00106DB2" w:rsidP="00106DB2">
      <w:pPr>
        <w:autoSpaceDE w:val="0"/>
        <w:autoSpaceDN w:val="0"/>
        <w:adjustRightInd w:val="0"/>
        <w:spacing w:line="240" w:lineRule="auto"/>
        <w:jc w:val="both"/>
        <w:rPr>
          <w:rFonts w:ascii="Times New Roman" w:hAnsi="Times New Roman"/>
          <w:bCs/>
          <w:sz w:val="24"/>
          <w:szCs w:val="24"/>
          <w:lang w:eastAsia="pt-PT"/>
        </w:rPr>
      </w:pPr>
      <w:r>
        <w:rPr>
          <w:rFonts w:ascii="Times New Roman" w:hAnsi="Times New Roman"/>
          <w:bCs/>
          <w:sz w:val="24"/>
          <w:szCs w:val="24"/>
          <w:lang w:eastAsia="pt-PT"/>
        </w:rPr>
        <w:t xml:space="preserve">Santos, M. H., </w:t>
      </w:r>
      <w:r w:rsidRPr="00402E7C">
        <w:rPr>
          <w:rFonts w:ascii="Times New Roman" w:hAnsi="Times New Roman"/>
          <w:bCs/>
          <w:sz w:val="24"/>
          <w:szCs w:val="24"/>
          <w:lang w:eastAsia="pt-PT"/>
        </w:rPr>
        <w:t>Batista</w:t>
      </w:r>
      <w:r>
        <w:rPr>
          <w:rFonts w:ascii="Times New Roman" w:hAnsi="Times New Roman"/>
          <w:bCs/>
          <w:sz w:val="24"/>
          <w:szCs w:val="24"/>
          <w:lang w:eastAsia="pt-PT"/>
        </w:rPr>
        <w:t xml:space="preserve">, B. L., </w:t>
      </w:r>
      <w:r w:rsidRPr="00402E7C">
        <w:rPr>
          <w:rFonts w:ascii="Times New Roman" w:hAnsi="Times New Roman"/>
          <w:bCs/>
          <w:sz w:val="24"/>
          <w:szCs w:val="24"/>
          <w:lang w:eastAsia="pt-PT"/>
        </w:rPr>
        <w:t>Duarte</w:t>
      </w:r>
      <w:r>
        <w:rPr>
          <w:rFonts w:ascii="Times New Roman" w:hAnsi="Times New Roman"/>
          <w:bCs/>
          <w:sz w:val="24"/>
          <w:szCs w:val="24"/>
          <w:lang w:eastAsia="pt-PT"/>
        </w:rPr>
        <w:t xml:space="preserve">, S. M.  S., </w:t>
      </w:r>
      <w:r w:rsidRPr="00402E7C">
        <w:rPr>
          <w:rFonts w:ascii="Times New Roman" w:hAnsi="Times New Roman"/>
          <w:bCs/>
          <w:sz w:val="24"/>
          <w:szCs w:val="24"/>
          <w:lang w:eastAsia="pt-PT"/>
        </w:rPr>
        <w:t>Abreu</w:t>
      </w:r>
      <w:r>
        <w:rPr>
          <w:rFonts w:ascii="Times New Roman" w:hAnsi="Times New Roman"/>
          <w:bCs/>
          <w:sz w:val="24"/>
          <w:szCs w:val="24"/>
          <w:lang w:eastAsia="pt-PT"/>
        </w:rPr>
        <w:t xml:space="preserve">, C. M. P., </w:t>
      </w:r>
      <w:r w:rsidRPr="00106DB2">
        <w:rPr>
          <w:rFonts w:ascii="Times New Roman" w:hAnsi="Times New Roman"/>
          <w:bCs/>
          <w:sz w:val="24"/>
          <w:szCs w:val="24"/>
          <w:lang w:eastAsia="pt-PT"/>
        </w:rPr>
        <w:t>Gouvêa</w:t>
      </w:r>
      <w:r>
        <w:rPr>
          <w:rFonts w:ascii="Times New Roman" w:hAnsi="Times New Roman"/>
          <w:bCs/>
          <w:sz w:val="24"/>
          <w:szCs w:val="24"/>
          <w:lang w:eastAsia="pt-PT"/>
        </w:rPr>
        <w:t>, C. M. C. P. (</w:t>
      </w:r>
      <w:r w:rsidRPr="00402E7C">
        <w:rPr>
          <w:rFonts w:ascii="Times New Roman" w:hAnsi="Times New Roman"/>
          <w:sz w:val="24"/>
          <w:szCs w:val="24"/>
          <w:lang w:eastAsia="pt-PT"/>
        </w:rPr>
        <w:t>2007</w:t>
      </w:r>
      <w:r>
        <w:rPr>
          <w:rFonts w:ascii="Times New Roman" w:hAnsi="Times New Roman"/>
          <w:bCs/>
          <w:sz w:val="24"/>
          <w:szCs w:val="24"/>
          <w:lang w:eastAsia="pt-PT"/>
        </w:rPr>
        <w:t>).</w:t>
      </w:r>
      <w:r w:rsidRPr="00106DB2">
        <w:rPr>
          <w:rFonts w:ascii="Times New Roman" w:hAnsi="Times New Roman"/>
          <w:bCs/>
          <w:sz w:val="24"/>
          <w:szCs w:val="24"/>
          <w:lang w:eastAsia="pt-PT"/>
        </w:rPr>
        <w:t xml:space="preserve"> </w:t>
      </w:r>
      <w:r>
        <w:rPr>
          <w:rFonts w:ascii="Times New Roman" w:hAnsi="Times New Roman"/>
          <w:bCs/>
          <w:sz w:val="24"/>
          <w:szCs w:val="24"/>
          <w:lang w:eastAsia="pt-PT"/>
        </w:rPr>
        <w:t>I</w:t>
      </w:r>
      <w:r w:rsidRPr="00402E7C">
        <w:rPr>
          <w:rFonts w:ascii="Times New Roman" w:hAnsi="Times New Roman"/>
          <w:bCs/>
          <w:sz w:val="24"/>
          <w:szCs w:val="24"/>
          <w:lang w:eastAsia="pt-PT"/>
        </w:rPr>
        <w:t>nfluência do processamento e da torrefação sobre a atividade antioxidante do café</w:t>
      </w:r>
      <w:r>
        <w:rPr>
          <w:rFonts w:ascii="Times New Roman" w:hAnsi="Times New Roman"/>
          <w:bCs/>
          <w:sz w:val="24"/>
          <w:szCs w:val="24"/>
          <w:lang w:eastAsia="pt-PT"/>
        </w:rPr>
        <w:t xml:space="preserve"> </w:t>
      </w:r>
      <w:r w:rsidRPr="00402E7C">
        <w:rPr>
          <w:rFonts w:ascii="Times New Roman" w:hAnsi="Times New Roman"/>
          <w:bCs/>
          <w:sz w:val="24"/>
          <w:szCs w:val="24"/>
          <w:lang w:eastAsia="pt-PT"/>
        </w:rPr>
        <w:t>(</w:t>
      </w:r>
      <w:r w:rsidRPr="00402E7C">
        <w:rPr>
          <w:rFonts w:ascii="Times New Roman" w:hAnsi="Times New Roman"/>
          <w:bCs/>
          <w:i/>
          <w:iCs/>
          <w:sz w:val="24"/>
          <w:szCs w:val="24"/>
          <w:lang w:eastAsia="pt-PT"/>
        </w:rPr>
        <w:t>Coffea arabica</w:t>
      </w:r>
      <w:r w:rsidRPr="00402E7C">
        <w:rPr>
          <w:rFonts w:ascii="Times New Roman" w:hAnsi="Times New Roman"/>
          <w:bCs/>
          <w:sz w:val="24"/>
          <w:szCs w:val="24"/>
          <w:lang w:eastAsia="pt-PT"/>
        </w:rPr>
        <w:t>)</w:t>
      </w:r>
      <w:r>
        <w:rPr>
          <w:rFonts w:ascii="Times New Roman" w:hAnsi="Times New Roman"/>
          <w:bCs/>
          <w:sz w:val="24"/>
          <w:szCs w:val="24"/>
          <w:lang w:eastAsia="pt-PT"/>
        </w:rPr>
        <w:t xml:space="preserve">. </w:t>
      </w:r>
      <w:r w:rsidRPr="00402E7C">
        <w:rPr>
          <w:rFonts w:ascii="Times New Roman" w:hAnsi="Times New Roman"/>
          <w:i/>
          <w:iCs/>
          <w:sz w:val="24"/>
          <w:szCs w:val="24"/>
          <w:lang w:eastAsia="pt-PT"/>
        </w:rPr>
        <w:t xml:space="preserve">Quim. Nova, </w:t>
      </w:r>
      <w:r>
        <w:rPr>
          <w:rFonts w:ascii="Times New Roman" w:hAnsi="Times New Roman"/>
          <w:sz w:val="24"/>
          <w:szCs w:val="24"/>
          <w:lang w:eastAsia="pt-PT"/>
        </w:rPr>
        <w:t>Vol. 30, No. 3, 604-610.</w:t>
      </w:r>
    </w:p>
    <w:p w:rsidR="00671F9B" w:rsidRPr="00671F9B" w:rsidRDefault="00671F9B" w:rsidP="00671F9B">
      <w:pPr>
        <w:autoSpaceDE w:val="0"/>
        <w:autoSpaceDN w:val="0"/>
        <w:adjustRightInd w:val="0"/>
        <w:spacing w:line="240" w:lineRule="auto"/>
        <w:jc w:val="both"/>
        <w:rPr>
          <w:rFonts w:ascii="Times New Roman" w:hAnsi="Times New Roman"/>
          <w:sz w:val="24"/>
          <w:szCs w:val="24"/>
          <w:lang w:val="en-US" w:eastAsia="pt-PT"/>
        </w:rPr>
      </w:pPr>
      <w:r w:rsidRPr="00671F9B">
        <w:rPr>
          <w:rFonts w:ascii="Times New Roman" w:hAnsi="Times New Roman"/>
          <w:sz w:val="24"/>
          <w:szCs w:val="24"/>
          <w:lang w:eastAsia="pt-PT"/>
        </w:rPr>
        <w:t>Santos, J. L. C., Fernandes, M. C., Lourenço, P. M. L., Duarte, Carvalheiro, L. C. F., Crespo,</w:t>
      </w:r>
      <w:r w:rsidRPr="00671F9B">
        <w:rPr>
          <w:rFonts w:ascii="Times New Roman" w:hAnsi="Times New Roman"/>
          <w:b/>
          <w:bCs/>
          <w:i/>
          <w:iCs/>
          <w:sz w:val="24"/>
          <w:szCs w:val="24"/>
          <w:lang w:eastAsia="pt-PT"/>
        </w:rPr>
        <w:t xml:space="preserve"> </w:t>
      </w:r>
      <w:r w:rsidRPr="00671F9B">
        <w:rPr>
          <w:rFonts w:ascii="Times New Roman" w:hAnsi="Times New Roman"/>
          <w:sz w:val="24"/>
          <w:szCs w:val="24"/>
          <w:lang w:eastAsia="pt-PT"/>
        </w:rPr>
        <w:t xml:space="preserve">J. G. (2011). </w:t>
      </w:r>
      <w:r w:rsidRPr="00671F9B">
        <w:rPr>
          <w:rFonts w:ascii="Times New Roman" w:hAnsi="Times New Roman"/>
          <w:sz w:val="24"/>
          <w:szCs w:val="24"/>
          <w:lang w:val="en-US" w:eastAsia="pt-PT"/>
        </w:rPr>
        <w:t xml:space="preserve">Removal of inhibitory compounds from olive stone auto-hydrolysis liquors by nanofiltration. </w:t>
      </w:r>
      <w:r w:rsidRPr="00671F9B">
        <w:rPr>
          <w:rFonts w:ascii="Times New Roman" w:hAnsi="Times New Roman"/>
          <w:bCs/>
          <w:i/>
          <w:iCs/>
          <w:sz w:val="24"/>
          <w:szCs w:val="24"/>
          <w:lang w:val="en-US" w:eastAsia="pt-PT"/>
        </w:rPr>
        <w:t>Desalination and Water Treatment</w:t>
      </w:r>
      <w:r w:rsidRPr="00671F9B">
        <w:rPr>
          <w:rFonts w:ascii="Times New Roman" w:hAnsi="Times New Roman"/>
          <w:sz w:val="24"/>
          <w:szCs w:val="24"/>
          <w:lang w:val="en-US" w:eastAsia="pt-PT"/>
        </w:rPr>
        <w:t>, 27, 1–7.</w:t>
      </w:r>
    </w:p>
    <w:p w:rsidR="00D0739F" w:rsidRPr="000E2563" w:rsidRDefault="00D0739F" w:rsidP="000E2563">
      <w:pPr>
        <w:jc w:val="both"/>
        <w:rPr>
          <w:rFonts w:ascii="Times New Roman" w:hAnsi="Times New Roman"/>
          <w:sz w:val="24"/>
          <w:szCs w:val="24"/>
          <w:lang w:val="es-ES"/>
        </w:rPr>
      </w:pPr>
      <w:r w:rsidRPr="000E2563">
        <w:rPr>
          <w:rFonts w:ascii="Times New Roman" w:hAnsi="Times New Roman"/>
          <w:sz w:val="24"/>
          <w:szCs w:val="24"/>
          <w:lang w:val="es-ES"/>
        </w:rPr>
        <w:t xml:space="preserve">Scalbert, A., Manach, C., Morand, C., Rémésy, C., &amp; Jiménez, L. (2005). Dietary Polyphenols and the Prevention of Diseases. </w:t>
      </w:r>
      <w:r w:rsidRPr="000E2563">
        <w:rPr>
          <w:rFonts w:ascii="Times New Roman" w:hAnsi="Times New Roman"/>
          <w:i/>
          <w:sz w:val="24"/>
          <w:szCs w:val="24"/>
          <w:lang w:val="es-ES"/>
        </w:rPr>
        <w:t>Critical Reviews in Food Science and Nutrition</w:t>
      </w:r>
      <w:r w:rsidRPr="000E2563">
        <w:rPr>
          <w:rFonts w:ascii="Times New Roman" w:hAnsi="Times New Roman"/>
          <w:sz w:val="24"/>
          <w:szCs w:val="24"/>
          <w:lang w:val="es-ES"/>
        </w:rPr>
        <w:t>, 45(4), 287-306.</w:t>
      </w:r>
    </w:p>
    <w:p w:rsidR="007443DE" w:rsidRPr="007443DE" w:rsidRDefault="007443DE" w:rsidP="007443DE">
      <w:pPr>
        <w:autoSpaceDE w:val="0"/>
        <w:autoSpaceDN w:val="0"/>
        <w:adjustRightInd w:val="0"/>
        <w:spacing w:line="240" w:lineRule="auto"/>
        <w:jc w:val="both"/>
        <w:rPr>
          <w:rFonts w:ascii="Times New Roman" w:hAnsi="Times New Roman"/>
          <w:bCs/>
          <w:sz w:val="24"/>
          <w:szCs w:val="24"/>
          <w:lang w:val="en-US" w:eastAsia="pt-PT"/>
        </w:rPr>
      </w:pPr>
      <w:r w:rsidRPr="007443DE">
        <w:rPr>
          <w:rFonts w:ascii="Times New Roman" w:hAnsi="Times New Roman"/>
          <w:sz w:val="24"/>
          <w:szCs w:val="24"/>
          <w:lang w:val="en-US" w:eastAsia="pt-PT"/>
        </w:rPr>
        <w:t>Schaffer, S., Podstawa, M., Visioli, F., Bogani, P., M</w:t>
      </w:r>
      <w:r w:rsidRPr="007443DE">
        <w:rPr>
          <w:sz w:val="24"/>
          <w:szCs w:val="24"/>
          <w:lang w:val="en-US" w:eastAsia="pt-PT"/>
        </w:rPr>
        <w:t>ü</w:t>
      </w:r>
      <w:r w:rsidRPr="007443DE">
        <w:rPr>
          <w:rFonts w:ascii="Times New Roman" w:hAnsi="Times New Roman"/>
          <w:sz w:val="24"/>
          <w:szCs w:val="24"/>
          <w:lang w:val="en-US" w:eastAsia="pt-PT"/>
        </w:rPr>
        <w:t>ller, W. E., Eckert, G. P. (</w:t>
      </w:r>
      <w:r w:rsidRPr="007443DE">
        <w:rPr>
          <w:rFonts w:ascii="Times New Roman" w:hAnsi="Times New Roman"/>
          <w:bCs/>
          <w:sz w:val="24"/>
          <w:szCs w:val="24"/>
          <w:lang w:val="en-US" w:eastAsia="pt-PT"/>
        </w:rPr>
        <w:t>2007</w:t>
      </w:r>
      <w:r w:rsidRPr="007443DE">
        <w:rPr>
          <w:rFonts w:ascii="Times New Roman" w:hAnsi="Times New Roman"/>
          <w:sz w:val="24"/>
          <w:szCs w:val="24"/>
          <w:lang w:val="en-US" w:eastAsia="pt-PT"/>
        </w:rPr>
        <w:t xml:space="preserve">).  </w:t>
      </w:r>
      <w:r w:rsidRPr="007443DE">
        <w:rPr>
          <w:rFonts w:ascii="Times New Roman" w:hAnsi="Times New Roman"/>
          <w:bCs/>
          <w:sz w:val="24"/>
          <w:szCs w:val="24"/>
          <w:lang w:val="en-US" w:eastAsia="pt-PT"/>
        </w:rPr>
        <w:t xml:space="preserve">Hydroxytyrosol-Rich Olive Mill Wastewater Extract Protects Brain Cells in Vitro and ex Vivo. </w:t>
      </w:r>
      <w:r w:rsidRPr="007443DE">
        <w:rPr>
          <w:rFonts w:ascii="Times New Roman" w:hAnsi="Times New Roman"/>
          <w:i/>
          <w:sz w:val="24"/>
          <w:szCs w:val="24"/>
          <w:lang w:val="en-US" w:eastAsia="pt-PT"/>
        </w:rPr>
        <w:t>J. Agric. Food Chem</w:t>
      </w:r>
      <w:r w:rsidRPr="007443DE">
        <w:rPr>
          <w:rFonts w:ascii="Times New Roman" w:hAnsi="Times New Roman"/>
          <w:sz w:val="24"/>
          <w:szCs w:val="24"/>
          <w:lang w:val="en-US" w:eastAsia="pt-PT"/>
        </w:rPr>
        <w:t>.</w:t>
      </w:r>
      <w:r w:rsidRPr="007443DE">
        <w:rPr>
          <w:rFonts w:ascii="Times New Roman" w:hAnsi="Times New Roman"/>
          <w:bCs/>
          <w:sz w:val="24"/>
          <w:szCs w:val="24"/>
          <w:lang w:val="en-US" w:eastAsia="pt-PT"/>
        </w:rPr>
        <w:t xml:space="preserve">, </w:t>
      </w:r>
      <w:r w:rsidRPr="007443DE">
        <w:rPr>
          <w:rFonts w:ascii="Times New Roman" w:hAnsi="Times New Roman"/>
          <w:sz w:val="24"/>
          <w:szCs w:val="24"/>
          <w:lang w:val="en-US" w:eastAsia="pt-PT"/>
        </w:rPr>
        <w:t>55, 5043-5049.</w:t>
      </w:r>
    </w:p>
    <w:p w:rsidR="00671F9B" w:rsidRPr="00671F9B" w:rsidRDefault="00671F9B" w:rsidP="00671F9B">
      <w:pPr>
        <w:autoSpaceDE w:val="0"/>
        <w:autoSpaceDN w:val="0"/>
        <w:adjustRightInd w:val="0"/>
        <w:spacing w:line="240" w:lineRule="auto"/>
        <w:jc w:val="both"/>
        <w:rPr>
          <w:rFonts w:ascii="Times New Roman" w:hAnsi="Times New Roman"/>
          <w:sz w:val="24"/>
          <w:szCs w:val="24"/>
          <w:lang w:val="en-US" w:eastAsia="pt-PT"/>
        </w:rPr>
      </w:pPr>
      <w:r w:rsidRPr="00671F9B">
        <w:rPr>
          <w:rFonts w:ascii="Times New Roman" w:hAnsi="Times New Roman"/>
          <w:sz w:val="24"/>
          <w:szCs w:val="24"/>
          <w:lang w:val="en-US" w:eastAsia="pt-PT"/>
        </w:rPr>
        <w:lastRenderedPageBreak/>
        <w:t xml:space="preserve">Schneider, </w:t>
      </w:r>
      <w:r>
        <w:rPr>
          <w:rFonts w:ascii="Times New Roman" w:hAnsi="Times New Roman"/>
          <w:sz w:val="24"/>
          <w:szCs w:val="24"/>
          <w:lang w:val="en-US" w:eastAsia="pt-PT"/>
        </w:rPr>
        <w:t>B.</w:t>
      </w:r>
      <w:r w:rsidRPr="00671F9B">
        <w:rPr>
          <w:rFonts w:ascii="Times New Roman" w:hAnsi="Times New Roman"/>
          <w:sz w:val="24"/>
          <w:szCs w:val="24"/>
          <w:lang w:val="en-US" w:eastAsia="pt-PT"/>
        </w:rPr>
        <w:t xml:space="preserve"> P.</w:t>
      </w:r>
      <w:r>
        <w:rPr>
          <w:rFonts w:ascii="Times New Roman" w:hAnsi="Times New Roman"/>
          <w:sz w:val="24"/>
          <w:szCs w:val="24"/>
          <w:lang w:val="en-US" w:eastAsia="pt-PT"/>
        </w:rPr>
        <w:t>,</w:t>
      </w:r>
      <w:r w:rsidRPr="00671F9B">
        <w:rPr>
          <w:rFonts w:ascii="Times New Roman" w:hAnsi="Times New Roman"/>
          <w:sz w:val="24"/>
          <w:szCs w:val="24"/>
          <w:lang w:val="en-US" w:eastAsia="pt-PT"/>
        </w:rPr>
        <w:t xml:space="preserve"> Winer, </w:t>
      </w:r>
      <w:r>
        <w:rPr>
          <w:rFonts w:ascii="Times New Roman" w:hAnsi="Times New Roman"/>
          <w:sz w:val="24"/>
          <w:szCs w:val="24"/>
          <w:lang w:val="en-US" w:eastAsia="pt-PT"/>
        </w:rPr>
        <w:t xml:space="preserve">E. </w:t>
      </w:r>
      <w:r w:rsidRPr="00671F9B">
        <w:rPr>
          <w:rFonts w:ascii="Times New Roman" w:hAnsi="Times New Roman"/>
          <w:sz w:val="24"/>
          <w:szCs w:val="24"/>
          <w:lang w:val="en-US" w:eastAsia="pt-PT"/>
        </w:rPr>
        <w:t>P.</w:t>
      </w:r>
      <w:r>
        <w:rPr>
          <w:rFonts w:ascii="Times New Roman" w:hAnsi="Times New Roman"/>
          <w:sz w:val="24"/>
          <w:szCs w:val="24"/>
          <w:lang w:val="en-US" w:eastAsia="pt-PT"/>
        </w:rPr>
        <w:t xml:space="preserve">, </w:t>
      </w:r>
      <w:r w:rsidRPr="00671F9B">
        <w:rPr>
          <w:rFonts w:ascii="Times New Roman" w:hAnsi="Times New Roman"/>
          <w:sz w:val="24"/>
          <w:szCs w:val="24"/>
          <w:lang w:val="en-US" w:eastAsia="pt-PT"/>
        </w:rPr>
        <w:t>Foulkes,</w:t>
      </w:r>
      <w:r>
        <w:rPr>
          <w:rFonts w:ascii="Times New Roman" w:hAnsi="Times New Roman"/>
          <w:sz w:val="24"/>
          <w:szCs w:val="24"/>
          <w:lang w:val="en-US" w:eastAsia="pt-PT"/>
        </w:rPr>
        <w:t xml:space="preserve"> W. </w:t>
      </w:r>
      <w:r w:rsidRPr="00671F9B">
        <w:rPr>
          <w:rFonts w:ascii="Times New Roman" w:hAnsi="Times New Roman"/>
          <w:sz w:val="24"/>
          <w:szCs w:val="24"/>
          <w:lang w:val="en-US" w:eastAsia="pt-PT"/>
        </w:rPr>
        <w:t>D.</w:t>
      </w:r>
      <w:r>
        <w:rPr>
          <w:rFonts w:ascii="Times New Roman" w:hAnsi="Times New Roman"/>
          <w:sz w:val="24"/>
          <w:szCs w:val="24"/>
          <w:lang w:val="en-US" w:eastAsia="pt-PT"/>
        </w:rPr>
        <w:t>,</w:t>
      </w:r>
      <w:r w:rsidRPr="00671F9B">
        <w:rPr>
          <w:rFonts w:ascii="Times New Roman" w:hAnsi="Times New Roman"/>
          <w:sz w:val="24"/>
          <w:szCs w:val="24"/>
          <w:lang w:val="en-US" w:eastAsia="pt-PT"/>
        </w:rPr>
        <w:t xml:space="preserve"> Garber,</w:t>
      </w:r>
      <w:r>
        <w:rPr>
          <w:rFonts w:ascii="Times New Roman" w:hAnsi="Times New Roman"/>
          <w:sz w:val="24"/>
          <w:szCs w:val="24"/>
          <w:lang w:val="en-US" w:eastAsia="pt-PT"/>
        </w:rPr>
        <w:t xml:space="preserve"> J., </w:t>
      </w:r>
      <w:r w:rsidRPr="00671F9B">
        <w:rPr>
          <w:rFonts w:ascii="Times New Roman" w:hAnsi="Times New Roman"/>
          <w:sz w:val="24"/>
          <w:szCs w:val="24"/>
          <w:lang w:val="en-US" w:eastAsia="pt-PT"/>
        </w:rPr>
        <w:t>Perou,</w:t>
      </w:r>
      <w:r>
        <w:rPr>
          <w:rFonts w:ascii="Times New Roman" w:hAnsi="Times New Roman"/>
          <w:sz w:val="24"/>
          <w:szCs w:val="24"/>
          <w:lang w:val="en-US" w:eastAsia="pt-PT"/>
        </w:rPr>
        <w:t xml:space="preserve"> C.</w:t>
      </w:r>
      <w:r w:rsidRPr="00671F9B">
        <w:rPr>
          <w:rFonts w:ascii="Times New Roman" w:hAnsi="Times New Roman"/>
          <w:sz w:val="24"/>
          <w:szCs w:val="24"/>
          <w:lang w:val="en-US" w:eastAsia="pt-PT"/>
        </w:rPr>
        <w:t xml:space="preserve"> M.</w:t>
      </w:r>
      <w:r>
        <w:rPr>
          <w:rFonts w:ascii="Times New Roman" w:hAnsi="Times New Roman"/>
          <w:sz w:val="24"/>
          <w:szCs w:val="24"/>
          <w:lang w:val="en-US" w:eastAsia="pt-PT"/>
        </w:rPr>
        <w:t xml:space="preserve">, </w:t>
      </w:r>
      <w:r w:rsidRPr="00671F9B">
        <w:rPr>
          <w:rFonts w:ascii="Times New Roman" w:hAnsi="Times New Roman"/>
          <w:sz w:val="24"/>
          <w:szCs w:val="24"/>
          <w:lang w:val="en-US" w:eastAsia="pt-PT"/>
        </w:rPr>
        <w:t>Richardson,</w:t>
      </w:r>
      <w:r>
        <w:rPr>
          <w:rFonts w:ascii="Times New Roman" w:hAnsi="Times New Roman"/>
          <w:sz w:val="24"/>
          <w:szCs w:val="24"/>
          <w:lang w:val="en-US" w:eastAsia="pt-PT"/>
        </w:rPr>
        <w:t xml:space="preserve"> A., </w:t>
      </w:r>
      <w:r w:rsidRPr="00671F9B">
        <w:rPr>
          <w:rFonts w:ascii="Times New Roman" w:hAnsi="Times New Roman"/>
          <w:sz w:val="24"/>
          <w:szCs w:val="24"/>
          <w:lang w:val="en-US" w:eastAsia="pt-PT"/>
        </w:rPr>
        <w:t>Sledge, G</w:t>
      </w:r>
      <w:r>
        <w:rPr>
          <w:rFonts w:ascii="Times New Roman" w:hAnsi="Times New Roman"/>
          <w:sz w:val="24"/>
          <w:szCs w:val="24"/>
          <w:lang w:val="en-US" w:eastAsia="pt-PT"/>
        </w:rPr>
        <w:t>.</w:t>
      </w:r>
      <w:r w:rsidRPr="00671F9B">
        <w:rPr>
          <w:rFonts w:ascii="Times New Roman" w:hAnsi="Times New Roman"/>
          <w:sz w:val="24"/>
          <w:szCs w:val="24"/>
          <w:lang w:val="en-US" w:eastAsia="pt-PT"/>
        </w:rPr>
        <w:t xml:space="preserve"> W.</w:t>
      </w:r>
      <w:r>
        <w:rPr>
          <w:rFonts w:ascii="Times New Roman" w:hAnsi="Times New Roman"/>
          <w:sz w:val="24"/>
          <w:szCs w:val="24"/>
          <w:lang w:val="en-US" w:eastAsia="pt-PT"/>
        </w:rPr>
        <w:t>,</w:t>
      </w:r>
      <w:r w:rsidRPr="00671F9B">
        <w:rPr>
          <w:rFonts w:ascii="Times New Roman" w:hAnsi="Times New Roman"/>
          <w:sz w:val="24"/>
          <w:szCs w:val="24"/>
          <w:lang w:val="en-US" w:eastAsia="pt-PT"/>
        </w:rPr>
        <w:t xml:space="preserve"> Carey</w:t>
      </w:r>
      <w:r>
        <w:rPr>
          <w:rFonts w:ascii="Times New Roman" w:hAnsi="Times New Roman"/>
          <w:sz w:val="24"/>
          <w:szCs w:val="24"/>
          <w:lang w:val="en-US" w:eastAsia="pt-PT"/>
        </w:rPr>
        <w:t>, L. A. (</w:t>
      </w:r>
      <w:r w:rsidRPr="00671F9B">
        <w:rPr>
          <w:rFonts w:ascii="Times New Roman" w:hAnsi="Times New Roman"/>
          <w:sz w:val="24"/>
          <w:szCs w:val="24"/>
          <w:lang w:val="en-US" w:eastAsia="pt-PT"/>
        </w:rPr>
        <w:t>2008</w:t>
      </w:r>
      <w:r>
        <w:rPr>
          <w:rFonts w:ascii="Times New Roman" w:hAnsi="Times New Roman"/>
          <w:sz w:val="24"/>
          <w:szCs w:val="24"/>
          <w:lang w:val="en-US" w:eastAsia="pt-PT"/>
        </w:rPr>
        <w:t xml:space="preserve">). </w:t>
      </w:r>
      <w:r w:rsidRPr="00671F9B">
        <w:rPr>
          <w:rFonts w:ascii="Times New Roman" w:hAnsi="Times New Roman"/>
          <w:sz w:val="24"/>
          <w:szCs w:val="24"/>
          <w:lang w:val="en-US" w:eastAsia="pt-PT"/>
        </w:rPr>
        <w:t>Triple-Negative Breast Cancer: Risk Factors to PotentialTargets</w:t>
      </w:r>
      <w:r>
        <w:rPr>
          <w:rFonts w:ascii="Times New Roman" w:hAnsi="Times New Roman"/>
          <w:sz w:val="24"/>
          <w:szCs w:val="24"/>
          <w:lang w:val="en-US" w:eastAsia="pt-PT"/>
        </w:rPr>
        <w:t xml:space="preserve">. </w:t>
      </w:r>
      <w:r w:rsidRPr="00671F9B">
        <w:rPr>
          <w:rFonts w:ascii="Times New Roman" w:hAnsi="Times New Roman"/>
          <w:i/>
          <w:sz w:val="24"/>
          <w:szCs w:val="24"/>
          <w:lang w:val="en-US" w:eastAsia="pt-PT"/>
        </w:rPr>
        <w:t>Clin</w:t>
      </w:r>
      <w:r>
        <w:rPr>
          <w:rFonts w:ascii="Times New Roman" w:hAnsi="Times New Roman"/>
          <w:i/>
          <w:sz w:val="24"/>
          <w:szCs w:val="24"/>
          <w:lang w:val="en-US" w:eastAsia="pt-PT"/>
        </w:rPr>
        <w:t>.</w:t>
      </w:r>
      <w:r w:rsidRPr="00671F9B">
        <w:rPr>
          <w:rFonts w:ascii="Times New Roman" w:hAnsi="Times New Roman"/>
          <w:i/>
          <w:sz w:val="24"/>
          <w:szCs w:val="24"/>
          <w:lang w:val="en-US" w:eastAsia="pt-PT"/>
        </w:rPr>
        <w:t xml:space="preserve"> Cancer Res</w:t>
      </w:r>
      <w:r>
        <w:rPr>
          <w:rFonts w:ascii="Times New Roman" w:hAnsi="Times New Roman"/>
          <w:sz w:val="24"/>
          <w:szCs w:val="24"/>
          <w:lang w:val="en-US" w:eastAsia="pt-PT"/>
        </w:rPr>
        <w:t>., 14(24).</w:t>
      </w:r>
    </w:p>
    <w:p w:rsidR="00653234" w:rsidRPr="002013B5" w:rsidRDefault="00653234" w:rsidP="00653234">
      <w:pPr>
        <w:autoSpaceDE w:val="0"/>
        <w:autoSpaceDN w:val="0"/>
        <w:adjustRightInd w:val="0"/>
        <w:spacing w:before="240"/>
        <w:jc w:val="both"/>
        <w:rPr>
          <w:rFonts w:ascii="Times New Roman" w:hAnsi="Times New Roman"/>
          <w:sz w:val="24"/>
          <w:szCs w:val="24"/>
          <w:lang w:val="en-US" w:eastAsia="pt-PT"/>
        </w:rPr>
      </w:pPr>
      <w:r w:rsidRPr="00A269C7">
        <w:rPr>
          <w:rFonts w:ascii="Times New Roman" w:hAnsi="Times New Roman"/>
          <w:sz w:val="24"/>
          <w:szCs w:val="24"/>
          <w:lang w:val="en-US" w:eastAsia="pt-PT"/>
        </w:rPr>
        <w:t>Shanmugam, M. K., Kannaiyan, R., Sethi, G. (2011). Targeting Cell Signaling and</w:t>
      </w:r>
      <w:r>
        <w:rPr>
          <w:rFonts w:ascii="Times New Roman" w:hAnsi="Times New Roman"/>
          <w:sz w:val="24"/>
          <w:szCs w:val="24"/>
          <w:lang w:val="en-US" w:eastAsia="pt-PT"/>
        </w:rPr>
        <w:t xml:space="preserve"> </w:t>
      </w:r>
      <w:r w:rsidRPr="00A269C7">
        <w:rPr>
          <w:rFonts w:ascii="Times New Roman" w:hAnsi="Times New Roman"/>
          <w:sz w:val="24"/>
          <w:szCs w:val="24"/>
          <w:lang w:val="en-US" w:eastAsia="pt-PT"/>
        </w:rPr>
        <w:t xml:space="preserve">Apoptotic Pathways by Dietary Agents: Role in the Prevention and Treatment of Cancer. </w:t>
      </w:r>
      <w:r w:rsidRPr="002013B5">
        <w:rPr>
          <w:rFonts w:ascii="Times New Roman" w:hAnsi="Times New Roman"/>
          <w:i/>
          <w:sz w:val="24"/>
          <w:szCs w:val="24"/>
          <w:lang w:val="en-US" w:eastAsia="pt-PT"/>
        </w:rPr>
        <w:t>Nutrition and Cancer</w:t>
      </w:r>
      <w:r w:rsidRPr="002013B5">
        <w:rPr>
          <w:rFonts w:ascii="Times New Roman" w:hAnsi="Times New Roman"/>
          <w:sz w:val="24"/>
          <w:szCs w:val="24"/>
          <w:lang w:val="en-US" w:eastAsia="pt-PT"/>
        </w:rPr>
        <w:t>, 63:2, 161-173.</w:t>
      </w:r>
    </w:p>
    <w:p w:rsidR="00402F72" w:rsidRPr="00402F72" w:rsidRDefault="00402F72" w:rsidP="00402F72">
      <w:pPr>
        <w:spacing w:line="240" w:lineRule="auto"/>
        <w:jc w:val="both"/>
        <w:rPr>
          <w:rFonts w:ascii="Times New Roman" w:eastAsia="Times New Roman" w:hAnsi="Times New Roman"/>
          <w:bCs/>
          <w:color w:val="000000"/>
          <w:sz w:val="24"/>
          <w:szCs w:val="24"/>
          <w:shd w:val="clear" w:color="auto" w:fill="FFFFFF"/>
          <w:lang w:eastAsia="pt-PT"/>
        </w:rPr>
      </w:pPr>
      <w:bookmarkStart w:id="0" w:name="b"/>
      <w:r w:rsidRPr="00402F72">
        <w:rPr>
          <w:rFonts w:ascii="Times New Roman" w:eastAsia="Times New Roman" w:hAnsi="Times New Roman"/>
          <w:bCs/>
          <w:color w:val="000000"/>
          <w:sz w:val="24"/>
          <w:szCs w:val="24"/>
          <w:lang w:val="en-US" w:eastAsia="pt-PT"/>
        </w:rPr>
        <w:t xml:space="preserve">Shon, </w:t>
      </w:r>
      <w:r>
        <w:rPr>
          <w:rFonts w:ascii="Times New Roman" w:eastAsia="Times New Roman" w:hAnsi="Times New Roman"/>
          <w:bCs/>
          <w:color w:val="000000"/>
          <w:sz w:val="24"/>
          <w:szCs w:val="24"/>
          <w:lang w:val="en-US" w:eastAsia="pt-PT"/>
        </w:rPr>
        <w:t xml:space="preserve">M., </w:t>
      </w:r>
      <w:r w:rsidRPr="00402F72">
        <w:rPr>
          <w:rFonts w:ascii="Times New Roman" w:eastAsia="Times New Roman" w:hAnsi="Times New Roman"/>
          <w:bCs/>
          <w:color w:val="000000"/>
          <w:sz w:val="24"/>
          <w:szCs w:val="24"/>
          <w:lang w:val="en-US" w:eastAsia="pt-PT"/>
        </w:rPr>
        <w:t>Kim</w:t>
      </w:r>
      <w:bookmarkEnd w:id="0"/>
      <w:r w:rsidRPr="00402F72">
        <w:rPr>
          <w:rFonts w:ascii="Times New Roman" w:eastAsia="Times New Roman" w:hAnsi="Times New Roman"/>
          <w:bCs/>
          <w:color w:val="000000"/>
          <w:sz w:val="24"/>
          <w:szCs w:val="24"/>
          <w:lang w:val="en-US" w:eastAsia="pt-PT"/>
        </w:rPr>
        <w:t>,</w:t>
      </w:r>
      <w:r>
        <w:rPr>
          <w:rFonts w:ascii="Times New Roman" w:eastAsia="Times New Roman" w:hAnsi="Times New Roman"/>
          <w:bCs/>
          <w:color w:val="000000"/>
          <w:sz w:val="24"/>
          <w:szCs w:val="24"/>
          <w:lang w:val="en-US" w:eastAsia="pt-PT"/>
        </w:rPr>
        <w:t xml:space="preserve"> T., </w:t>
      </w:r>
      <w:r w:rsidRPr="00402F72">
        <w:rPr>
          <w:rFonts w:ascii="Times New Roman" w:eastAsia="Times New Roman" w:hAnsi="Times New Roman"/>
          <w:bCs/>
          <w:color w:val="000000"/>
          <w:sz w:val="24"/>
          <w:szCs w:val="24"/>
          <w:lang w:val="en-US" w:eastAsia="pt-PT"/>
        </w:rPr>
        <w:t>Sung</w:t>
      </w:r>
      <w:r>
        <w:rPr>
          <w:rFonts w:ascii="Times New Roman" w:eastAsia="Times New Roman" w:hAnsi="Times New Roman"/>
          <w:bCs/>
          <w:color w:val="000000"/>
          <w:sz w:val="24"/>
          <w:szCs w:val="24"/>
          <w:lang w:val="en-US" w:eastAsia="pt-PT"/>
        </w:rPr>
        <w:t>, N. (2003).</w:t>
      </w:r>
      <w:r w:rsidRPr="00402F72">
        <w:rPr>
          <w:rFonts w:ascii="Times New Roman" w:eastAsia="Times New Roman" w:hAnsi="Times New Roman"/>
          <w:bCs/>
          <w:color w:val="000000"/>
          <w:sz w:val="24"/>
          <w:szCs w:val="24"/>
          <w:lang w:val="en-US" w:eastAsia="pt-PT"/>
        </w:rPr>
        <w:t> </w:t>
      </w:r>
      <w:r w:rsidRPr="00402F72">
        <w:rPr>
          <w:rFonts w:ascii="Times New Roman" w:eastAsia="Times New Roman" w:hAnsi="Times New Roman"/>
          <w:bCs/>
          <w:color w:val="000000"/>
          <w:sz w:val="24"/>
          <w:szCs w:val="24"/>
          <w:shd w:val="clear" w:color="auto" w:fill="FFFFFF"/>
          <w:lang w:val="en-US" w:eastAsia="pt-PT"/>
        </w:rPr>
        <w:t>Antioxidants and free radical scavenging activity of</w:t>
      </w:r>
      <w:r w:rsidRPr="00402F72">
        <w:rPr>
          <w:rFonts w:ascii="Times New Roman" w:eastAsia="Times New Roman" w:hAnsi="Times New Roman"/>
          <w:bCs/>
          <w:color w:val="000000"/>
          <w:sz w:val="24"/>
          <w:szCs w:val="24"/>
          <w:lang w:val="en-US" w:eastAsia="pt-PT"/>
        </w:rPr>
        <w:t> </w:t>
      </w:r>
      <w:r w:rsidRPr="00402F72">
        <w:rPr>
          <w:rFonts w:ascii="Times New Roman" w:eastAsia="Times New Roman" w:hAnsi="Times New Roman"/>
          <w:bCs/>
          <w:i/>
          <w:iCs/>
          <w:color w:val="000000"/>
          <w:sz w:val="24"/>
          <w:szCs w:val="24"/>
          <w:shd w:val="clear" w:color="auto" w:fill="FFFFFF"/>
          <w:lang w:val="en-US" w:eastAsia="pt-PT"/>
        </w:rPr>
        <w:t>Phellinus baumii</w:t>
      </w:r>
      <w:r w:rsidRPr="00402F72">
        <w:rPr>
          <w:rFonts w:ascii="Times New Roman" w:eastAsia="Times New Roman" w:hAnsi="Times New Roman"/>
          <w:bCs/>
          <w:color w:val="000000"/>
          <w:sz w:val="24"/>
          <w:szCs w:val="24"/>
          <w:lang w:val="en-US" w:eastAsia="pt-PT"/>
        </w:rPr>
        <w:t> </w:t>
      </w:r>
      <w:r w:rsidRPr="00402F72">
        <w:rPr>
          <w:rFonts w:ascii="Times New Roman" w:eastAsia="Times New Roman" w:hAnsi="Times New Roman"/>
          <w:bCs/>
          <w:color w:val="000000"/>
          <w:sz w:val="24"/>
          <w:szCs w:val="24"/>
          <w:shd w:val="clear" w:color="auto" w:fill="FFFFFF"/>
          <w:lang w:val="en-US" w:eastAsia="pt-PT"/>
        </w:rPr>
        <w:t>(</w:t>
      </w:r>
      <w:r w:rsidRPr="00402F72">
        <w:rPr>
          <w:rFonts w:ascii="Times New Roman" w:eastAsia="Times New Roman" w:hAnsi="Times New Roman"/>
          <w:bCs/>
          <w:i/>
          <w:iCs/>
          <w:color w:val="000000"/>
          <w:sz w:val="24"/>
          <w:szCs w:val="24"/>
          <w:shd w:val="clear" w:color="auto" w:fill="FFFFFF"/>
          <w:lang w:val="en-US" w:eastAsia="pt-PT"/>
        </w:rPr>
        <w:t>Phellinus of Hymenochaetaceae</w:t>
      </w:r>
      <w:r w:rsidRPr="00402F72">
        <w:rPr>
          <w:rFonts w:ascii="Times New Roman" w:eastAsia="Times New Roman" w:hAnsi="Times New Roman"/>
          <w:bCs/>
          <w:color w:val="000000"/>
          <w:sz w:val="24"/>
          <w:szCs w:val="24"/>
          <w:shd w:val="clear" w:color="auto" w:fill="FFFFFF"/>
          <w:lang w:val="en-US" w:eastAsia="pt-PT"/>
        </w:rPr>
        <w:t>) extracts</w:t>
      </w:r>
      <w:r>
        <w:rPr>
          <w:rFonts w:ascii="Times New Roman" w:eastAsia="Times New Roman" w:hAnsi="Times New Roman"/>
          <w:bCs/>
          <w:color w:val="000000"/>
          <w:sz w:val="24"/>
          <w:szCs w:val="24"/>
          <w:shd w:val="clear" w:color="auto" w:fill="FFFFFF"/>
          <w:lang w:val="en-US" w:eastAsia="pt-PT"/>
        </w:rPr>
        <w:t xml:space="preserve">. </w:t>
      </w:r>
      <w:r w:rsidRPr="00402F72">
        <w:rPr>
          <w:rFonts w:ascii="Times New Roman" w:eastAsia="Times New Roman" w:hAnsi="Times New Roman"/>
          <w:bCs/>
          <w:color w:val="000000"/>
          <w:sz w:val="24"/>
          <w:szCs w:val="24"/>
          <w:shd w:val="clear" w:color="auto" w:fill="FFFFFF"/>
          <w:lang w:eastAsia="pt-PT"/>
        </w:rPr>
        <w:t xml:space="preserve">Food Chemistry, Vol.82: 4, 593-597. </w:t>
      </w:r>
    </w:p>
    <w:p w:rsidR="00106DB2" w:rsidRPr="00165FE3" w:rsidRDefault="00106DB2" w:rsidP="00106DB2">
      <w:pPr>
        <w:autoSpaceDE w:val="0"/>
        <w:autoSpaceDN w:val="0"/>
        <w:adjustRightInd w:val="0"/>
        <w:spacing w:line="240" w:lineRule="auto"/>
        <w:jc w:val="both"/>
        <w:rPr>
          <w:rFonts w:ascii="Times New Roman" w:hAnsi="Times New Roman"/>
          <w:bCs/>
          <w:sz w:val="24"/>
          <w:szCs w:val="24"/>
          <w:lang w:val="en-US" w:eastAsia="pt-PT"/>
        </w:rPr>
      </w:pPr>
      <w:r w:rsidRPr="00402E7C">
        <w:rPr>
          <w:rFonts w:ascii="Times New Roman" w:hAnsi="Times New Roman"/>
          <w:bCs/>
          <w:sz w:val="24"/>
          <w:szCs w:val="24"/>
          <w:lang w:eastAsia="pt-PT"/>
        </w:rPr>
        <w:t xml:space="preserve">Sousa, </w:t>
      </w:r>
      <w:r>
        <w:rPr>
          <w:rFonts w:ascii="Times New Roman" w:hAnsi="Times New Roman"/>
          <w:bCs/>
          <w:sz w:val="24"/>
          <w:szCs w:val="24"/>
          <w:lang w:eastAsia="pt-PT"/>
        </w:rPr>
        <w:t xml:space="preserve">C. M. M., </w:t>
      </w:r>
      <w:r w:rsidRPr="00402E7C">
        <w:rPr>
          <w:rFonts w:ascii="Times New Roman" w:hAnsi="Times New Roman"/>
          <w:bCs/>
          <w:sz w:val="24"/>
          <w:szCs w:val="24"/>
          <w:lang w:eastAsia="pt-PT"/>
        </w:rPr>
        <w:t xml:space="preserve">Silva, </w:t>
      </w:r>
      <w:r>
        <w:rPr>
          <w:rFonts w:ascii="Times New Roman" w:hAnsi="Times New Roman"/>
          <w:bCs/>
          <w:sz w:val="24"/>
          <w:szCs w:val="24"/>
          <w:lang w:eastAsia="pt-PT"/>
        </w:rPr>
        <w:t xml:space="preserve">H. R., </w:t>
      </w:r>
      <w:r w:rsidRPr="00402E7C">
        <w:rPr>
          <w:rFonts w:ascii="Times New Roman" w:hAnsi="Times New Roman"/>
          <w:bCs/>
          <w:sz w:val="24"/>
          <w:szCs w:val="24"/>
          <w:lang w:eastAsia="pt-PT"/>
        </w:rPr>
        <w:t>Vieira-Jr.,</w:t>
      </w:r>
      <w:r>
        <w:rPr>
          <w:rFonts w:ascii="Times New Roman" w:hAnsi="Times New Roman"/>
          <w:bCs/>
          <w:sz w:val="24"/>
          <w:szCs w:val="24"/>
          <w:lang w:eastAsia="pt-PT"/>
        </w:rPr>
        <w:t xml:space="preserve"> G. M., </w:t>
      </w:r>
      <w:r w:rsidRPr="00402E7C">
        <w:rPr>
          <w:rFonts w:ascii="Times New Roman" w:hAnsi="Times New Roman"/>
          <w:bCs/>
          <w:sz w:val="24"/>
          <w:szCs w:val="24"/>
          <w:lang w:eastAsia="pt-PT"/>
        </w:rPr>
        <w:t>Ayres,</w:t>
      </w:r>
      <w:r>
        <w:rPr>
          <w:rFonts w:ascii="Times New Roman" w:hAnsi="Times New Roman"/>
          <w:bCs/>
          <w:sz w:val="24"/>
          <w:szCs w:val="24"/>
          <w:lang w:eastAsia="pt-PT"/>
        </w:rPr>
        <w:t xml:space="preserve"> M. C. C. A., </w:t>
      </w:r>
      <w:r w:rsidRPr="00402E7C">
        <w:rPr>
          <w:rFonts w:ascii="Times New Roman" w:hAnsi="Times New Roman"/>
          <w:bCs/>
          <w:sz w:val="24"/>
          <w:szCs w:val="24"/>
          <w:lang w:eastAsia="pt-PT"/>
        </w:rPr>
        <w:t xml:space="preserve">Costa, </w:t>
      </w:r>
      <w:r>
        <w:rPr>
          <w:rFonts w:ascii="Times New Roman" w:hAnsi="Times New Roman"/>
          <w:bCs/>
          <w:sz w:val="24"/>
          <w:szCs w:val="24"/>
          <w:lang w:eastAsia="pt-PT"/>
        </w:rPr>
        <w:t xml:space="preserve">C. L. S., </w:t>
      </w:r>
      <w:r w:rsidRPr="00402E7C">
        <w:rPr>
          <w:rFonts w:ascii="Times New Roman" w:hAnsi="Times New Roman"/>
          <w:bCs/>
          <w:sz w:val="24"/>
          <w:szCs w:val="24"/>
          <w:lang w:eastAsia="pt-PT"/>
        </w:rPr>
        <w:t xml:space="preserve">Araújo, </w:t>
      </w:r>
      <w:r>
        <w:rPr>
          <w:rFonts w:ascii="Times New Roman" w:hAnsi="Times New Roman"/>
          <w:bCs/>
          <w:sz w:val="24"/>
          <w:szCs w:val="24"/>
          <w:lang w:eastAsia="pt-PT"/>
        </w:rPr>
        <w:t xml:space="preserve">D. S., </w:t>
      </w:r>
      <w:r w:rsidRPr="00402E7C">
        <w:rPr>
          <w:rFonts w:ascii="Times New Roman" w:hAnsi="Times New Roman"/>
          <w:bCs/>
          <w:sz w:val="24"/>
          <w:szCs w:val="24"/>
          <w:lang w:eastAsia="pt-PT"/>
        </w:rPr>
        <w:t xml:space="preserve">Cavalcante, </w:t>
      </w:r>
      <w:r>
        <w:rPr>
          <w:rFonts w:ascii="Times New Roman" w:hAnsi="Times New Roman"/>
          <w:bCs/>
          <w:sz w:val="24"/>
          <w:szCs w:val="24"/>
          <w:lang w:eastAsia="pt-PT"/>
        </w:rPr>
        <w:t xml:space="preserve">L. C. D., </w:t>
      </w:r>
      <w:r w:rsidRPr="00402E7C">
        <w:rPr>
          <w:rFonts w:ascii="Times New Roman" w:hAnsi="Times New Roman"/>
          <w:bCs/>
          <w:sz w:val="24"/>
          <w:szCs w:val="24"/>
          <w:lang w:eastAsia="pt-PT"/>
        </w:rPr>
        <w:t xml:space="preserve">Barros, </w:t>
      </w:r>
      <w:r>
        <w:rPr>
          <w:rFonts w:ascii="Times New Roman" w:hAnsi="Times New Roman"/>
          <w:bCs/>
          <w:sz w:val="24"/>
          <w:szCs w:val="24"/>
          <w:lang w:eastAsia="pt-PT"/>
        </w:rPr>
        <w:t xml:space="preserve">E. D. S., </w:t>
      </w:r>
      <w:r w:rsidRPr="00402E7C">
        <w:rPr>
          <w:rFonts w:ascii="Times New Roman" w:hAnsi="Times New Roman"/>
          <w:bCs/>
          <w:sz w:val="24"/>
          <w:szCs w:val="24"/>
          <w:lang w:eastAsia="pt-PT"/>
        </w:rPr>
        <w:t xml:space="preserve">Araújo, </w:t>
      </w:r>
      <w:r>
        <w:rPr>
          <w:rFonts w:ascii="Times New Roman" w:hAnsi="Times New Roman"/>
          <w:bCs/>
          <w:sz w:val="24"/>
          <w:szCs w:val="24"/>
          <w:lang w:eastAsia="pt-PT"/>
        </w:rPr>
        <w:t>P. B. M., Chaves, M. S. B. M. H. (</w:t>
      </w:r>
      <w:r w:rsidRPr="00106DB2">
        <w:rPr>
          <w:rFonts w:ascii="Times New Roman" w:hAnsi="Times New Roman"/>
          <w:sz w:val="24"/>
          <w:szCs w:val="24"/>
          <w:lang w:eastAsia="pt-PT"/>
        </w:rPr>
        <w:t>2007</w:t>
      </w:r>
      <w:r>
        <w:rPr>
          <w:rFonts w:ascii="Times New Roman" w:hAnsi="Times New Roman"/>
          <w:bCs/>
          <w:sz w:val="24"/>
          <w:szCs w:val="24"/>
          <w:lang w:eastAsia="pt-PT"/>
        </w:rPr>
        <w:t>).</w:t>
      </w:r>
      <w:r w:rsidRPr="00402E7C">
        <w:rPr>
          <w:rFonts w:ascii="Times New Roman" w:hAnsi="Times New Roman"/>
          <w:bCs/>
          <w:sz w:val="24"/>
          <w:szCs w:val="24"/>
          <w:lang w:eastAsia="pt-PT"/>
        </w:rPr>
        <w:t xml:space="preserve"> </w:t>
      </w:r>
      <w:r>
        <w:rPr>
          <w:rFonts w:ascii="Times New Roman" w:hAnsi="Times New Roman"/>
          <w:bCs/>
          <w:sz w:val="24"/>
          <w:szCs w:val="24"/>
          <w:lang w:eastAsia="pt-PT"/>
        </w:rPr>
        <w:t>F</w:t>
      </w:r>
      <w:r w:rsidRPr="00402E7C">
        <w:rPr>
          <w:rFonts w:ascii="Times New Roman" w:hAnsi="Times New Roman"/>
          <w:bCs/>
          <w:sz w:val="24"/>
          <w:szCs w:val="24"/>
          <w:lang w:eastAsia="pt-PT"/>
        </w:rPr>
        <w:t>enóis totais e a</w:t>
      </w:r>
      <w:r>
        <w:rPr>
          <w:rFonts w:ascii="Times New Roman" w:hAnsi="Times New Roman"/>
          <w:bCs/>
          <w:sz w:val="24"/>
          <w:szCs w:val="24"/>
          <w:lang w:eastAsia="pt-PT"/>
        </w:rPr>
        <w:t>c</w:t>
      </w:r>
      <w:r w:rsidRPr="00402E7C">
        <w:rPr>
          <w:rFonts w:ascii="Times New Roman" w:hAnsi="Times New Roman"/>
          <w:bCs/>
          <w:sz w:val="24"/>
          <w:szCs w:val="24"/>
          <w:lang w:eastAsia="pt-PT"/>
        </w:rPr>
        <w:t>tividade antioxidante de cinco plantas medicinais</w:t>
      </w:r>
      <w:r>
        <w:rPr>
          <w:rFonts w:ascii="Times New Roman" w:hAnsi="Times New Roman"/>
          <w:bCs/>
          <w:sz w:val="24"/>
          <w:szCs w:val="24"/>
          <w:lang w:eastAsia="pt-PT"/>
        </w:rPr>
        <w:t>.</w:t>
      </w:r>
      <w:r w:rsidRPr="00402E7C">
        <w:rPr>
          <w:rFonts w:ascii="Times New Roman" w:hAnsi="Times New Roman"/>
          <w:i/>
          <w:iCs/>
          <w:sz w:val="24"/>
          <w:szCs w:val="24"/>
          <w:lang w:eastAsia="pt-PT"/>
        </w:rPr>
        <w:t xml:space="preserve"> Quim. </w:t>
      </w:r>
      <w:r w:rsidRPr="006737F5">
        <w:rPr>
          <w:rFonts w:ascii="Times New Roman" w:hAnsi="Times New Roman"/>
          <w:i/>
          <w:iCs/>
          <w:sz w:val="24"/>
          <w:szCs w:val="24"/>
          <w:lang w:val="en-US" w:eastAsia="pt-PT"/>
        </w:rPr>
        <w:t xml:space="preserve">Nova, </w:t>
      </w:r>
      <w:r w:rsidRPr="006737F5">
        <w:rPr>
          <w:rFonts w:ascii="Times New Roman" w:hAnsi="Times New Roman"/>
          <w:sz w:val="24"/>
          <w:szCs w:val="24"/>
          <w:lang w:val="en-US" w:eastAsia="pt-PT"/>
        </w:rPr>
        <w:t>Vol. 30, No. 2, 351-355</w:t>
      </w:r>
      <w:r>
        <w:rPr>
          <w:rFonts w:ascii="Times New Roman" w:hAnsi="Times New Roman"/>
          <w:sz w:val="24"/>
          <w:szCs w:val="24"/>
          <w:lang w:val="en-US" w:eastAsia="pt-PT"/>
        </w:rPr>
        <w:t>.</w:t>
      </w:r>
    </w:p>
    <w:p w:rsidR="00152DEE" w:rsidRPr="00402E7C" w:rsidRDefault="00152DEE" w:rsidP="00152DEE">
      <w:pPr>
        <w:autoSpaceDE w:val="0"/>
        <w:autoSpaceDN w:val="0"/>
        <w:adjustRightInd w:val="0"/>
        <w:spacing w:line="240" w:lineRule="auto"/>
        <w:jc w:val="both"/>
        <w:rPr>
          <w:rFonts w:ascii="Times New Roman" w:hAnsi="Times New Roman"/>
          <w:sz w:val="24"/>
          <w:szCs w:val="24"/>
          <w:lang w:val="en-US" w:eastAsia="pt-PT"/>
        </w:rPr>
      </w:pPr>
      <w:r w:rsidRPr="00402E7C">
        <w:rPr>
          <w:rFonts w:ascii="Times New Roman" w:hAnsi="Times New Roman"/>
          <w:sz w:val="24"/>
          <w:szCs w:val="24"/>
          <w:lang w:val="en-US" w:eastAsia="pt-PT"/>
        </w:rPr>
        <w:t>Stalikas</w:t>
      </w:r>
      <w:r>
        <w:rPr>
          <w:rFonts w:ascii="Times New Roman" w:hAnsi="Times New Roman"/>
          <w:sz w:val="24"/>
          <w:szCs w:val="24"/>
          <w:lang w:val="en-US" w:eastAsia="pt-PT"/>
        </w:rPr>
        <w:t>, C. D. (2007).</w:t>
      </w:r>
      <w:r w:rsidRPr="00402E7C">
        <w:rPr>
          <w:rFonts w:ascii="Times New Roman" w:hAnsi="Times New Roman"/>
          <w:sz w:val="24"/>
          <w:szCs w:val="24"/>
          <w:lang w:val="en-US" w:eastAsia="pt-PT"/>
        </w:rPr>
        <w:t xml:space="preserve"> Extraction, separation, and detection methods for</w:t>
      </w:r>
      <w:r>
        <w:rPr>
          <w:rFonts w:ascii="Times New Roman" w:hAnsi="Times New Roman"/>
          <w:sz w:val="24"/>
          <w:szCs w:val="24"/>
          <w:lang w:val="en-US" w:eastAsia="pt-PT"/>
        </w:rPr>
        <w:t xml:space="preserve"> </w:t>
      </w:r>
      <w:r w:rsidRPr="00402E7C">
        <w:rPr>
          <w:rFonts w:ascii="Times New Roman" w:hAnsi="Times New Roman"/>
          <w:sz w:val="24"/>
          <w:szCs w:val="24"/>
          <w:lang w:val="en-US" w:eastAsia="pt-PT"/>
        </w:rPr>
        <w:t>phenolic acids and flavonoids</w:t>
      </w:r>
      <w:r>
        <w:rPr>
          <w:rFonts w:ascii="Times New Roman" w:hAnsi="Times New Roman"/>
          <w:sz w:val="24"/>
          <w:szCs w:val="24"/>
          <w:lang w:val="en-US" w:eastAsia="pt-PT"/>
        </w:rPr>
        <w:t>.</w:t>
      </w:r>
      <w:r w:rsidRPr="00402E7C">
        <w:rPr>
          <w:rFonts w:ascii="Times New Roman" w:hAnsi="Times New Roman"/>
          <w:sz w:val="24"/>
          <w:szCs w:val="24"/>
          <w:lang w:val="en-US" w:eastAsia="pt-PT"/>
        </w:rPr>
        <w:t xml:space="preserve"> </w:t>
      </w:r>
      <w:r w:rsidRPr="00152DEE">
        <w:rPr>
          <w:rFonts w:ascii="Times New Roman" w:hAnsi="Times New Roman"/>
          <w:i/>
          <w:sz w:val="24"/>
          <w:szCs w:val="24"/>
          <w:lang w:val="en-US" w:eastAsia="pt-PT"/>
        </w:rPr>
        <w:t>J. Sep. Sci</w:t>
      </w:r>
      <w:r w:rsidRPr="00402E7C">
        <w:rPr>
          <w:rFonts w:ascii="Times New Roman" w:hAnsi="Times New Roman"/>
          <w:sz w:val="24"/>
          <w:szCs w:val="24"/>
          <w:lang w:val="en-US" w:eastAsia="pt-PT"/>
        </w:rPr>
        <w:t>.</w:t>
      </w:r>
      <w:r>
        <w:rPr>
          <w:rFonts w:ascii="Times New Roman" w:hAnsi="Times New Roman"/>
          <w:sz w:val="24"/>
          <w:szCs w:val="24"/>
          <w:lang w:val="en-US" w:eastAsia="pt-PT"/>
        </w:rPr>
        <w:t>,</w:t>
      </w:r>
      <w:r w:rsidRPr="00402E7C">
        <w:rPr>
          <w:rFonts w:ascii="Times New Roman" w:hAnsi="Times New Roman"/>
          <w:sz w:val="24"/>
          <w:szCs w:val="24"/>
          <w:lang w:val="en-US" w:eastAsia="pt-PT"/>
        </w:rPr>
        <w:t xml:space="preserve"> 30, 3268 – 3295</w:t>
      </w:r>
      <w:r>
        <w:rPr>
          <w:rFonts w:ascii="Times New Roman" w:hAnsi="Times New Roman"/>
          <w:sz w:val="24"/>
          <w:szCs w:val="24"/>
          <w:lang w:val="en-US" w:eastAsia="pt-PT"/>
        </w:rPr>
        <w:t>.</w:t>
      </w:r>
    </w:p>
    <w:p w:rsidR="006C3477" w:rsidRPr="006C3477" w:rsidRDefault="006C3477" w:rsidP="007443DE">
      <w:pPr>
        <w:autoSpaceDE w:val="0"/>
        <w:autoSpaceDN w:val="0"/>
        <w:adjustRightInd w:val="0"/>
        <w:spacing w:line="240" w:lineRule="auto"/>
        <w:jc w:val="both"/>
        <w:rPr>
          <w:rFonts w:ascii="Times New Roman" w:hAnsi="Times New Roman"/>
          <w:sz w:val="24"/>
          <w:szCs w:val="24"/>
          <w:lang w:val="es-ES"/>
        </w:rPr>
      </w:pPr>
      <w:r>
        <w:rPr>
          <w:rFonts w:ascii="Times New Roman" w:hAnsi="Times New Roman"/>
          <w:sz w:val="24"/>
          <w:szCs w:val="24"/>
          <w:lang w:val="es-ES"/>
        </w:rPr>
        <w:t>Sun, T</w:t>
      </w:r>
      <w:r w:rsidR="00D0739F" w:rsidRPr="000E2563">
        <w:rPr>
          <w:rFonts w:ascii="Times New Roman" w:hAnsi="Times New Roman"/>
          <w:sz w:val="24"/>
          <w:szCs w:val="24"/>
          <w:lang w:val="es-ES"/>
        </w:rPr>
        <w:t xml:space="preserve">., </w:t>
      </w:r>
      <w:r>
        <w:rPr>
          <w:rFonts w:ascii="Times New Roman" w:hAnsi="Times New Roman"/>
          <w:sz w:val="24"/>
          <w:szCs w:val="24"/>
          <w:lang w:val="es-ES"/>
        </w:rPr>
        <w:t xml:space="preserve">Tanumihardjo, S. A. </w:t>
      </w:r>
      <w:r w:rsidR="00D0739F" w:rsidRPr="000E2563">
        <w:rPr>
          <w:rFonts w:ascii="Times New Roman" w:hAnsi="Times New Roman"/>
          <w:sz w:val="24"/>
          <w:szCs w:val="24"/>
          <w:lang w:val="es-ES"/>
        </w:rPr>
        <w:t xml:space="preserve">(2007). </w:t>
      </w:r>
      <w:r w:rsidRPr="006C3477">
        <w:rPr>
          <w:rFonts w:ascii="Times New Roman" w:hAnsi="Times New Roman"/>
          <w:sz w:val="24"/>
          <w:szCs w:val="24"/>
          <w:lang w:val="es-ES"/>
        </w:rPr>
        <w:t>An Integrated Approach to Evaluate</w:t>
      </w:r>
      <w:r>
        <w:rPr>
          <w:rFonts w:ascii="Times New Roman" w:hAnsi="Times New Roman"/>
          <w:sz w:val="24"/>
          <w:szCs w:val="24"/>
          <w:lang w:val="es-ES"/>
        </w:rPr>
        <w:t xml:space="preserve"> Food </w:t>
      </w:r>
      <w:r w:rsidRPr="006C3477">
        <w:rPr>
          <w:rFonts w:ascii="Times New Roman" w:hAnsi="Times New Roman"/>
          <w:sz w:val="24"/>
          <w:szCs w:val="24"/>
          <w:lang w:val="es-ES"/>
        </w:rPr>
        <w:t>Antioxidant Capacity</w:t>
      </w:r>
      <w:r>
        <w:rPr>
          <w:rFonts w:ascii="Times New Roman" w:hAnsi="Times New Roman"/>
          <w:sz w:val="24"/>
          <w:szCs w:val="24"/>
          <w:lang w:val="es-ES"/>
        </w:rPr>
        <w:t xml:space="preserve">. </w:t>
      </w:r>
      <w:r w:rsidRPr="00653234">
        <w:rPr>
          <w:rFonts w:ascii="Times New Roman" w:hAnsi="Times New Roman"/>
          <w:i/>
          <w:sz w:val="24"/>
          <w:szCs w:val="24"/>
          <w:lang w:val="en-US" w:eastAsia="pt-PT"/>
        </w:rPr>
        <w:t>Journal of food science</w:t>
      </w:r>
      <w:r w:rsidRPr="00653234">
        <w:rPr>
          <w:rFonts w:ascii="Times New Roman" w:hAnsi="Times New Roman"/>
          <w:sz w:val="24"/>
          <w:szCs w:val="24"/>
          <w:lang w:val="en-US" w:eastAsia="pt-PT"/>
        </w:rPr>
        <w:t>, Vol. 72, Nr. 9.</w:t>
      </w:r>
    </w:p>
    <w:p w:rsidR="00A269C7" w:rsidRPr="00A269C7" w:rsidRDefault="0024197F" w:rsidP="00A269C7">
      <w:pPr>
        <w:jc w:val="both"/>
        <w:rPr>
          <w:rFonts w:ascii="Times New Roman" w:hAnsi="Times New Roman"/>
          <w:i/>
          <w:sz w:val="24"/>
          <w:szCs w:val="24"/>
          <w:lang w:val="es-ES"/>
        </w:rPr>
      </w:pPr>
      <w:r w:rsidRPr="0024197F">
        <w:rPr>
          <w:rFonts w:ascii="Times New Roman" w:hAnsi="Times New Roman"/>
          <w:sz w:val="24"/>
          <w:szCs w:val="24"/>
          <w:lang w:val="es-ES"/>
        </w:rPr>
        <w:t xml:space="preserve">Urquiaga, I., </w:t>
      </w:r>
      <w:r>
        <w:rPr>
          <w:rFonts w:ascii="Times New Roman" w:hAnsi="Times New Roman"/>
          <w:sz w:val="24"/>
          <w:szCs w:val="24"/>
          <w:lang w:val="es-ES"/>
        </w:rPr>
        <w:t>G</w:t>
      </w:r>
      <w:r w:rsidRPr="0024197F">
        <w:rPr>
          <w:rFonts w:ascii="Times New Roman" w:hAnsi="Times New Roman"/>
          <w:sz w:val="24"/>
          <w:szCs w:val="24"/>
          <w:lang w:val="es-ES"/>
        </w:rPr>
        <w:t>uasch</w:t>
      </w:r>
      <w:r>
        <w:rPr>
          <w:rFonts w:ascii="Times New Roman" w:hAnsi="Times New Roman"/>
          <w:sz w:val="24"/>
          <w:szCs w:val="24"/>
          <w:lang w:val="es-ES"/>
        </w:rPr>
        <w:t>, V.,</w:t>
      </w:r>
      <w:r w:rsidRPr="0024197F">
        <w:rPr>
          <w:rFonts w:ascii="Times New Roman" w:hAnsi="Times New Roman"/>
          <w:sz w:val="24"/>
          <w:szCs w:val="24"/>
          <w:lang w:val="es-ES"/>
        </w:rPr>
        <w:t xml:space="preserve"> </w:t>
      </w:r>
      <w:r>
        <w:rPr>
          <w:rFonts w:ascii="Times New Roman" w:hAnsi="Times New Roman"/>
          <w:sz w:val="24"/>
          <w:szCs w:val="24"/>
          <w:lang w:val="es-ES"/>
        </w:rPr>
        <w:t>M</w:t>
      </w:r>
      <w:r w:rsidRPr="0024197F">
        <w:rPr>
          <w:rFonts w:ascii="Times New Roman" w:hAnsi="Times New Roman"/>
          <w:sz w:val="24"/>
          <w:szCs w:val="24"/>
          <w:lang w:val="es-ES"/>
        </w:rPr>
        <w:t xml:space="preserve">arshall, </w:t>
      </w:r>
      <w:r>
        <w:rPr>
          <w:rFonts w:ascii="Times New Roman" w:hAnsi="Times New Roman"/>
          <w:sz w:val="24"/>
          <w:szCs w:val="24"/>
          <w:lang w:val="es-ES"/>
        </w:rPr>
        <w:t>G., M</w:t>
      </w:r>
      <w:r w:rsidRPr="0024197F">
        <w:rPr>
          <w:rFonts w:ascii="Times New Roman" w:hAnsi="Times New Roman"/>
          <w:sz w:val="24"/>
          <w:szCs w:val="24"/>
          <w:lang w:val="es-ES"/>
        </w:rPr>
        <w:t>artín,</w:t>
      </w:r>
      <w:r>
        <w:rPr>
          <w:rFonts w:ascii="Times New Roman" w:hAnsi="Times New Roman"/>
          <w:sz w:val="24"/>
          <w:szCs w:val="24"/>
          <w:lang w:val="es-ES"/>
        </w:rPr>
        <w:t xml:space="preserve"> A. S., </w:t>
      </w:r>
      <w:r w:rsidRPr="0024197F">
        <w:rPr>
          <w:rFonts w:ascii="Times New Roman" w:hAnsi="Times New Roman"/>
          <w:sz w:val="24"/>
          <w:szCs w:val="24"/>
          <w:lang w:val="es-ES"/>
        </w:rPr>
        <w:t xml:space="preserve"> </w:t>
      </w:r>
      <w:r w:rsidR="00A269C7">
        <w:rPr>
          <w:rFonts w:ascii="Times New Roman" w:hAnsi="Times New Roman"/>
          <w:sz w:val="24"/>
          <w:szCs w:val="24"/>
          <w:lang w:val="es-ES"/>
        </w:rPr>
        <w:t>C</w:t>
      </w:r>
      <w:r w:rsidR="00A269C7" w:rsidRPr="0024197F">
        <w:rPr>
          <w:rFonts w:ascii="Times New Roman" w:hAnsi="Times New Roman"/>
          <w:sz w:val="24"/>
          <w:szCs w:val="24"/>
          <w:lang w:val="es-ES"/>
        </w:rPr>
        <w:t>astillo</w:t>
      </w:r>
      <w:r w:rsidRPr="0024197F">
        <w:rPr>
          <w:rFonts w:ascii="Times New Roman" w:hAnsi="Times New Roman"/>
          <w:sz w:val="24"/>
          <w:szCs w:val="24"/>
          <w:lang w:val="es-ES"/>
        </w:rPr>
        <w:t>,</w:t>
      </w:r>
      <w:r w:rsidR="00A269C7">
        <w:rPr>
          <w:rFonts w:ascii="Times New Roman" w:hAnsi="Times New Roman"/>
          <w:sz w:val="24"/>
          <w:szCs w:val="24"/>
          <w:lang w:val="es-ES"/>
        </w:rPr>
        <w:t xml:space="preserve"> O., R</w:t>
      </w:r>
      <w:r w:rsidR="00A269C7" w:rsidRPr="0024197F">
        <w:rPr>
          <w:rFonts w:ascii="Times New Roman" w:hAnsi="Times New Roman"/>
          <w:sz w:val="24"/>
          <w:szCs w:val="24"/>
          <w:lang w:val="es-ES"/>
        </w:rPr>
        <w:t>ozowski</w:t>
      </w:r>
      <w:r w:rsidR="00A269C7">
        <w:rPr>
          <w:rFonts w:ascii="Times New Roman" w:hAnsi="Times New Roman"/>
          <w:sz w:val="24"/>
          <w:szCs w:val="24"/>
          <w:lang w:val="es-ES"/>
        </w:rPr>
        <w:t>, J., L</w:t>
      </w:r>
      <w:r w:rsidR="00A269C7" w:rsidRPr="0024197F">
        <w:rPr>
          <w:rFonts w:ascii="Times New Roman" w:hAnsi="Times New Roman"/>
          <w:sz w:val="24"/>
          <w:szCs w:val="24"/>
          <w:lang w:val="es-ES"/>
        </w:rPr>
        <w:t>eighton</w:t>
      </w:r>
      <w:r w:rsidR="00A269C7">
        <w:rPr>
          <w:rFonts w:ascii="Times New Roman" w:hAnsi="Times New Roman"/>
          <w:sz w:val="24"/>
          <w:szCs w:val="24"/>
          <w:lang w:val="es-ES"/>
        </w:rPr>
        <w:t>, F. (</w:t>
      </w:r>
      <w:r w:rsidR="00A269C7" w:rsidRPr="0024197F">
        <w:rPr>
          <w:rFonts w:ascii="Times New Roman" w:hAnsi="Times New Roman"/>
          <w:sz w:val="24"/>
          <w:szCs w:val="24"/>
          <w:lang w:val="es-ES"/>
        </w:rPr>
        <w:t>2004</w:t>
      </w:r>
      <w:r w:rsidR="00A269C7">
        <w:rPr>
          <w:rFonts w:ascii="Times New Roman" w:hAnsi="Times New Roman"/>
          <w:sz w:val="24"/>
          <w:szCs w:val="24"/>
          <w:lang w:val="es-ES"/>
        </w:rPr>
        <w:t xml:space="preserve">). </w:t>
      </w:r>
      <w:r w:rsidR="00A269C7" w:rsidRPr="0024197F">
        <w:rPr>
          <w:rFonts w:ascii="Times New Roman" w:hAnsi="Times New Roman"/>
          <w:sz w:val="24"/>
          <w:szCs w:val="24"/>
          <w:lang w:val="es-ES"/>
        </w:rPr>
        <w:t>Effect of Mediterranea</w:t>
      </w:r>
      <w:r w:rsidR="00A269C7">
        <w:rPr>
          <w:rFonts w:ascii="Times New Roman" w:hAnsi="Times New Roman"/>
          <w:sz w:val="24"/>
          <w:szCs w:val="24"/>
          <w:lang w:val="es-ES"/>
        </w:rPr>
        <w:t xml:space="preserve">n and Occidental Diets, and Red </w:t>
      </w:r>
      <w:r w:rsidR="00A269C7" w:rsidRPr="0024197F">
        <w:rPr>
          <w:rFonts w:ascii="Times New Roman" w:hAnsi="Times New Roman"/>
          <w:sz w:val="24"/>
          <w:szCs w:val="24"/>
          <w:lang w:val="es-ES"/>
        </w:rPr>
        <w:t>Wine, on Plasma Fatty A</w:t>
      </w:r>
      <w:r w:rsidR="00A269C7">
        <w:rPr>
          <w:rFonts w:ascii="Times New Roman" w:hAnsi="Times New Roman"/>
          <w:sz w:val="24"/>
          <w:szCs w:val="24"/>
          <w:lang w:val="es-ES"/>
        </w:rPr>
        <w:t xml:space="preserve">cids in Humans. An Intervention </w:t>
      </w:r>
      <w:r w:rsidR="00A269C7" w:rsidRPr="0024197F">
        <w:rPr>
          <w:rFonts w:ascii="Times New Roman" w:hAnsi="Times New Roman"/>
          <w:sz w:val="24"/>
          <w:szCs w:val="24"/>
          <w:lang w:val="es-ES"/>
        </w:rPr>
        <w:t>Study</w:t>
      </w:r>
      <w:r w:rsidR="00A269C7">
        <w:rPr>
          <w:rFonts w:ascii="Times New Roman" w:hAnsi="Times New Roman"/>
          <w:sz w:val="24"/>
          <w:szCs w:val="24"/>
          <w:lang w:val="es-ES"/>
        </w:rPr>
        <w:t xml:space="preserve">. </w:t>
      </w:r>
      <w:r w:rsidR="00A269C7">
        <w:rPr>
          <w:rFonts w:ascii="Times New Roman" w:hAnsi="Times New Roman"/>
          <w:i/>
          <w:sz w:val="24"/>
          <w:szCs w:val="24"/>
          <w:lang w:val="es-ES"/>
        </w:rPr>
        <w:t>Bio</w:t>
      </w:r>
      <w:r w:rsidR="00A269C7" w:rsidRPr="00A269C7">
        <w:rPr>
          <w:rFonts w:ascii="Times New Roman" w:hAnsi="Times New Roman"/>
          <w:i/>
          <w:sz w:val="24"/>
          <w:szCs w:val="24"/>
          <w:lang w:val="es-ES"/>
        </w:rPr>
        <w:t>l</w:t>
      </w:r>
      <w:r w:rsidR="00A269C7">
        <w:rPr>
          <w:rFonts w:ascii="Times New Roman" w:hAnsi="Times New Roman"/>
          <w:i/>
          <w:sz w:val="24"/>
          <w:szCs w:val="24"/>
          <w:lang w:val="es-ES"/>
        </w:rPr>
        <w:t>.</w:t>
      </w:r>
      <w:r w:rsidR="00A269C7" w:rsidRPr="00A269C7">
        <w:rPr>
          <w:rFonts w:ascii="Times New Roman" w:hAnsi="Times New Roman"/>
          <w:i/>
          <w:sz w:val="24"/>
          <w:szCs w:val="24"/>
          <w:lang w:val="es-ES"/>
        </w:rPr>
        <w:t xml:space="preserve"> Res</w:t>
      </w:r>
      <w:r w:rsidR="00A269C7">
        <w:rPr>
          <w:rFonts w:ascii="Times New Roman" w:hAnsi="Times New Roman"/>
          <w:i/>
          <w:sz w:val="24"/>
          <w:szCs w:val="24"/>
          <w:lang w:val="es-ES"/>
        </w:rPr>
        <w:t>.</w:t>
      </w:r>
      <w:r w:rsidR="00A269C7">
        <w:rPr>
          <w:rFonts w:ascii="Times New Roman" w:hAnsi="Times New Roman"/>
          <w:sz w:val="24"/>
          <w:szCs w:val="24"/>
          <w:lang w:val="es-ES"/>
        </w:rPr>
        <w:t xml:space="preserve"> 37, 253-261.</w:t>
      </w:r>
    </w:p>
    <w:p w:rsidR="00A269C7" w:rsidRPr="00A269C7" w:rsidRDefault="0003564A" w:rsidP="00A269C7">
      <w:pPr>
        <w:autoSpaceDE w:val="0"/>
        <w:autoSpaceDN w:val="0"/>
        <w:adjustRightInd w:val="0"/>
        <w:jc w:val="both"/>
        <w:rPr>
          <w:rFonts w:ascii="Times New Roman" w:hAnsi="Times New Roman"/>
          <w:sz w:val="24"/>
          <w:szCs w:val="24"/>
          <w:lang w:val="en-US" w:eastAsia="pt-PT"/>
        </w:rPr>
      </w:pPr>
      <w:r w:rsidRPr="002013B5">
        <w:rPr>
          <w:rFonts w:ascii="Times New Roman" w:hAnsi="Times New Roman"/>
          <w:sz w:val="24"/>
          <w:szCs w:val="24"/>
          <w:lang w:val="es-ES" w:eastAsia="pt-PT"/>
        </w:rPr>
        <w:t xml:space="preserve">Velez, Z., Guerra, A., Ramos, P., Guerreiro, O., Felicio, L., Schmitt, F., Duarte, M. Biological characterization of Cynara cardunculus L. methanolic extracts: antioxidant and antitumoral activities. </w:t>
      </w:r>
      <w:r w:rsidRPr="0003564A">
        <w:rPr>
          <w:rFonts w:ascii="Times New Roman" w:hAnsi="Times New Roman"/>
          <w:sz w:val="24"/>
          <w:szCs w:val="24"/>
          <w:lang w:val="en-US" w:eastAsia="pt-PT"/>
        </w:rPr>
        <w:t>(</w:t>
      </w:r>
      <w:r>
        <w:rPr>
          <w:rFonts w:ascii="Times New Roman" w:hAnsi="Times New Roman"/>
          <w:sz w:val="24"/>
          <w:szCs w:val="24"/>
          <w:lang w:val="en-US" w:eastAsia="pt-PT"/>
        </w:rPr>
        <w:t>artigo submetido a</w:t>
      </w:r>
      <w:r w:rsidRPr="0003564A">
        <w:rPr>
          <w:rFonts w:ascii="Times New Roman" w:hAnsi="Times New Roman"/>
          <w:sz w:val="24"/>
          <w:szCs w:val="24"/>
          <w:lang w:val="en-US" w:eastAsia="pt-PT"/>
        </w:rPr>
        <w:t xml:space="preserve"> Food Chemistry)</w:t>
      </w:r>
      <w:r w:rsidRPr="0003564A">
        <w:rPr>
          <w:rFonts w:ascii="Times New Roman" w:hAnsi="Times New Roman"/>
          <w:sz w:val="24"/>
          <w:szCs w:val="24"/>
          <w:lang w:val="en-US" w:eastAsia="pt-PT"/>
        </w:rPr>
        <w:br/>
      </w:r>
      <w:r w:rsidRPr="0003564A">
        <w:rPr>
          <w:rFonts w:ascii="Times New Roman" w:hAnsi="Times New Roman"/>
          <w:sz w:val="24"/>
          <w:szCs w:val="24"/>
          <w:lang w:val="en-US" w:eastAsia="pt-PT"/>
        </w:rPr>
        <w:br/>
      </w:r>
      <w:r w:rsidR="00A269C7" w:rsidRPr="00A269C7">
        <w:rPr>
          <w:rFonts w:ascii="Times New Roman" w:hAnsi="Times New Roman"/>
          <w:sz w:val="24"/>
          <w:szCs w:val="24"/>
          <w:lang w:val="en-US" w:eastAsia="pt-PT"/>
        </w:rPr>
        <w:t>Verberne, L.,</w:t>
      </w:r>
      <w:r w:rsidR="00A269C7">
        <w:rPr>
          <w:rFonts w:ascii="Times New Roman" w:hAnsi="Times New Roman"/>
          <w:sz w:val="24"/>
          <w:szCs w:val="24"/>
          <w:lang w:val="en-US" w:eastAsia="pt-PT"/>
        </w:rPr>
        <w:t xml:space="preserve"> </w:t>
      </w:r>
      <w:r w:rsidR="00106DB2">
        <w:rPr>
          <w:rFonts w:ascii="Times New Roman" w:hAnsi="Times New Roman"/>
          <w:sz w:val="24"/>
          <w:szCs w:val="24"/>
          <w:lang w:val="en-US" w:eastAsia="pt-PT"/>
        </w:rPr>
        <w:t xml:space="preserve">Bach-Faig, A., Buckland, G., </w:t>
      </w:r>
      <w:r w:rsidR="00A269C7" w:rsidRPr="00A269C7">
        <w:rPr>
          <w:rFonts w:ascii="Times New Roman" w:hAnsi="Times New Roman"/>
          <w:sz w:val="24"/>
          <w:szCs w:val="24"/>
          <w:lang w:val="en-US" w:eastAsia="pt-PT"/>
        </w:rPr>
        <w:t xml:space="preserve">Serra-Majem, L. (2010). Association Between the Mediterranean Diet and Cancer Risk: A Review of Observational Studies. </w:t>
      </w:r>
      <w:r w:rsidR="00A269C7" w:rsidRPr="00A269C7">
        <w:rPr>
          <w:rFonts w:ascii="Times New Roman" w:hAnsi="Times New Roman"/>
          <w:i/>
          <w:sz w:val="24"/>
          <w:szCs w:val="24"/>
          <w:lang w:val="en-US" w:eastAsia="pt-PT"/>
        </w:rPr>
        <w:t>Nutrition and Cancer</w:t>
      </w:r>
      <w:r w:rsidR="00A269C7" w:rsidRPr="00A269C7">
        <w:rPr>
          <w:rFonts w:ascii="Times New Roman" w:hAnsi="Times New Roman"/>
          <w:sz w:val="24"/>
          <w:szCs w:val="24"/>
          <w:lang w:val="en-US" w:eastAsia="pt-PT"/>
        </w:rPr>
        <w:t>, 62:7, 860-870.</w:t>
      </w:r>
    </w:p>
    <w:p w:rsidR="001B1113" w:rsidRPr="006B1B7A" w:rsidRDefault="001B1113" w:rsidP="001B1113">
      <w:pPr>
        <w:autoSpaceDE w:val="0"/>
        <w:autoSpaceDN w:val="0"/>
        <w:adjustRightInd w:val="0"/>
        <w:spacing w:line="240" w:lineRule="auto"/>
        <w:jc w:val="both"/>
        <w:rPr>
          <w:rFonts w:ascii="Times New Roman" w:hAnsi="Times New Roman"/>
          <w:sz w:val="24"/>
          <w:szCs w:val="24"/>
          <w:lang w:val="en-US" w:eastAsia="pt-PT"/>
        </w:rPr>
      </w:pPr>
      <w:r>
        <w:rPr>
          <w:rFonts w:ascii="Times New Roman" w:hAnsi="Times New Roman"/>
          <w:sz w:val="24"/>
          <w:szCs w:val="24"/>
          <w:lang w:val="en-US" w:eastAsia="pt-PT"/>
        </w:rPr>
        <w:t>Visioli</w:t>
      </w:r>
      <w:r w:rsidRPr="006B1B7A">
        <w:rPr>
          <w:rFonts w:ascii="Times New Roman" w:hAnsi="Times New Roman"/>
          <w:sz w:val="24"/>
          <w:szCs w:val="24"/>
          <w:lang w:val="en-US" w:eastAsia="pt-PT"/>
        </w:rPr>
        <w:t>,</w:t>
      </w:r>
      <w:r>
        <w:rPr>
          <w:rFonts w:ascii="Times New Roman" w:hAnsi="Times New Roman"/>
          <w:sz w:val="24"/>
          <w:szCs w:val="24"/>
          <w:lang w:val="en-US" w:eastAsia="pt-PT"/>
        </w:rPr>
        <w:t xml:space="preserve"> F., </w:t>
      </w:r>
      <w:r w:rsidRPr="006B1B7A">
        <w:rPr>
          <w:rFonts w:ascii="Times New Roman" w:hAnsi="Times New Roman"/>
          <w:sz w:val="24"/>
          <w:szCs w:val="24"/>
          <w:lang w:val="en-US" w:eastAsia="pt-PT"/>
        </w:rPr>
        <w:t>Bellom</w:t>
      </w:r>
      <w:r>
        <w:rPr>
          <w:rFonts w:ascii="Times New Roman" w:hAnsi="Times New Roman"/>
          <w:sz w:val="24"/>
          <w:szCs w:val="24"/>
          <w:lang w:val="en-US" w:eastAsia="pt-PT"/>
        </w:rPr>
        <w:t>o</w:t>
      </w:r>
      <w:r w:rsidRPr="006B1B7A">
        <w:rPr>
          <w:rFonts w:ascii="Times New Roman" w:hAnsi="Times New Roman"/>
          <w:sz w:val="24"/>
          <w:szCs w:val="24"/>
          <w:lang w:val="en-US" w:eastAsia="pt-PT"/>
        </w:rPr>
        <w:t>,</w:t>
      </w:r>
      <w:r>
        <w:rPr>
          <w:rFonts w:ascii="Times New Roman" w:hAnsi="Times New Roman"/>
          <w:sz w:val="24"/>
          <w:szCs w:val="24"/>
          <w:lang w:val="en-US" w:eastAsia="pt-PT"/>
        </w:rPr>
        <w:t xml:space="preserve"> G., </w:t>
      </w:r>
      <w:r w:rsidRPr="006B1B7A">
        <w:rPr>
          <w:rFonts w:ascii="Times New Roman" w:hAnsi="Times New Roman"/>
          <w:sz w:val="24"/>
          <w:szCs w:val="24"/>
          <w:lang w:val="en-US" w:eastAsia="pt-PT"/>
        </w:rPr>
        <w:t xml:space="preserve">Montedoroc, </w:t>
      </w:r>
      <w:r>
        <w:rPr>
          <w:rFonts w:ascii="Times New Roman" w:hAnsi="Times New Roman"/>
          <w:sz w:val="24"/>
          <w:szCs w:val="24"/>
          <w:lang w:val="en-US" w:eastAsia="pt-PT"/>
        </w:rPr>
        <w:t>G., Galli, C.</w:t>
      </w:r>
      <w:r w:rsidRPr="006B1B7A">
        <w:rPr>
          <w:rFonts w:ascii="Times New Roman" w:hAnsi="Times New Roman"/>
          <w:sz w:val="24"/>
          <w:szCs w:val="24"/>
          <w:lang w:val="en-US" w:eastAsia="pt-PT"/>
        </w:rPr>
        <w:t xml:space="preserve"> (1995)</w:t>
      </w:r>
      <w:r>
        <w:rPr>
          <w:rFonts w:ascii="Times New Roman" w:hAnsi="Times New Roman"/>
          <w:sz w:val="24"/>
          <w:szCs w:val="24"/>
          <w:lang w:val="en-US" w:eastAsia="pt-PT"/>
        </w:rPr>
        <w:t xml:space="preserve">. </w:t>
      </w:r>
      <w:r w:rsidRPr="006B1B7A">
        <w:rPr>
          <w:rFonts w:ascii="Times New Roman" w:hAnsi="Times New Roman"/>
          <w:sz w:val="24"/>
          <w:szCs w:val="24"/>
          <w:lang w:val="en-US" w:eastAsia="pt-PT"/>
        </w:rPr>
        <w:t>Low density lipoprotein oxi</w:t>
      </w:r>
      <w:r>
        <w:rPr>
          <w:rFonts w:ascii="Times New Roman" w:hAnsi="Times New Roman"/>
          <w:sz w:val="24"/>
          <w:szCs w:val="24"/>
          <w:lang w:val="en-US" w:eastAsia="pt-PT"/>
        </w:rPr>
        <w:t xml:space="preserve">dation is inhibited in vitro by </w:t>
      </w:r>
      <w:r w:rsidRPr="006B1B7A">
        <w:rPr>
          <w:rFonts w:ascii="Times New Roman" w:hAnsi="Times New Roman"/>
          <w:sz w:val="24"/>
          <w:szCs w:val="24"/>
          <w:lang w:val="en-US" w:eastAsia="pt-PT"/>
        </w:rPr>
        <w:t>olive oil constituents</w:t>
      </w:r>
      <w:r>
        <w:rPr>
          <w:rFonts w:ascii="Times New Roman" w:hAnsi="Times New Roman"/>
          <w:sz w:val="24"/>
          <w:szCs w:val="24"/>
          <w:lang w:val="en-US" w:eastAsia="pt-PT"/>
        </w:rPr>
        <w:t>.</w:t>
      </w:r>
      <w:r w:rsidRPr="006B1B7A">
        <w:rPr>
          <w:rFonts w:ascii="Times New Roman" w:hAnsi="Times New Roman"/>
          <w:sz w:val="24"/>
          <w:szCs w:val="24"/>
          <w:lang w:val="en-US" w:eastAsia="pt-PT"/>
        </w:rPr>
        <w:t xml:space="preserve"> </w:t>
      </w:r>
      <w:r w:rsidRPr="00D65C4B">
        <w:rPr>
          <w:rFonts w:ascii="Times New Roman" w:hAnsi="Times New Roman"/>
          <w:i/>
          <w:sz w:val="24"/>
          <w:szCs w:val="24"/>
          <w:lang w:val="en-US" w:eastAsia="pt-PT"/>
        </w:rPr>
        <w:t>Atherosclerosis</w:t>
      </w:r>
      <w:r>
        <w:rPr>
          <w:rFonts w:ascii="Times New Roman" w:hAnsi="Times New Roman"/>
          <w:sz w:val="24"/>
          <w:szCs w:val="24"/>
          <w:lang w:val="en-US" w:eastAsia="pt-PT"/>
        </w:rPr>
        <w:t>, 117,</w:t>
      </w:r>
      <w:r w:rsidRPr="006B1B7A">
        <w:rPr>
          <w:rFonts w:ascii="Times New Roman" w:hAnsi="Times New Roman"/>
          <w:sz w:val="24"/>
          <w:szCs w:val="24"/>
          <w:lang w:val="en-US" w:eastAsia="pt-PT"/>
        </w:rPr>
        <w:t xml:space="preserve"> 25-32</w:t>
      </w:r>
      <w:r>
        <w:rPr>
          <w:rFonts w:ascii="Times New Roman" w:hAnsi="Times New Roman"/>
          <w:sz w:val="24"/>
          <w:szCs w:val="24"/>
          <w:lang w:val="en-US" w:eastAsia="pt-PT"/>
        </w:rPr>
        <w:t>.</w:t>
      </w:r>
    </w:p>
    <w:p w:rsidR="004B298D" w:rsidRDefault="004B298D" w:rsidP="004B298D">
      <w:pPr>
        <w:jc w:val="both"/>
        <w:rPr>
          <w:rFonts w:ascii="Times New Roman" w:hAnsi="Times New Roman"/>
          <w:sz w:val="24"/>
          <w:szCs w:val="24"/>
          <w:lang w:val="en-US" w:eastAsia="pt-PT"/>
        </w:rPr>
      </w:pPr>
      <w:r>
        <w:rPr>
          <w:rFonts w:ascii="Times New Roman" w:hAnsi="Times New Roman"/>
          <w:sz w:val="24"/>
          <w:szCs w:val="24"/>
          <w:lang w:val="en-US" w:eastAsia="pt-PT"/>
        </w:rPr>
        <w:t>Waterman, E.,</w:t>
      </w:r>
      <w:r w:rsidRPr="00655A4A">
        <w:rPr>
          <w:rFonts w:ascii="Times New Roman" w:hAnsi="Times New Roman"/>
          <w:sz w:val="24"/>
          <w:szCs w:val="24"/>
          <w:lang w:val="en-US" w:eastAsia="pt-PT"/>
        </w:rPr>
        <w:t xml:space="preserve"> Lockwood, B. (2007). </w:t>
      </w:r>
      <w:r w:rsidRPr="00D16A6B">
        <w:rPr>
          <w:rFonts w:ascii="Times New Roman" w:hAnsi="Times New Roman"/>
          <w:iCs/>
          <w:sz w:val="24"/>
          <w:szCs w:val="24"/>
          <w:lang w:val="en-US" w:eastAsia="pt-PT"/>
        </w:rPr>
        <w:t>Active Components and Clinical Applications of Olive Oil</w:t>
      </w:r>
      <w:r w:rsidRPr="00D16A6B">
        <w:rPr>
          <w:rFonts w:ascii="Times New Roman" w:hAnsi="Times New Roman"/>
          <w:sz w:val="24"/>
          <w:szCs w:val="24"/>
          <w:lang w:val="en-US" w:eastAsia="pt-PT"/>
        </w:rPr>
        <w:t>.</w:t>
      </w:r>
      <w:r w:rsidRPr="00655A4A">
        <w:rPr>
          <w:rFonts w:ascii="Times New Roman" w:hAnsi="Times New Roman"/>
          <w:sz w:val="24"/>
          <w:szCs w:val="24"/>
          <w:lang w:val="en-US" w:eastAsia="pt-PT"/>
        </w:rPr>
        <w:t xml:space="preserve"> </w:t>
      </w:r>
      <w:r w:rsidRPr="00D16A6B">
        <w:rPr>
          <w:rFonts w:ascii="Times New Roman" w:hAnsi="Times New Roman"/>
          <w:i/>
          <w:sz w:val="24"/>
          <w:szCs w:val="24"/>
          <w:lang w:val="en-US" w:eastAsia="pt-PT"/>
        </w:rPr>
        <w:t>Alternative Medicine Review</w:t>
      </w:r>
      <w:r>
        <w:rPr>
          <w:rFonts w:ascii="Times New Roman" w:hAnsi="Times New Roman"/>
          <w:sz w:val="24"/>
          <w:szCs w:val="24"/>
          <w:lang w:val="en-US" w:eastAsia="pt-PT"/>
        </w:rPr>
        <w:t>, Vol.</w:t>
      </w:r>
      <w:r w:rsidRPr="00655A4A">
        <w:rPr>
          <w:rFonts w:ascii="Times New Roman" w:hAnsi="Times New Roman"/>
          <w:sz w:val="24"/>
          <w:szCs w:val="24"/>
          <w:lang w:val="en-US" w:eastAsia="pt-PT"/>
        </w:rPr>
        <w:t>12, 4.</w:t>
      </w:r>
    </w:p>
    <w:p w:rsidR="00D92998" w:rsidRPr="00402E7C" w:rsidRDefault="00D92998" w:rsidP="00133165">
      <w:pPr>
        <w:autoSpaceDE w:val="0"/>
        <w:autoSpaceDN w:val="0"/>
        <w:adjustRightInd w:val="0"/>
        <w:spacing w:after="0" w:line="240" w:lineRule="auto"/>
        <w:jc w:val="both"/>
        <w:rPr>
          <w:rFonts w:ascii="Times New Roman" w:hAnsi="Times New Roman"/>
          <w:sz w:val="24"/>
          <w:szCs w:val="24"/>
          <w:lang w:val="en-US" w:eastAsia="pt-PT"/>
        </w:rPr>
      </w:pPr>
      <w:r w:rsidRPr="00402E7C">
        <w:rPr>
          <w:rFonts w:ascii="Times New Roman" w:hAnsi="Times New Roman"/>
          <w:sz w:val="24"/>
          <w:szCs w:val="24"/>
          <w:lang w:val="en-US" w:eastAsia="pt-PT"/>
        </w:rPr>
        <w:t xml:space="preserve">Willcox, </w:t>
      </w:r>
      <w:r>
        <w:rPr>
          <w:rFonts w:ascii="Times New Roman" w:hAnsi="Times New Roman"/>
          <w:sz w:val="24"/>
          <w:szCs w:val="24"/>
          <w:lang w:val="en-US" w:eastAsia="pt-PT"/>
        </w:rPr>
        <w:t xml:space="preserve">J. K., </w:t>
      </w:r>
      <w:r w:rsidRPr="00402E7C">
        <w:rPr>
          <w:rFonts w:ascii="Times New Roman" w:hAnsi="Times New Roman"/>
          <w:sz w:val="24"/>
          <w:szCs w:val="24"/>
          <w:lang w:val="en-US" w:eastAsia="pt-PT"/>
        </w:rPr>
        <w:t>Ash</w:t>
      </w:r>
      <w:r>
        <w:rPr>
          <w:rFonts w:ascii="Times New Roman" w:hAnsi="Times New Roman"/>
          <w:sz w:val="24"/>
          <w:szCs w:val="24"/>
          <w:lang w:val="en-US" w:eastAsia="pt-PT"/>
        </w:rPr>
        <w:t xml:space="preserve">, S. L., </w:t>
      </w:r>
      <w:r w:rsidRPr="00402E7C">
        <w:rPr>
          <w:rFonts w:ascii="Times New Roman" w:hAnsi="Times New Roman"/>
          <w:sz w:val="24"/>
          <w:szCs w:val="24"/>
          <w:lang w:val="en-US" w:eastAsia="pt-PT"/>
        </w:rPr>
        <w:t>Catignani</w:t>
      </w:r>
      <w:r>
        <w:rPr>
          <w:rFonts w:ascii="Times New Roman" w:hAnsi="Times New Roman"/>
          <w:sz w:val="24"/>
          <w:szCs w:val="24"/>
          <w:lang w:val="en-US" w:eastAsia="pt-PT"/>
        </w:rPr>
        <w:t>, G. L. (2004).</w:t>
      </w:r>
      <w:r w:rsidRPr="00402E7C">
        <w:rPr>
          <w:rFonts w:ascii="Times New Roman" w:hAnsi="Times New Roman"/>
          <w:sz w:val="24"/>
          <w:szCs w:val="24"/>
          <w:lang w:val="en-US" w:eastAsia="pt-PT"/>
        </w:rPr>
        <w:t xml:space="preserve"> Antioxidants and Prevention of Chronic</w:t>
      </w:r>
      <w:r>
        <w:rPr>
          <w:rFonts w:ascii="Times New Roman" w:hAnsi="Times New Roman"/>
          <w:sz w:val="24"/>
          <w:szCs w:val="24"/>
          <w:lang w:val="en-US" w:eastAsia="pt-PT"/>
        </w:rPr>
        <w:t xml:space="preserve"> Disease. </w:t>
      </w:r>
      <w:r w:rsidRPr="007443DE">
        <w:rPr>
          <w:rFonts w:ascii="Times New Roman" w:hAnsi="Times New Roman"/>
          <w:i/>
          <w:sz w:val="24"/>
          <w:szCs w:val="24"/>
          <w:lang w:val="en-US" w:eastAsia="pt-PT"/>
        </w:rPr>
        <w:t>Food Science and Nutrition</w:t>
      </w:r>
      <w:r w:rsidRPr="00402E7C">
        <w:rPr>
          <w:rFonts w:ascii="Times New Roman" w:hAnsi="Times New Roman"/>
          <w:sz w:val="24"/>
          <w:szCs w:val="24"/>
          <w:lang w:val="en-US" w:eastAsia="pt-PT"/>
        </w:rPr>
        <w:t>, 44:4, 275-295</w:t>
      </w:r>
      <w:r>
        <w:rPr>
          <w:rFonts w:ascii="Times New Roman" w:hAnsi="Times New Roman"/>
          <w:sz w:val="24"/>
          <w:szCs w:val="24"/>
          <w:lang w:val="en-US" w:eastAsia="pt-PT"/>
        </w:rPr>
        <w:t>.</w:t>
      </w:r>
    </w:p>
    <w:p w:rsidR="00661A33" w:rsidRPr="00661A33" w:rsidRDefault="00E416D3" w:rsidP="00661A33">
      <w:pPr>
        <w:spacing w:before="240"/>
        <w:jc w:val="both"/>
        <w:rPr>
          <w:rFonts w:ascii="Times New Roman" w:hAnsi="Times New Roman"/>
          <w:sz w:val="24"/>
          <w:szCs w:val="24"/>
          <w:lang w:eastAsia="pt-PT"/>
        </w:rPr>
      </w:pPr>
      <w:r w:rsidRPr="00E416D3">
        <w:rPr>
          <w:rFonts w:ascii="Times New Roman" w:hAnsi="Times New Roman"/>
          <w:sz w:val="24"/>
          <w:szCs w:val="24"/>
          <w:lang w:val="en-US" w:eastAsia="pt-PT"/>
        </w:rPr>
        <w:t>Willett</w:t>
      </w:r>
      <w:r>
        <w:rPr>
          <w:rFonts w:ascii="Times New Roman" w:hAnsi="Times New Roman"/>
          <w:sz w:val="24"/>
          <w:szCs w:val="24"/>
          <w:lang w:val="en-US" w:eastAsia="pt-PT"/>
        </w:rPr>
        <w:t xml:space="preserve">, W. C. (2010). </w:t>
      </w:r>
      <w:r w:rsidRPr="00E416D3">
        <w:rPr>
          <w:rFonts w:ascii="Times New Roman" w:hAnsi="Times New Roman"/>
          <w:sz w:val="24"/>
          <w:szCs w:val="24"/>
          <w:lang w:val="en-US" w:eastAsia="pt-PT"/>
        </w:rPr>
        <w:t>Fruits, Vegetables, and Cancer Prevention: Turmoil in the Produce Section</w:t>
      </w:r>
      <w:r>
        <w:rPr>
          <w:rFonts w:ascii="Times New Roman" w:hAnsi="Times New Roman"/>
          <w:sz w:val="24"/>
          <w:szCs w:val="24"/>
          <w:lang w:val="en-US" w:eastAsia="pt-PT"/>
        </w:rPr>
        <w:t xml:space="preserve">. </w:t>
      </w:r>
      <w:r w:rsidRPr="002013B5">
        <w:rPr>
          <w:rFonts w:ascii="Times New Roman" w:hAnsi="Times New Roman"/>
          <w:i/>
          <w:sz w:val="24"/>
          <w:szCs w:val="24"/>
          <w:lang w:eastAsia="pt-PT"/>
        </w:rPr>
        <w:t>JNCI</w:t>
      </w:r>
      <w:r w:rsidRPr="002013B5">
        <w:rPr>
          <w:rFonts w:ascii="Times New Roman" w:hAnsi="Times New Roman"/>
          <w:sz w:val="24"/>
          <w:szCs w:val="24"/>
          <w:lang w:eastAsia="pt-PT"/>
        </w:rPr>
        <w:t>, Vol. 102, Issue 8.</w:t>
      </w:r>
    </w:p>
    <w:p w:rsidR="00661A33" w:rsidRPr="00165FE3" w:rsidRDefault="00661A33" w:rsidP="00AB44A0">
      <w:pPr>
        <w:jc w:val="both"/>
        <w:rPr>
          <w:rFonts w:ascii="Times New Roman" w:hAnsi="Times New Roman"/>
          <w:sz w:val="24"/>
          <w:szCs w:val="24"/>
          <w:lang w:eastAsia="pt-PT"/>
        </w:rPr>
      </w:pPr>
    </w:p>
    <w:p w:rsidR="00133165" w:rsidRPr="00165FE3" w:rsidRDefault="00133165" w:rsidP="00AB44A0">
      <w:pPr>
        <w:jc w:val="both"/>
        <w:rPr>
          <w:rFonts w:ascii="Times New Roman" w:hAnsi="Times New Roman"/>
          <w:sz w:val="24"/>
          <w:szCs w:val="24"/>
          <w:lang w:eastAsia="pt-PT"/>
        </w:rPr>
      </w:pPr>
    </w:p>
    <w:p w:rsidR="008766E0" w:rsidRPr="00B60B7F" w:rsidRDefault="008766E0" w:rsidP="008766E0">
      <w:pPr>
        <w:pStyle w:val="Default"/>
        <w:rPr>
          <w:b/>
          <w:bCs/>
          <w:szCs w:val="23"/>
        </w:rPr>
      </w:pPr>
      <w:r w:rsidRPr="00B60B7F">
        <w:rPr>
          <w:b/>
          <w:bCs/>
          <w:i/>
          <w:iCs/>
          <w:szCs w:val="23"/>
        </w:rPr>
        <w:lastRenderedPageBreak/>
        <w:t xml:space="preserve">Sites </w:t>
      </w:r>
      <w:r w:rsidRPr="00B60B7F">
        <w:rPr>
          <w:b/>
          <w:bCs/>
          <w:szCs w:val="23"/>
        </w:rPr>
        <w:t xml:space="preserve">consultados </w:t>
      </w:r>
    </w:p>
    <w:p w:rsidR="008766E0" w:rsidRPr="00B60B7F" w:rsidRDefault="008766E0" w:rsidP="008766E0">
      <w:pPr>
        <w:pStyle w:val="Default"/>
        <w:rPr>
          <w:sz w:val="23"/>
          <w:szCs w:val="23"/>
        </w:rPr>
      </w:pPr>
    </w:p>
    <w:p w:rsidR="00584697" w:rsidRPr="001E4CFA" w:rsidRDefault="00584697" w:rsidP="00584697">
      <w:pPr>
        <w:jc w:val="both"/>
        <w:rPr>
          <w:rFonts w:ascii="Times New Roman" w:hAnsi="Times New Roman"/>
          <w:sz w:val="32"/>
          <w:szCs w:val="24"/>
        </w:rPr>
      </w:pPr>
      <w:r w:rsidRPr="00794DB0">
        <w:rPr>
          <w:rFonts w:ascii="Times New Roman" w:hAnsi="Times New Roman"/>
          <w:i/>
          <w:sz w:val="24"/>
        </w:rPr>
        <w:t>Estrutura química de um fenol simples</w:t>
      </w:r>
      <w:r w:rsidRPr="001E4CFA">
        <w:rPr>
          <w:rFonts w:ascii="Times New Roman" w:hAnsi="Times New Roman"/>
          <w:sz w:val="24"/>
        </w:rPr>
        <w:t xml:space="preserve">. Acedido a 1 de Outubro de 2011, em </w:t>
      </w:r>
      <w:r>
        <w:rPr>
          <w:rFonts w:ascii="Times New Roman" w:hAnsi="Times New Roman"/>
          <w:sz w:val="24"/>
        </w:rPr>
        <w:t>http://chemistry.about.com.</w:t>
      </w:r>
    </w:p>
    <w:p w:rsidR="00584697" w:rsidRPr="00C62250" w:rsidRDefault="00584697" w:rsidP="00584697">
      <w:pPr>
        <w:autoSpaceDE w:val="0"/>
        <w:autoSpaceDN w:val="0"/>
        <w:adjustRightInd w:val="0"/>
        <w:jc w:val="both"/>
        <w:rPr>
          <w:rFonts w:ascii="Times New Roman" w:hAnsi="Times New Roman"/>
          <w:color w:val="231F20"/>
          <w:sz w:val="24"/>
          <w:szCs w:val="24"/>
          <w:lang w:eastAsia="pt-PT"/>
        </w:rPr>
      </w:pPr>
      <w:r w:rsidRPr="00794DB0">
        <w:rPr>
          <w:rFonts w:ascii="Times New Roman" w:hAnsi="Times New Roman"/>
          <w:i/>
          <w:color w:val="231F20"/>
          <w:sz w:val="24"/>
          <w:szCs w:val="24"/>
          <w:lang w:val="en-US" w:eastAsia="pt-PT"/>
        </w:rPr>
        <w:t>European Commission Directorate-General for Agriculture fact sheet (June 2002)</w:t>
      </w:r>
      <w:r w:rsidRPr="00794DB0">
        <w:rPr>
          <w:rFonts w:ascii="Times New Roman" w:hAnsi="Times New Roman"/>
          <w:bCs/>
          <w:i/>
          <w:color w:val="231F20"/>
          <w:sz w:val="24"/>
          <w:szCs w:val="24"/>
          <w:lang w:val="en-US" w:eastAsia="pt-PT"/>
        </w:rPr>
        <w:t xml:space="preserve"> “The olive oil sector in the European Union”</w:t>
      </w:r>
      <w:r w:rsidRPr="00794DB0">
        <w:rPr>
          <w:rFonts w:ascii="Times New Roman" w:hAnsi="Times New Roman"/>
          <w:i/>
          <w:color w:val="231F20"/>
          <w:sz w:val="24"/>
          <w:szCs w:val="24"/>
          <w:lang w:val="en-US" w:eastAsia="pt-PT"/>
        </w:rPr>
        <w:t>.</w:t>
      </w:r>
      <w:r>
        <w:rPr>
          <w:rFonts w:ascii="Times New Roman" w:hAnsi="Times New Roman"/>
          <w:color w:val="231F20"/>
          <w:sz w:val="24"/>
          <w:szCs w:val="24"/>
          <w:lang w:val="en-US" w:eastAsia="pt-PT"/>
        </w:rPr>
        <w:t xml:space="preserve"> </w:t>
      </w:r>
      <w:r w:rsidRPr="00C62250">
        <w:rPr>
          <w:rFonts w:ascii="Times New Roman" w:hAnsi="Times New Roman"/>
          <w:color w:val="231F20"/>
          <w:sz w:val="24"/>
          <w:szCs w:val="24"/>
          <w:lang w:eastAsia="pt-PT"/>
        </w:rPr>
        <w:t xml:space="preserve">Acedido a 5 de Setembro de 2011, em </w:t>
      </w:r>
      <w:r w:rsidRPr="00C62250">
        <w:t>http://ec.europa.eu/agriculture/publi/fact/oliveoil/2003_en.pdf</w:t>
      </w:r>
      <w:r>
        <w:t>.</w:t>
      </w:r>
    </w:p>
    <w:p w:rsidR="00584697" w:rsidRPr="00584697" w:rsidRDefault="00584697" w:rsidP="00584697">
      <w:pPr>
        <w:jc w:val="both"/>
        <w:rPr>
          <w:rFonts w:ascii="Times New Roman" w:hAnsi="Times New Roman"/>
          <w:color w:val="231F20"/>
          <w:sz w:val="24"/>
          <w:szCs w:val="24"/>
          <w:lang w:eastAsia="pt-PT"/>
        </w:rPr>
      </w:pPr>
      <w:r w:rsidRPr="00D16A6B">
        <w:rPr>
          <w:rFonts w:ascii="Times New Roman" w:hAnsi="Times New Roman"/>
          <w:i/>
          <w:color w:val="231F20"/>
          <w:sz w:val="24"/>
          <w:szCs w:val="24"/>
          <w:lang w:eastAsia="pt-PT"/>
        </w:rPr>
        <w:t>GLOBOCAN 2008</w:t>
      </w:r>
      <w:r w:rsidRPr="00D16A6B">
        <w:rPr>
          <w:rFonts w:ascii="Times New Roman" w:hAnsi="Times New Roman"/>
          <w:color w:val="231F20"/>
          <w:sz w:val="24"/>
          <w:szCs w:val="24"/>
          <w:lang w:eastAsia="pt-PT"/>
        </w:rPr>
        <w:t xml:space="preserve"> </w:t>
      </w:r>
      <w:r w:rsidRPr="00D16A6B">
        <w:rPr>
          <w:rFonts w:ascii="Times New Roman" w:hAnsi="Times New Roman"/>
          <w:i/>
          <w:color w:val="231F20"/>
          <w:sz w:val="24"/>
          <w:szCs w:val="24"/>
          <w:lang w:eastAsia="pt-PT"/>
        </w:rPr>
        <w:t>database</w:t>
      </w:r>
      <w:r w:rsidRPr="00D16A6B">
        <w:rPr>
          <w:rFonts w:ascii="Times New Roman" w:hAnsi="Times New Roman"/>
          <w:color w:val="231F20"/>
          <w:sz w:val="24"/>
          <w:szCs w:val="24"/>
          <w:lang w:eastAsia="pt-PT"/>
        </w:rPr>
        <w:t>. Acedid</w:t>
      </w:r>
      <w:r>
        <w:rPr>
          <w:rFonts w:ascii="Times New Roman" w:hAnsi="Times New Roman"/>
          <w:color w:val="231F20"/>
          <w:sz w:val="24"/>
          <w:szCs w:val="24"/>
          <w:lang w:eastAsia="pt-PT"/>
        </w:rPr>
        <w:t>o a 3 de Setembro de 2011, em</w:t>
      </w:r>
      <w:r w:rsidRPr="00D16A6B">
        <w:rPr>
          <w:rFonts w:ascii="Times New Roman" w:hAnsi="Times New Roman"/>
          <w:color w:val="231F20"/>
          <w:sz w:val="24"/>
          <w:szCs w:val="24"/>
          <w:lang w:eastAsia="pt-PT"/>
        </w:rPr>
        <w:t xml:space="preserve"> </w:t>
      </w:r>
      <w:r w:rsidRPr="0050060E">
        <w:rPr>
          <w:rFonts w:ascii="Times New Roman" w:hAnsi="Times New Roman"/>
          <w:sz w:val="24"/>
          <w:szCs w:val="24"/>
          <w:lang w:eastAsia="pt-PT"/>
        </w:rPr>
        <w:t>http://www.dep.iarc.fr</w:t>
      </w:r>
      <w:r w:rsidRPr="00D16A6B">
        <w:rPr>
          <w:rFonts w:ascii="Times New Roman" w:hAnsi="Times New Roman"/>
          <w:color w:val="231F20"/>
          <w:sz w:val="24"/>
          <w:szCs w:val="24"/>
          <w:lang w:eastAsia="pt-PT"/>
        </w:rPr>
        <w:t>.</w:t>
      </w:r>
    </w:p>
    <w:p w:rsidR="00584697" w:rsidRPr="00BF57D0" w:rsidRDefault="00584697" w:rsidP="00584697">
      <w:pPr>
        <w:jc w:val="both"/>
        <w:rPr>
          <w:rFonts w:ascii="Times New Roman" w:hAnsi="Times New Roman"/>
          <w:sz w:val="24"/>
          <w:szCs w:val="24"/>
        </w:rPr>
      </w:pPr>
      <w:r w:rsidRPr="00794DB0">
        <w:rPr>
          <w:rFonts w:ascii="Times New Roman" w:hAnsi="Times New Roman"/>
          <w:i/>
          <w:sz w:val="24"/>
          <w:szCs w:val="24"/>
        </w:rPr>
        <w:t>Ministério da Agricultura, do Desenvolvimento Rural e das Pescas (MADRP) (Fevereiro 2007), Olivicultura, Diagnóstico Sectorial.</w:t>
      </w:r>
      <w:r>
        <w:rPr>
          <w:rFonts w:ascii="Times New Roman" w:hAnsi="Times New Roman"/>
          <w:sz w:val="24"/>
          <w:szCs w:val="24"/>
        </w:rPr>
        <w:t xml:space="preserve"> Acedido a 10 de Setembro de 2011, em </w:t>
      </w:r>
      <w:r w:rsidRPr="00650FC9">
        <w:t>http://www.gppaa.min-agricult</w:t>
      </w:r>
      <w:r>
        <w:t>ura.pt/pbl/diagnosticos/Azeite__</w:t>
      </w:r>
      <w:r w:rsidRPr="00650FC9">
        <w:t>Diagnostico_Sectorial.pdf</w:t>
      </w:r>
      <w:r>
        <w:t>.</w:t>
      </w:r>
    </w:p>
    <w:p w:rsidR="00175642" w:rsidRDefault="00794DB0" w:rsidP="00AB44A0">
      <w:pPr>
        <w:jc w:val="both"/>
        <w:rPr>
          <w:rFonts w:ascii="Times New Roman" w:hAnsi="Times New Roman"/>
          <w:color w:val="231F20"/>
          <w:sz w:val="24"/>
          <w:szCs w:val="24"/>
          <w:lang w:eastAsia="pt-PT"/>
        </w:rPr>
      </w:pPr>
      <w:r w:rsidRPr="00794DB0">
        <w:rPr>
          <w:rFonts w:ascii="Times New Roman" w:hAnsi="Times New Roman"/>
          <w:i/>
          <w:color w:val="231F20"/>
          <w:sz w:val="24"/>
          <w:szCs w:val="24"/>
          <w:lang w:val="en-US" w:eastAsia="pt-PT"/>
        </w:rPr>
        <w:t>C</w:t>
      </w:r>
      <w:r w:rsidR="008766E0" w:rsidRPr="00794DB0">
        <w:rPr>
          <w:rFonts w:ascii="Times New Roman" w:hAnsi="Times New Roman"/>
          <w:i/>
          <w:color w:val="231F20"/>
          <w:sz w:val="24"/>
          <w:szCs w:val="24"/>
          <w:lang w:val="en-US" w:eastAsia="pt-PT"/>
        </w:rPr>
        <w:t>ross-flow</w:t>
      </w:r>
      <w:r w:rsidRPr="00794DB0">
        <w:rPr>
          <w:rFonts w:ascii="Times New Roman" w:hAnsi="Times New Roman"/>
          <w:i/>
          <w:color w:val="231F20"/>
          <w:sz w:val="24"/>
          <w:szCs w:val="24"/>
          <w:lang w:val="en-US" w:eastAsia="pt-PT"/>
        </w:rPr>
        <w:t xml:space="preserve"> filtration, U. S. </w:t>
      </w:r>
      <w:r>
        <w:rPr>
          <w:rFonts w:ascii="Times New Roman" w:hAnsi="Times New Roman"/>
          <w:i/>
          <w:color w:val="231F20"/>
          <w:sz w:val="24"/>
          <w:szCs w:val="24"/>
          <w:lang w:val="en-US" w:eastAsia="pt-PT"/>
        </w:rPr>
        <w:t xml:space="preserve">Department of Energy, </w:t>
      </w:r>
      <w:r w:rsidRPr="00794DB0">
        <w:rPr>
          <w:rFonts w:ascii="Times New Roman" w:hAnsi="Times New Roman"/>
          <w:i/>
          <w:color w:val="231F20"/>
          <w:sz w:val="24"/>
          <w:szCs w:val="24"/>
          <w:lang w:val="en-US" w:eastAsia="pt-PT"/>
        </w:rPr>
        <w:t>2008</w:t>
      </w:r>
      <w:r w:rsidR="008766E0" w:rsidRPr="00794DB0">
        <w:rPr>
          <w:rFonts w:ascii="Times New Roman" w:hAnsi="Times New Roman"/>
          <w:color w:val="231F20"/>
          <w:sz w:val="24"/>
          <w:szCs w:val="24"/>
          <w:lang w:val="en-US" w:eastAsia="pt-PT"/>
        </w:rPr>
        <w:t xml:space="preserve">. </w:t>
      </w:r>
      <w:r w:rsidR="008766E0" w:rsidRPr="008766E0">
        <w:rPr>
          <w:rFonts w:ascii="Times New Roman" w:hAnsi="Times New Roman"/>
          <w:color w:val="231F20"/>
          <w:sz w:val="24"/>
          <w:szCs w:val="24"/>
          <w:lang w:eastAsia="pt-PT"/>
        </w:rPr>
        <w:t>Acedido a 2 de Setembro de 2011, em</w:t>
      </w:r>
      <w:r>
        <w:rPr>
          <w:rFonts w:ascii="Times New Roman" w:hAnsi="Times New Roman"/>
          <w:color w:val="231F20"/>
          <w:sz w:val="24"/>
          <w:szCs w:val="24"/>
          <w:lang w:eastAsia="pt-PT"/>
        </w:rPr>
        <w:t xml:space="preserve"> </w:t>
      </w:r>
      <w:r w:rsidRPr="00794DB0">
        <w:t>http://www.p2pays.org/ref/13/12823.pdf</w:t>
      </w:r>
      <w:r w:rsidR="008766E0">
        <w:rPr>
          <w:rFonts w:ascii="Times New Roman" w:hAnsi="Times New Roman"/>
          <w:color w:val="231F20"/>
          <w:sz w:val="24"/>
          <w:szCs w:val="24"/>
          <w:lang w:eastAsia="pt-PT"/>
        </w:rPr>
        <w:t xml:space="preserve">, e em </w:t>
      </w:r>
      <w:r w:rsidR="00D16A6B" w:rsidRPr="0050060E">
        <w:rPr>
          <w:rFonts w:ascii="Times New Roman" w:hAnsi="Times New Roman"/>
          <w:sz w:val="24"/>
          <w:szCs w:val="24"/>
          <w:lang w:eastAsia="pt-PT"/>
        </w:rPr>
        <w:t>http://labvirtual.eq.uc.pt</w:t>
      </w:r>
      <w:r w:rsidR="00723392">
        <w:rPr>
          <w:rFonts w:ascii="Times New Roman" w:hAnsi="Times New Roman"/>
          <w:color w:val="231F20"/>
          <w:sz w:val="24"/>
          <w:szCs w:val="24"/>
          <w:lang w:eastAsia="pt-PT"/>
        </w:rPr>
        <w:t>.</w:t>
      </w:r>
    </w:p>
    <w:p w:rsidR="00CA1D9A" w:rsidRDefault="00584697" w:rsidP="001E4CFA">
      <w:pPr>
        <w:jc w:val="both"/>
      </w:pPr>
      <w:r w:rsidRPr="00584697">
        <w:rPr>
          <w:rStyle w:val="apple-style-span"/>
          <w:rFonts w:ascii="Times New Roman" w:hAnsi="Times New Roman"/>
          <w:bCs/>
          <w:i/>
          <w:color w:val="000000"/>
          <w:szCs w:val="16"/>
          <w:bdr w:val="none" w:sz="0" w:space="0" w:color="auto" w:frame="1"/>
        </w:rPr>
        <w:t>Produção de azeite - «Portugal próximo da auto-suficiência»</w:t>
      </w:r>
      <w:r>
        <w:rPr>
          <w:rStyle w:val="apple-style-span"/>
          <w:rFonts w:ascii="Times New Roman" w:hAnsi="Times New Roman"/>
          <w:bCs/>
          <w:i/>
          <w:color w:val="000000"/>
          <w:szCs w:val="16"/>
          <w:bdr w:val="none" w:sz="0" w:space="0" w:color="auto" w:frame="1"/>
        </w:rPr>
        <w:t xml:space="preserve">, </w:t>
      </w:r>
      <w:r w:rsidR="00CA1D9A" w:rsidRPr="00CA1D9A">
        <w:rPr>
          <w:rStyle w:val="apple-style-span"/>
          <w:rFonts w:ascii="Times New Roman" w:hAnsi="Times New Roman"/>
          <w:bCs/>
          <w:i/>
          <w:color w:val="000000"/>
          <w:szCs w:val="16"/>
          <w:bdr w:val="none" w:sz="0" w:space="0" w:color="auto" w:frame="1"/>
        </w:rPr>
        <w:t>dados da</w:t>
      </w:r>
      <w:r w:rsidR="00CA1D9A" w:rsidRPr="00CA1D9A">
        <w:rPr>
          <w:rFonts w:ascii="Times New Roman" w:hAnsi="Times New Roman"/>
          <w:i/>
          <w:sz w:val="36"/>
          <w:szCs w:val="24"/>
        </w:rPr>
        <w:t xml:space="preserve"> </w:t>
      </w:r>
      <w:r w:rsidR="0050060E" w:rsidRPr="0050060E">
        <w:rPr>
          <w:rFonts w:ascii="Times New Roman" w:hAnsi="Times New Roman"/>
          <w:i/>
          <w:sz w:val="24"/>
          <w:szCs w:val="24"/>
        </w:rPr>
        <w:t>Casa do Azeite</w:t>
      </w:r>
      <w:r w:rsidR="0050060E">
        <w:rPr>
          <w:rFonts w:ascii="Times New Roman" w:hAnsi="Times New Roman"/>
          <w:i/>
          <w:sz w:val="24"/>
          <w:szCs w:val="24"/>
        </w:rPr>
        <w:t xml:space="preserve">. </w:t>
      </w:r>
      <w:r w:rsidR="0050060E" w:rsidRPr="00D16A6B">
        <w:rPr>
          <w:rFonts w:ascii="Times New Roman" w:hAnsi="Times New Roman"/>
          <w:color w:val="231F20"/>
          <w:sz w:val="24"/>
          <w:szCs w:val="24"/>
          <w:lang w:eastAsia="pt-PT"/>
        </w:rPr>
        <w:t>Acedid</w:t>
      </w:r>
      <w:r w:rsidR="0050060E">
        <w:rPr>
          <w:rFonts w:ascii="Times New Roman" w:hAnsi="Times New Roman"/>
          <w:color w:val="231F20"/>
          <w:sz w:val="24"/>
          <w:szCs w:val="24"/>
          <w:lang w:eastAsia="pt-PT"/>
        </w:rPr>
        <w:t xml:space="preserve">o a </w:t>
      </w:r>
      <w:r w:rsidR="00CA1D9A">
        <w:rPr>
          <w:rFonts w:ascii="Times New Roman" w:hAnsi="Times New Roman"/>
          <w:color w:val="231F20"/>
          <w:sz w:val="24"/>
          <w:szCs w:val="24"/>
          <w:lang w:eastAsia="pt-PT"/>
        </w:rPr>
        <w:t>21</w:t>
      </w:r>
      <w:r w:rsidR="0050060E">
        <w:rPr>
          <w:rFonts w:ascii="Times New Roman" w:hAnsi="Times New Roman"/>
          <w:color w:val="231F20"/>
          <w:sz w:val="24"/>
          <w:szCs w:val="24"/>
          <w:lang w:eastAsia="pt-PT"/>
        </w:rPr>
        <w:t xml:space="preserve"> de Setembro de 2011, em</w:t>
      </w:r>
      <w:r w:rsidR="0050060E" w:rsidRPr="00D16A6B">
        <w:rPr>
          <w:rFonts w:ascii="Times New Roman" w:hAnsi="Times New Roman"/>
          <w:color w:val="231F20"/>
          <w:sz w:val="24"/>
          <w:szCs w:val="24"/>
          <w:lang w:eastAsia="pt-PT"/>
        </w:rPr>
        <w:t xml:space="preserve"> </w:t>
      </w:r>
      <w:r w:rsidR="00CA1D9A" w:rsidRPr="00CA1D9A">
        <w:t>http://www.cafeportugal.net/pages/noticias_artigo.aspx?id=3461</w:t>
      </w:r>
      <w:r w:rsidR="00CA1D9A">
        <w:t>.</w:t>
      </w:r>
    </w:p>
    <w:p w:rsidR="00C64014" w:rsidRDefault="00C64014"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Default="00CB7210" w:rsidP="00050CE7">
      <w:pPr>
        <w:autoSpaceDE w:val="0"/>
        <w:autoSpaceDN w:val="0"/>
        <w:adjustRightInd w:val="0"/>
        <w:spacing w:after="0"/>
        <w:jc w:val="both"/>
        <w:rPr>
          <w:rFonts w:ascii="Times New Roman" w:hAnsi="Times New Roman"/>
          <w:bCs/>
          <w:color w:val="231F20"/>
          <w:sz w:val="24"/>
          <w:szCs w:val="24"/>
          <w:lang w:eastAsia="pt-PT"/>
        </w:rPr>
      </w:pPr>
    </w:p>
    <w:p w:rsidR="00CB7210" w:rsidRPr="00165FE3" w:rsidRDefault="00CB7210" w:rsidP="00CB7210">
      <w:pPr>
        <w:tabs>
          <w:tab w:val="left" w:pos="1875"/>
        </w:tabs>
        <w:spacing w:after="0"/>
        <w:jc w:val="right"/>
        <w:rPr>
          <w:rFonts w:ascii="Times New Roman" w:hAnsi="Times New Roman"/>
          <w:b/>
          <w:bCs/>
          <w:color w:val="000000"/>
          <w:sz w:val="24"/>
          <w:szCs w:val="28"/>
          <w:lang w:eastAsia="pt-PT"/>
        </w:rPr>
      </w:pPr>
    </w:p>
    <w:p w:rsidR="00CB7210" w:rsidRPr="00165FE3" w:rsidRDefault="00CB7210" w:rsidP="00CB7210">
      <w:pPr>
        <w:tabs>
          <w:tab w:val="left" w:pos="1875"/>
        </w:tabs>
        <w:spacing w:after="0"/>
        <w:jc w:val="right"/>
        <w:rPr>
          <w:rFonts w:ascii="Times New Roman" w:hAnsi="Times New Roman"/>
          <w:b/>
          <w:bCs/>
          <w:color w:val="000000"/>
          <w:sz w:val="24"/>
          <w:szCs w:val="28"/>
          <w:lang w:eastAsia="pt-PT"/>
        </w:rPr>
      </w:pPr>
    </w:p>
    <w:p w:rsidR="00CB7210" w:rsidRPr="00165FE3" w:rsidRDefault="00CB7210" w:rsidP="00CB7210">
      <w:pPr>
        <w:tabs>
          <w:tab w:val="left" w:pos="1875"/>
        </w:tabs>
        <w:spacing w:after="0"/>
        <w:jc w:val="right"/>
        <w:rPr>
          <w:rFonts w:ascii="Times New Roman" w:hAnsi="Times New Roman"/>
          <w:b/>
          <w:bCs/>
          <w:color w:val="000000"/>
          <w:sz w:val="24"/>
          <w:szCs w:val="28"/>
          <w:lang w:eastAsia="pt-PT"/>
        </w:rPr>
      </w:pPr>
    </w:p>
    <w:p w:rsidR="00CB7210" w:rsidRPr="00165FE3" w:rsidRDefault="00CB7210" w:rsidP="00CB7210">
      <w:pPr>
        <w:tabs>
          <w:tab w:val="left" w:pos="1875"/>
        </w:tabs>
        <w:spacing w:after="0"/>
        <w:jc w:val="right"/>
        <w:rPr>
          <w:rFonts w:ascii="Times New Roman" w:hAnsi="Times New Roman"/>
          <w:b/>
          <w:bCs/>
          <w:color w:val="000000"/>
          <w:sz w:val="24"/>
          <w:szCs w:val="28"/>
          <w:lang w:eastAsia="pt-PT"/>
        </w:rPr>
      </w:pPr>
    </w:p>
    <w:p w:rsidR="00CB7210" w:rsidRPr="00165FE3" w:rsidRDefault="00CB7210" w:rsidP="00CB7210">
      <w:pPr>
        <w:tabs>
          <w:tab w:val="left" w:pos="1875"/>
        </w:tabs>
        <w:spacing w:after="0"/>
        <w:jc w:val="right"/>
        <w:rPr>
          <w:rFonts w:ascii="Times New Roman" w:hAnsi="Times New Roman"/>
          <w:b/>
          <w:bCs/>
          <w:color w:val="000000"/>
          <w:sz w:val="24"/>
          <w:szCs w:val="28"/>
          <w:lang w:eastAsia="pt-PT"/>
        </w:rPr>
      </w:pPr>
    </w:p>
    <w:p w:rsidR="00CB7210" w:rsidRPr="00165FE3" w:rsidRDefault="00CB7210" w:rsidP="00CB7210">
      <w:pPr>
        <w:tabs>
          <w:tab w:val="left" w:pos="1875"/>
        </w:tabs>
        <w:spacing w:after="0"/>
        <w:jc w:val="right"/>
        <w:rPr>
          <w:rFonts w:ascii="Times New Roman" w:hAnsi="Times New Roman"/>
          <w:b/>
          <w:bCs/>
          <w:color w:val="000000"/>
          <w:sz w:val="24"/>
          <w:szCs w:val="28"/>
          <w:lang w:eastAsia="pt-PT"/>
        </w:rPr>
      </w:pPr>
    </w:p>
    <w:p w:rsidR="00CB7210" w:rsidRPr="00165FE3" w:rsidRDefault="00CB7210" w:rsidP="00CB7210">
      <w:pPr>
        <w:tabs>
          <w:tab w:val="left" w:pos="1875"/>
        </w:tabs>
        <w:spacing w:after="0"/>
        <w:jc w:val="right"/>
        <w:rPr>
          <w:rFonts w:ascii="Times New Roman" w:hAnsi="Times New Roman"/>
          <w:b/>
          <w:bCs/>
          <w:color w:val="000000"/>
          <w:sz w:val="24"/>
          <w:szCs w:val="28"/>
          <w:lang w:eastAsia="pt-PT"/>
        </w:rPr>
      </w:pPr>
    </w:p>
    <w:p w:rsidR="00CB7210" w:rsidRPr="00165FE3" w:rsidRDefault="00CB7210" w:rsidP="00133165">
      <w:pPr>
        <w:tabs>
          <w:tab w:val="left" w:pos="1875"/>
        </w:tabs>
        <w:spacing w:after="0"/>
        <w:rPr>
          <w:rFonts w:ascii="Times New Roman" w:hAnsi="Times New Roman"/>
          <w:b/>
          <w:bCs/>
          <w:color w:val="000000"/>
          <w:sz w:val="24"/>
          <w:szCs w:val="28"/>
          <w:lang w:eastAsia="pt-PT"/>
        </w:rPr>
      </w:pPr>
    </w:p>
    <w:p w:rsidR="00CB7210" w:rsidRPr="00603945" w:rsidRDefault="00CB7210" w:rsidP="00CB7210">
      <w:pPr>
        <w:tabs>
          <w:tab w:val="left" w:pos="1875"/>
        </w:tabs>
        <w:spacing w:after="0"/>
        <w:jc w:val="right"/>
        <w:rPr>
          <w:rFonts w:ascii="Times New Roman" w:hAnsi="Times New Roman"/>
          <w:b/>
          <w:bCs/>
          <w:color w:val="000000"/>
          <w:sz w:val="32"/>
          <w:szCs w:val="24"/>
          <w:lang w:val="en-US" w:eastAsia="pt-PT"/>
        </w:rPr>
      </w:pPr>
      <w:r w:rsidRPr="00603945">
        <w:rPr>
          <w:rFonts w:ascii="Times New Roman" w:hAnsi="Times New Roman"/>
          <w:b/>
          <w:bCs/>
          <w:color w:val="000000"/>
          <w:sz w:val="32"/>
          <w:szCs w:val="24"/>
          <w:lang w:val="en-US" w:eastAsia="pt-PT"/>
        </w:rPr>
        <w:t xml:space="preserve">VII. </w:t>
      </w:r>
      <w:r>
        <w:rPr>
          <w:rFonts w:ascii="Times New Roman" w:hAnsi="Times New Roman"/>
          <w:b/>
          <w:bCs/>
          <w:color w:val="000000"/>
          <w:sz w:val="32"/>
          <w:szCs w:val="24"/>
          <w:lang w:val="en-US" w:eastAsia="pt-PT"/>
        </w:rPr>
        <w:t xml:space="preserve">  </w:t>
      </w:r>
      <w:r w:rsidRPr="00603945">
        <w:rPr>
          <w:rFonts w:ascii="Times New Roman" w:hAnsi="Times New Roman"/>
          <w:b/>
          <w:bCs/>
          <w:color w:val="000000"/>
          <w:sz w:val="32"/>
          <w:szCs w:val="24"/>
          <w:lang w:val="en-US" w:eastAsia="pt-PT"/>
        </w:rPr>
        <w:t>Anexos</w:t>
      </w: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2A5FBA" w:rsidRDefault="002A5FBA"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Default="00CB7210" w:rsidP="00CB7210">
      <w:pPr>
        <w:tabs>
          <w:tab w:val="left" w:pos="1875"/>
        </w:tabs>
        <w:jc w:val="both"/>
        <w:rPr>
          <w:rFonts w:ascii="Times New Roman" w:hAnsi="Times New Roman"/>
          <w:b/>
          <w:bCs/>
          <w:color w:val="000000"/>
          <w:sz w:val="24"/>
          <w:szCs w:val="24"/>
          <w:lang w:val="en-US" w:eastAsia="pt-PT"/>
        </w:rPr>
      </w:pPr>
    </w:p>
    <w:p w:rsidR="00CB7210" w:rsidRPr="003C2B62" w:rsidRDefault="00CB7210" w:rsidP="00CB7210">
      <w:pPr>
        <w:tabs>
          <w:tab w:val="left" w:pos="1875"/>
        </w:tabs>
        <w:jc w:val="both"/>
        <w:rPr>
          <w:rFonts w:ascii="Times New Roman" w:hAnsi="Times New Roman"/>
          <w:b/>
          <w:bCs/>
          <w:color w:val="000000"/>
          <w:sz w:val="24"/>
          <w:szCs w:val="24"/>
          <w:lang w:val="en-US" w:eastAsia="pt-PT"/>
        </w:rPr>
      </w:pPr>
      <w:r w:rsidRPr="003C2B62">
        <w:rPr>
          <w:rFonts w:ascii="Times New Roman" w:hAnsi="Times New Roman"/>
          <w:b/>
          <w:bCs/>
          <w:color w:val="000000"/>
          <w:sz w:val="24"/>
          <w:szCs w:val="24"/>
          <w:lang w:val="en-US" w:eastAsia="pt-PT"/>
        </w:rPr>
        <w:lastRenderedPageBreak/>
        <w:t>Anexo I</w:t>
      </w:r>
    </w:p>
    <w:p w:rsidR="00CB7210" w:rsidRPr="00C16112" w:rsidRDefault="00CB7210" w:rsidP="00CB7210">
      <w:pPr>
        <w:pStyle w:val="PargrafodaLista"/>
        <w:numPr>
          <w:ilvl w:val="0"/>
          <w:numId w:val="40"/>
        </w:numPr>
        <w:jc w:val="both"/>
        <w:rPr>
          <w:rFonts w:ascii="Palatino-Roman" w:hAnsi="Palatino-Roman" w:cs="Palatino-Roman"/>
          <w:b/>
          <w:i/>
          <w:sz w:val="24"/>
          <w:szCs w:val="24"/>
          <w:lang w:eastAsia="pt-PT"/>
        </w:rPr>
      </w:pPr>
      <w:r w:rsidRPr="00C16112">
        <w:rPr>
          <w:rFonts w:ascii="Times New Roman" w:hAnsi="Times New Roman"/>
          <w:b/>
          <w:sz w:val="24"/>
        </w:rPr>
        <w:t xml:space="preserve">Protocolo seguido no uso do sistema de membranas </w:t>
      </w:r>
      <w:r w:rsidRPr="00C16112">
        <w:rPr>
          <w:rFonts w:ascii="Times New Roman" w:hAnsi="Times New Roman"/>
          <w:b/>
          <w:i/>
          <w:sz w:val="24"/>
          <w:szCs w:val="24"/>
        </w:rPr>
        <w:t>SEPA-CELL CF</w:t>
      </w:r>
      <w:r w:rsidRPr="00C16112">
        <w:rPr>
          <w:rFonts w:ascii="Palatino-Roman" w:hAnsi="Palatino-Roman" w:cs="Palatino-Roman"/>
          <w:b/>
          <w:i/>
          <w:sz w:val="24"/>
          <w:szCs w:val="24"/>
          <w:lang w:eastAsia="pt-PT"/>
        </w:rPr>
        <w:t xml:space="preserve"> cross-flow module</w:t>
      </w:r>
      <w:r w:rsidRPr="00C16112">
        <w:rPr>
          <w:rFonts w:ascii="Times New Roman" w:hAnsi="Times New Roman"/>
          <w:b/>
          <w:i/>
          <w:sz w:val="24"/>
          <w:szCs w:val="24"/>
        </w:rPr>
        <w:t xml:space="preserve"> II system </w:t>
      </w:r>
      <w:r w:rsidRPr="00C16112">
        <w:rPr>
          <w:rFonts w:ascii="Times New Roman" w:hAnsi="Times New Roman"/>
          <w:b/>
          <w:sz w:val="24"/>
          <w:szCs w:val="24"/>
        </w:rPr>
        <w:t>(</w:t>
      </w:r>
      <w:r w:rsidRPr="00C16112">
        <w:rPr>
          <w:rFonts w:ascii="Times New Roman" w:hAnsi="Times New Roman"/>
          <w:b/>
          <w:i/>
          <w:sz w:val="24"/>
          <w:szCs w:val="24"/>
        </w:rPr>
        <w:t>GE Osmonics, USA</w:t>
      </w:r>
      <w:r w:rsidRPr="00C16112">
        <w:rPr>
          <w:rFonts w:ascii="Times New Roman" w:hAnsi="Times New Roman"/>
          <w:b/>
          <w:sz w:val="24"/>
          <w:szCs w:val="24"/>
        </w:rPr>
        <w:t xml:space="preserve">), </w:t>
      </w:r>
      <w:r w:rsidRPr="00C16112">
        <w:rPr>
          <w:rFonts w:ascii="Times New Roman" w:hAnsi="Times New Roman"/>
          <w:b/>
          <w:sz w:val="24"/>
        </w:rPr>
        <w:t>para a aplicação das técnicas de nanofiltração e osmose inversa, na recuperação de compostos fenólicos:</w:t>
      </w:r>
    </w:p>
    <w:p w:rsidR="00CB7210" w:rsidRDefault="00CB7210" w:rsidP="00CB7210">
      <w:pPr>
        <w:pStyle w:val="PargrafodaLista"/>
        <w:jc w:val="both"/>
        <w:rPr>
          <w:rFonts w:ascii="Times New Roman" w:hAnsi="Times New Roman"/>
          <w:b/>
          <w:sz w:val="24"/>
        </w:rPr>
      </w:pPr>
    </w:p>
    <w:p w:rsidR="00CB7210" w:rsidRPr="00C16112" w:rsidRDefault="00CB7210" w:rsidP="00CB7210">
      <w:pPr>
        <w:pStyle w:val="PargrafodaLista"/>
        <w:jc w:val="both"/>
        <w:rPr>
          <w:rFonts w:ascii="Palatino-Roman" w:hAnsi="Palatino-Roman" w:cs="Palatino-Roman"/>
          <w:b/>
          <w:i/>
          <w:sz w:val="24"/>
          <w:szCs w:val="24"/>
          <w:lang w:eastAsia="pt-PT"/>
        </w:rPr>
      </w:pPr>
    </w:p>
    <w:p w:rsidR="00CB7210" w:rsidRPr="00FC38B4" w:rsidRDefault="00CB7210" w:rsidP="00CB7210">
      <w:pPr>
        <w:pStyle w:val="PargrafodaLista"/>
        <w:numPr>
          <w:ilvl w:val="0"/>
          <w:numId w:val="39"/>
        </w:numPr>
        <w:jc w:val="both"/>
        <w:rPr>
          <w:rFonts w:ascii="Times New Roman" w:hAnsi="Times New Roman"/>
          <w:b/>
          <w:sz w:val="24"/>
        </w:rPr>
      </w:pPr>
      <w:r w:rsidRPr="00FC38B4">
        <w:rPr>
          <w:rFonts w:ascii="Times New Roman" w:hAnsi="Times New Roman"/>
          <w:b/>
          <w:sz w:val="24"/>
        </w:rPr>
        <w:t>Montagem</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Garantir que toda a instalação se encontra em boas condições de limpeza;</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Colocar o espaçador de alimentação adequado no canal de alimentação;</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Colocar a membrana nos encaixes da célula;</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Colocar o espaçador de permeado no canal de permeado, e molhá-lo com água para garantir que não cairá;</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Encaixar o topo da célula utilizando os encaixes;</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Colocar a célula no suporte;</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Ligar todas as tubagens: permeado, alimentação e retido, garantindo um bom aperto (utilizar Teflon se necessário para evitar fugas);</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Utilizar a bomba hidráulica manual para apertar a célula no suporte (a pressão do aperto deverá ser superior à pressão a que se pretende operar a célula).</w:t>
      </w:r>
    </w:p>
    <w:p w:rsidR="00CB7210" w:rsidRPr="00FC38B4" w:rsidRDefault="00CB7210" w:rsidP="00CB7210">
      <w:pPr>
        <w:pStyle w:val="PargrafodaLista"/>
        <w:jc w:val="both"/>
        <w:rPr>
          <w:rFonts w:ascii="Times New Roman" w:hAnsi="Times New Roman"/>
          <w:sz w:val="24"/>
        </w:rPr>
      </w:pPr>
    </w:p>
    <w:p w:rsidR="00CB7210" w:rsidRPr="00FC38B4" w:rsidRDefault="00CB7210" w:rsidP="00CB7210">
      <w:pPr>
        <w:pStyle w:val="PargrafodaLista"/>
        <w:numPr>
          <w:ilvl w:val="0"/>
          <w:numId w:val="39"/>
        </w:numPr>
        <w:jc w:val="both"/>
        <w:rPr>
          <w:rFonts w:ascii="Times New Roman" w:hAnsi="Times New Roman"/>
          <w:b/>
          <w:sz w:val="24"/>
        </w:rPr>
      </w:pPr>
      <w:r w:rsidRPr="00FC38B4">
        <w:rPr>
          <w:rFonts w:ascii="Times New Roman" w:hAnsi="Times New Roman"/>
          <w:b/>
          <w:sz w:val="24"/>
        </w:rPr>
        <w:t xml:space="preserve">Arranque </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Verificar que a válvula de retido se encontra aberta;</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xml:space="preserve">- Verificar que todas as tubagens estão direccionadas para os reservatórios correctos; </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Ligar a bomba de alimentação no botão verde do variador de velocidades;</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Aumentar o caudal de recirculação até cerca de metade do caudal desejado, utilizando as setas do variador de velocidades;</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Ajustar a válvula de retido de modo a se obter uma pressão no circuito de alimentação de cerca de 1/10 da pressão desejada;</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Aumentar o caudal de recirculação até ao valor desejado, tendo o cuidado de garantir que a pressão não aumenta bruscamente;</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Ajustar a pressão para o valor desejado.</w:t>
      </w:r>
    </w:p>
    <w:p w:rsidR="00CB7210" w:rsidRPr="00FC38B4" w:rsidRDefault="00CB7210" w:rsidP="00CB7210">
      <w:pPr>
        <w:pStyle w:val="PargrafodaLista"/>
        <w:jc w:val="both"/>
        <w:rPr>
          <w:rFonts w:ascii="Times New Roman" w:hAnsi="Times New Roman"/>
          <w:sz w:val="24"/>
        </w:rPr>
      </w:pPr>
    </w:p>
    <w:p w:rsidR="00CB7210" w:rsidRPr="00FC38B4" w:rsidRDefault="00CB7210" w:rsidP="00CB7210">
      <w:pPr>
        <w:pStyle w:val="PargrafodaLista"/>
        <w:numPr>
          <w:ilvl w:val="0"/>
          <w:numId w:val="39"/>
        </w:numPr>
        <w:jc w:val="both"/>
        <w:rPr>
          <w:rFonts w:ascii="Times New Roman" w:hAnsi="Times New Roman"/>
          <w:b/>
          <w:sz w:val="24"/>
        </w:rPr>
      </w:pPr>
      <w:r w:rsidRPr="00FC38B4">
        <w:rPr>
          <w:rFonts w:ascii="Times New Roman" w:hAnsi="Times New Roman"/>
          <w:b/>
          <w:sz w:val="24"/>
        </w:rPr>
        <w:t xml:space="preserve">Operação </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Utilizar uma balança e um cronómetro para monitorizar o caudal de permeado (medir a temperatura da solução, aplicando a correcção necessária ao cálculo do volume de permeado através da densidade da água);</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Se for necessário alterar a pressão, ter o cuidado de não fazer alterações bruscas.</w:t>
      </w:r>
    </w:p>
    <w:p w:rsidR="00CB7210" w:rsidRPr="00FC38B4" w:rsidRDefault="00CB7210" w:rsidP="00CB7210">
      <w:pPr>
        <w:pStyle w:val="PargrafodaLista"/>
        <w:jc w:val="both"/>
        <w:rPr>
          <w:rFonts w:ascii="Times New Roman" w:hAnsi="Times New Roman"/>
          <w:sz w:val="24"/>
        </w:rPr>
      </w:pPr>
    </w:p>
    <w:p w:rsidR="00CB7210" w:rsidRPr="00FC38B4" w:rsidRDefault="00CB7210" w:rsidP="00CB7210">
      <w:pPr>
        <w:pStyle w:val="PargrafodaLista"/>
        <w:numPr>
          <w:ilvl w:val="0"/>
          <w:numId w:val="39"/>
        </w:numPr>
        <w:jc w:val="both"/>
        <w:rPr>
          <w:rFonts w:ascii="Times New Roman" w:hAnsi="Times New Roman"/>
          <w:b/>
          <w:sz w:val="24"/>
        </w:rPr>
      </w:pPr>
      <w:r w:rsidRPr="00FC38B4">
        <w:rPr>
          <w:rFonts w:ascii="Times New Roman" w:hAnsi="Times New Roman"/>
          <w:b/>
          <w:sz w:val="24"/>
        </w:rPr>
        <w:t xml:space="preserve">Paragem </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Abrir a válvula do retido de forma a despressurizar o circuito de alimentação;</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Reduzir gradualmente o caudal de recirculação e desligar a bomba;</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t>- Substituir a solução de alimentação por água desionizada;</w:t>
      </w:r>
    </w:p>
    <w:p w:rsidR="00CB7210" w:rsidRPr="00FC38B4" w:rsidRDefault="00CB7210" w:rsidP="00CB7210">
      <w:pPr>
        <w:pStyle w:val="PargrafodaLista"/>
        <w:jc w:val="both"/>
        <w:rPr>
          <w:rFonts w:ascii="Times New Roman" w:hAnsi="Times New Roman"/>
          <w:sz w:val="24"/>
        </w:rPr>
      </w:pPr>
      <w:r w:rsidRPr="00FC38B4">
        <w:rPr>
          <w:rFonts w:ascii="Times New Roman" w:hAnsi="Times New Roman"/>
          <w:sz w:val="24"/>
        </w:rPr>
        <w:lastRenderedPageBreak/>
        <w:t>- Direccionar a tubagem do retido para o esgoto ou para um recipiente;</w:t>
      </w:r>
    </w:p>
    <w:p w:rsidR="00CB7210" w:rsidRPr="00330F69" w:rsidRDefault="00CB7210" w:rsidP="00330F69">
      <w:pPr>
        <w:pStyle w:val="PargrafodaLista"/>
        <w:jc w:val="both"/>
        <w:rPr>
          <w:rFonts w:ascii="Times New Roman" w:hAnsi="Times New Roman"/>
          <w:sz w:val="24"/>
        </w:rPr>
      </w:pPr>
      <w:r w:rsidRPr="00FC38B4">
        <w:rPr>
          <w:rFonts w:ascii="Times New Roman" w:hAnsi="Times New Roman"/>
          <w:sz w:val="24"/>
        </w:rPr>
        <w:t>- Ligar a bomba de alimentação, rejeitando todo o retido.</w:t>
      </w:r>
    </w:p>
    <w:tbl>
      <w:tblPr>
        <w:tblW w:w="5000" w:type="pct"/>
        <w:tblCellSpacing w:w="0" w:type="dxa"/>
        <w:tblCellMar>
          <w:left w:w="0" w:type="dxa"/>
          <w:right w:w="0" w:type="dxa"/>
        </w:tblCellMar>
        <w:tblLook w:val="04A0"/>
      </w:tblPr>
      <w:tblGrid>
        <w:gridCol w:w="8504"/>
      </w:tblGrid>
      <w:tr w:rsidR="00CB7210" w:rsidRPr="0066491B" w:rsidTr="00CB7210">
        <w:trPr>
          <w:tblCellSpacing w:w="0" w:type="dxa"/>
        </w:trPr>
        <w:tc>
          <w:tcPr>
            <w:tcW w:w="0" w:type="auto"/>
            <w:shd w:val="clear" w:color="auto" w:fill="FFFFFF"/>
            <w:vAlign w:val="center"/>
            <w:hideMark/>
          </w:tcPr>
          <w:p w:rsidR="00CB7210" w:rsidRPr="0066491B" w:rsidRDefault="00CB7210" w:rsidP="00CB7210">
            <w:pPr>
              <w:spacing w:before="240" w:after="240" w:line="240" w:lineRule="auto"/>
              <w:rPr>
                <w:rFonts w:ascii="Times New Roman" w:hAnsi="Times New Roman"/>
                <w:sz w:val="24"/>
              </w:rPr>
            </w:pPr>
          </w:p>
        </w:tc>
      </w:tr>
    </w:tbl>
    <w:p w:rsidR="00CB7210" w:rsidRPr="0066491B" w:rsidRDefault="00CB7210" w:rsidP="00330F69">
      <w:pPr>
        <w:spacing w:before="240" w:line="240" w:lineRule="auto"/>
        <w:rPr>
          <w:rFonts w:ascii="Times New Roman" w:hAnsi="Times New Roman"/>
          <w:sz w:val="24"/>
          <w:u w:val="single"/>
        </w:rPr>
      </w:pPr>
      <w:r w:rsidRPr="0066491B">
        <w:rPr>
          <w:rFonts w:ascii="Times New Roman" w:hAnsi="Times New Roman"/>
          <w:sz w:val="24"/>
          <w:u w:val="single"/>
        </w:rPr>
        <w:t>Variação da densidade da água com a temperatura:</w:t>
      </w:r>
    </w:p>
    <w:p w:rsidR="00CB7210" w:rsidRDefault="00CB7210" w:rsidP="00CB7210">
      <w:pPr>
        <w:pStyle w:val="Legenda"/>
        <w:keepNext/>
        <w:spacing w:after="0"/>
        <w:rPr>
          <w:rFonts w:ascii="Times New Roman" w:hAnsi="Times New Roman"/>
          <w:b w:val="0"/>
          <w:color w:val="auto"/>
          <w:sz w:val="20"/>
          <w:szCs w:val="20"/>
        </w:rPr>
      </w:pPr>
      <w:r w:rsidRPr="00C16112">
        <w:rPr>
          <w:rFonts w:ascii="Times New Roman" w:hAnsi="Times New Roman"/>
          <w:sz w:val="20"/>
          <w:szCs w:val="20"/>
        </w:rPr>
        <w:t>Tabela I</w:t>
      </w:r>
      <w:r>
        <w:rPr>
          <w:rFonts w:ascii="Times New Roman" w:hAnsi="Times New Roman"/>
          <w:sz w:val="20"/>
          <w:szCs w:val="20"/>
        </w:rPr>
        <w:t>I</w:t>
      </w:r>
      <w:r w:rsidRPr="00C16112">
        <w:rPr>
          <w:rFonts w:ascii="Times New Roman" w:hAnsi="Times New Roman"/>
          <w:sz w:val="20"/>
          <w:szCs w:val="20"/>
        </w:rPr>
        <w:t xml:space="preserve">I – </w:t>
      </w:r>
      <w:r w:rsidRPr="00C16112">
        <w:rPr>
          <w:rFonts w:ascii="Times New Roman" w:hAnsi="Times New Roman"/>
          <w:b w:val="0"/>
          <w:color w:val="auto"/>
          <w:sz w:val="20"/>
          <w:szCs w:val="20"/>
        </w:rPr>
        <w:t xml:space="preserve">Valores de densidade da água </w:t>
      </w:r>
      <w:r w:rsidRPr="0066491B">
        <w:rPr>
          <w:rFonts w:ascii="Times New Roman" w:hAnsi="Times New Roman"/>
          <w:b w:val="0"/>
          <w:color w:val="auto"/>
          <w:sz w:val="20"/>
          <w:szCs w:val="20"/>
        </w:rPr>
        <w:t xml:space="preserve">em </w:t>
      </w:r>
      <w:r w:rsidRPr="00C16112">
        <w:rPr>
          <w:rFonts w:ascii="Times New Roman" w:hAnsi="Times New Roman"/>
          <w:b w:val="0"/>
          <w:color w:val="auto"/>
          <w:sz w:val="20"/>
          <w:szCs w:val="20"/>
        </w:rPr>
        <w:t>gramas por centímetro</w:t>
      </w:r>
      <w:r w:rsidRPr="0066491B">
        <w:rPr>
          <w:rFonts w:ascii="Times New Roman" w:hAnsi="Times New Roman"/>
          <w:b w:val="0"/>
          <w:color w:val="auto"/>
          <w:sz w:val="20"/>
          <w:szCs w:val="20"/>
        </w:rPr>
        <w:t xml:space="preserve"> cúbico, em várias temperaturas em graus Célsius</w:t>
      </w:r>
      <w:r>
        <w:rPr>
          <w:rFonts w:ascii="Times New Roman" w:hAnsi="Times New Roman"/>
          <w:b w:val="0"/>
          <w:color w:val="auto"/>
          <w:sz w:val="20"/>
          <w:szCs w:val="20"/>
        </w:rPr>
        <w:t xml:space="preserve"> (adaptado de Lide, 1990)</w:t>
      </w:r>
      <w:r w:rsidRPr="0066491B">
        <w:rPr>
          <w:rFonts w:ascii="Times New Roman" w:hAnsi="Times New Roman"/>
          <w:b w:val="0"/>
          <w:color w:val="auto"/>
          <w:sz w:val="20"/>
          <w:szCs w:val="20"/>
        </w:rPr>
        <w:t>.</w:t>
      </w:r>
    </w:p>
    <w:p w:rsidR="00CB7210" w:rsidRPr="00F315E7" w:rsidRDefault="00CB7210" w:rsidP="00CB7210">
      <w:pPr>
        <w:spacing w:after="0"/>
      </w:pPr>
    </w:p>
    <w:tbl>
      <w:tblPr>
        <w:tblpPr w:leftFromText="141" w:rightFromText="141" w:vertAnchor="text" w:tblpXSpec="center"/>
        <w:tblOverlap w:val="never"/>
        <w:tblW w:w="0" w:type="auto"/>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1817"/>
        <w:gridCol w:w="1900"/>
      </w:tblGrid>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jc w:val="center"/>
              <w:rPr>
                <w:rFonts w:ascii="Times New Roman" w:hAnsi="Times New Roman"/>
                <w:sz w:val="24"/>
              </w:rPr>
            </w:pPr>
            <w:r w:rsidRPr="0066491B">
              <w:rPr>
                <w:rFonts w:ascii="Times New Roman" w:hAnsi="Times New Roman"/>
                <w:sz w:val="24"/>
              </w:rPr>
              <w:t>Temperatura (°C)</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jc w:val="center"/>
              <w:rPr>
                <w:rFonts w:ascii="Times New Roman" w:hAnsi="Times New Roman"/>
                <w:sz w:val="24"/>
              </w:rPr>
            </w:pPr>
            <w:r w:rsidRPr="0066491B">
              <w:rPr>
                <w:rFonts w:ascii="Times New Roman" w:hAnsi="Times New Roman"/>
                <w:sz w:val="24"/>
              </w:rPr>
              <w:t>Densidade (g/cm³)</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100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0,9584</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80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0,9718</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60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0,9832</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40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0,9922</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0,9956502</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25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0,9970479</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22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0,9977735</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20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0,9982071</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15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0,9991026</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10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0,9997026</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0,9999720</w:t>
            </w:r>
          </w:p>
        </w:tc>
      </w:tr>
      <w:tr w:rsidR="00CB7210" w:rsidRPr="0066491B" w:rsidTr="00CB7210">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7210" w:rsidRPr="0066491B" w:rsidRDefault="00CB7210" w:rsidP="00CB7210">
            <w:pPr>
              <w:spacing w:after="0" w:line="240" w:lineRule="auto"/>
              <w:rPr>
                <w:rFonts w:ascii="Times New Roman" w:hAnsi="Times New Roman"/>
                <w:sz w:val="24"/>
              </w:rPr>
            </w:pPr>
            <w:r w:rsidRPr="0066491B">
              <w:rPr>
                <w:rFonts w:ascii="Times New Roman" w:hAnsi="Times New Roman"/>
                <w:sz w:val="24"/>
              </w:rPr>
              <w:t>0,9998395</w:t>
            </w:r>
          </w:p>
        </w:tc>
      </w:tr>
    </w:tbl>
    <w:p w:rsidR="00CB7210" w:rsidRDefault="00CB7210" w:rsidP="00CB7210">
      <w:pPr>
        <w:spacing w:before="240" w:after="240" w:line="240" w:lineRule="auto"/>
        <w:rPr>
          <w:rFonts w:ascii="Times New Roman" w:hAnsi="Times New Roman"/>
          <w:sz w:val="24"/>
        </w:rPr>
      </w:pPr>
    </w:p>
    <w:p w:rsidR="00CB7210" w:rsidRDefault="00CB7210" w:rsidP="00CB7210">
      <w:pPr>
        <w:spacing w:before="240" w:after="240" w:line="240" w:lineRule="auto"/>
        <w:rPr>
          <w:rFonts w:ascii="Times New Roman" w:hAnsi="Times New Roman"/>
          <w:sz w:val="24"/>
        </w:rPr>
      </w:pPr>
    </w:p>
    <w:p w:rsidR="00CB7210" w:rsidRDefault="00CB7210" w:rsidP="00CB7210">
      <w:pPr>
        <w:spacing w:before="240" w:after="240" w:line="240" w:lineRule="auto"/>
        <w:rPr>
          <w:rFonts w:ascii="Times New Roman" w:hAnsi="Times New Roman"/>
          <w:sz w:val="24"/>
        </w:rPr>
      </w:pPr>
    </w:p>
    <w:p w:rsidR="00CB7210" w:rsidRDefault="00CB7210" w:rsidP="00CB7210">
      <w:pPr>
        <w:spacing w:before="240" w:after="240" w:line="240" w:lineRule="auto"/>
        <w:rPr>
          <w:rFonts w:ascii="Times New Roman" w:hAnsi="Times New Roman"/>
          <w:sz w:val="24"/>
        </w:rPr>
      </w:pPr>
    </w:p>
    <w:p w:rsidR="00CB7210" w:rsidRDefault="00CB7210" w:rsidP="00CB7210">
      <w:pPr>
        <w:spacing w:before="240" w:after="240" w:line="240" w:lineRule="auto"/>
        <w:rPr>
          <w:rFonts w:ascii="Times New Roman" w:hAnsi="Times New Roman"/>
          <w:sz w:val="24"/>
        </w:rPr>
      </w:pPr>
    </w:p>
    <w:p w:rsidR="00CB7210" w:rsidRDefault="00CB7210" w:rsidP="00CB7210">
      <w:pPr>
        <w:spacing w:before="240" w:after="240" w:line="240" w:lineRule="auto"/>
        <w:rPr>
          <w:rFonts w:ascii="Times New Roman" w:hAnsi="Times New Roman"/>
          <w:sz w:val="24"/>
        </w:rPr>
      </w:pPr>
    </w:p>
    <w:p w:rsidR="00CB7210" w:rsidRDefault="00CB7210" w:rsidP="00CB7210">
      <w:pPr>
        <w:spacing w:before="240" w:after="240" w:line="240" w:lineRule="auto"/>
        <w:rPr>
          <w:rFonts w:ascii="Times New Roman" w:hAnsi="Times New Roman"/>
          <w:sz w:val="24"/>
        </w:rPr>
      </w:pPr>
    </w:p>
    <w:p w:rsidR="00CB7210" w:rsidRDefault="00CB7210" w:rsidP="00CB7210">
      <w:pPr>
        <w:spacing w:before="240" w:after="240" w:line="240" w:lineRule="auto"/>
        <w:rPr>
          <w:rFonts w:ascii="Times New Roman" w:hAnsi="Times New Roman"/>
          <w:sz w:val="24"/>
        </w:rPr>
      </w:pPr>
    </w:p>
    <w:p w:rsidR="00CB7210" w:rsidRDefault="00CB7210" w:rsidP="00CB7210">
      <w:pPr>
        <w:spacing w:before="240" w:after="240" w:line="240" w:lineRule="auto"/>
        <w:rPr>
          <w:rFonts w:ascii="Times New Roman" w:hAnsi="Times New Roman"/>
          <w:sz w:val="24"/>
        </w:rPr>
      </w:pPr>
    </w:p>
    <w:p w:rsidR="00330F69" w:rsidRDefault="00330F69" w:rsidP="00CB7210">
      <w:pPr>
        <w:spacing w:before="240" w:after="240" w:line="240" w:lineRule="auto"/>
        <w:rPr>
          <w:rFonts w:ascii="Times New Roman" w:hAnsi="Times New Roman"/>
          <w:sz w:val="24"/>
        </w:rPr>
      </w:pPr>
    </w:p>
    <w:p w:rsidR="00330F69" w:rsidRPr="00383A0A" w:rsidRDefault="00330F69" w:rsidP="00330F69">
      <w:pPr>
        <w:pStyle w:val="Legenda"/>
        <w:jc w:val="both"/>
        <w:rPr>
          <w:rFonts w:ascii="Times New Roman" w:hAnsi="Times New Roman"/>
          <w:b w:val="0"/>
          <w:bCs w:val="0"/>
          <w:color w:val="auto"/>
          <w:sz w:val="28"/>
          <w:szCs w:val="24"/>
          <w:lang w:eastAsia="pt-PT"/>
        </w:rPr>
      </w:pPr>
      <w:r>
        <w:rPr>
          <w:rFonts w:ascii="Times New Roman" w:hAnsi="Times New Roman"/>
          <w:b w:val="0"/>
          <w:color w:val="auto"/>
          <w:sz w:val="20"/>
        </w:rPr>
        <w:t>.</w:t>
      </w:r>
    </w:p>
    <w:p w:rsidR="00330F69" w:rsidRDefault="00330F69" w:rsidP="00330F69">
      <w:pPr>
        <w:spacing w:before="240" w:after="240" w:line="240" w:lineRule="auto"/>
        <w:jc w:val="center"/>
        <w:rPr>
          <w:rFonts w:ascii="Times New Roman" w:hAnsi="Times New Roman"/>
          <w:sz w:val="24"/>
        </w:rPr>
      </w:pPr>
    </w:p>
    <w:p w:rsidR="00330F69" w:rsidRDefault="00330F69" w:rsidP="00330F69">
      <w:pPr>
        <w:spacing w:before="240" w:after="240" w:line="240" w:lineRule="auto"/>
        <w:jc w:val="center"/>
        <w:rPr>
          <w:rFonts w:ascii="Times New Roman" w:hAnsi="Times New Roman"/>
          <w:sz w:val="24"/>
        </w:rPr>
      </w:pPr>
    </w:p>
    <w:p w:rsidR="00330F69" w:rsidRDefault="00330F69" w:rsidP="00330F69">
      <w:pPr>
        <w:spacing w:before="240" w:after="240" w:line="240" w:lineRule="auto"/>
        <w:jc w:val="center"/>
        <w:rPr>
          <w:rFonts w:ascii="Times New Roman" w:hAnsi="Times New Roman"/>
          <w:sz w:val="24"/>
        </w:rPr>
      </w:pPr>
    </w:p>
    <w:p w:rsidR="00A5023D" w:rsidRDefault="00A5023D" w:rsidP="00CB7210">
      <w:pPr>
        <w:spacing w:before="240" w:after="240" w:line="240" w:lineRule="auto"/>
        <w:rPr>
          <w:rFonts w:ascii="Times New Roman" w:hAnsi="Times New Roman"/>
          <w:sz w:val="24"/>
        </w:rPr>
      </w:pPr>
    </w:p>
    <w:p w:rsidR="00A5023D" w:rsidRDefault="00A5023D" w:rsidP="00CB7210">
      <w:pPr>
        <w:spacing w:before="240" w:after="240" w:line="240" w:lineRule="auto"/>
        <w:rPr>
          <w:rFonts w:ascii="Times New Roman" w:hAnsi="Times New Roman"/>
          <w:sz w:val="24"/>
        </w:rPr>
      </w:pPr>
    </w:p>
    <w:p w:rsidR="00A5023D" w:rsidRDefault="00A5023D" w:rsidP="00CB7210">
      <w:pPr>
        <w:spacing w:before="240" w:after="240" w:line="240" w:lineRule="auto"/>
        <w:rPr>
          <w:rFonts w:ascii="Times New Roman" w:hAnsi="Times New Roman"/>
          <w:sz w:val="24"/>
        </w:rPr>
      </w:pPr>
    </w:p>
    <w:p w:rsidR="00A5023D" w:rsidRDefault="00A5023D" w:rsidP="00CB7210">
      <w:pPr>
        <w:spacing w:before="240" w:after="240" w:line="240" w:lineRule="auto"/>
        <w:rPr>
          <w:rFonts w:ascii="Times New Roman" w:hAnsi="Times New Roman"/>
          <w:sz w:val="24"/>
        </w:rPr>
      </w:pPr>
    </w:p>
    <w:p w:rsidR="00A5023D" w:rsidRDefault="00A5023D" w:rsidP="00CB7210">
      <w:pPr>
        <w:spacing w:before="240" w:after="240" w:line="240" w:lineRule="auto"/>
        <w:rPr>
          <w:rFonts w:ascii="Times New Roman" w:hAnsi="Times New Roman"/>
          <w:sz w:val="24"/>
        </w:rPr>
      </w:pPr>
    </w:p>
    <w:p w:rsidR="00A5023D" w:rsidRDefault="00A5023D" w:rsidP="00CB7210">
      <w:pPr>
        <w:spacing w:before="240" w:after="240" w:line="240" w:lineRule="auto"/>
        <w:rPr>
          <w:rFonts w:ascii="Times New Roman" w:hAnsi="Times New Roman"/>
          <w:sz w:val="24"/>
        </w:rPr>
      </w:pPr>
    </w:p>
    <w:p w:rsidR="00A5023D" w:rsidRDefault="00A5023D" w:rsidP="00CB7210">
      <w:pPr>
        <w:spacing w:before="240" w:after="240" w:line="240" w:lineRule="auto"/>
        <w:rPr>
          <w:rFonts w:ascii="Times New Roman" w:hAnsi="Times New Roman"/>
          <w:sz w:val="24"/>
        </w:rPr>
      </w:pPr>
    </w:p>
    <w:p w:rsidR="00CB7210" w:rsidRDefault="00CB7210" w:rsidP="00CB7210">
      <w:pPr>
        <w:tabs>
          <w:tab w:val="left" w:pos="1875"/>
        </w:tabs>
        <w:rPr>
          <w:rFonts w:ascii="Times New Roman" w:hAnsi="Times New Roman"/>
          <w:sz w:val="24"/>
        </w:rPr>
      </w:pPr>
    </w:p>
    <w:p w:rsidR="00A5023D" w:rsidRPr="00C10F21" w:rsidRDefault="00A5023D" w:rsidP="00CB7210">
      <w:pPr>
        <w:tabs>
          <w:tab w:val="left" w:pos="1875"/>
        </w:tabs>
      </w:pPr>
    </w:p>
    <w:p w:rsidR="00CB7210" w:rsidRPr="004F6000" w:rsidRDefault="00CB7210" w:rsidP="00CB7210">
      <w:pPr>
        <w:pStyle w:val="Default"/>
        <w:rPr>
          <w:b/>
          <w:bCs/>
        </w:rPr>
      </w:pPr>
      <w:r w:rsidRPr="004F6000">
        <w:rPr>
          <w:b/>
          <w:bCs/>
        </w:rPr>
        <w:t>Anexo I</w:t>
      </w:r>
      <w:r>
        <w:rPr>
          <w:b/>
          <w:bCs/>
        </w:rPr>
        <w:t>I</w:t>
      </w:r>
    </w:p>
    <w:p w:rsidR="00CB7210" w:rsidRDefault="00CB7210" w:rsidP="00CB7210">
      <w:pPr>
        <w:tabs>
          <w:tab w:val="left" w:pos="851"/>
          <w:tab w:val="left" w:pos="1875"/>
        </w:tabs>
      </w:pPr>
    </w:p>
    <w:p w:rsidR="00CB7210" w:rsidRDefault="00CB7210" w:rsidP="00CB7210">
      <w:pPr>
        <w:pStyle w:val="PargrafodaLista"/>
        <w:numPr>
          <w:ilvl w:val="0"/>
          <w:numId w:val="41"/>
        </w:numPr>
        <w:tabs>
          <w:tab w:val="left" w:pos="284"/>
        </w:tabs>
        <w:ind w:left="851" w:hanging="425"/>
        <w:jc w:val="both"/>
        <w:rPr>
          <w:rFonts w:ascii="Times New Roman" w:hAnsi="Times New Roman"/>
          <w:b/>
          <w:sz w:val="24"/>
          <w:szCs w:val="24"/>
        </w:rPr>
      </w:pPr>
      <w:r w:rsidRPr="00C16112">
        <w:rPr>
          <w:rFonts w:ascii="Times New Roman" w:hAnsi="Times New Roman"/>
          <w:b/>
          <w:sz w:val="24"/>
          <w:szCs w:val="24"/>
        </w:rPr>
        <w:t>Resultados preliminares</w:t>
      </w:r>
      <w:r w:rsidRPr="00C16112">
        <w:rPr>
          <w:rFonts w:ascii="Times New Roman" w:hAnsi="Times New Roman"/>
          <w:sz w:val="24"/>
          <w:szCs w:val="24"/>
        </w:rPr>
        <w:t xml:space="preserve"> </w:t>
      </w:r>
      <w:r w:rsidRPr="00C16112">
        <w:rPr>
          <w:rFonts w:ascii="Times New Roman" w:hAnsi="Times New Roman"/>
          <w:b/>
          <w:sz w:val="24"/>
          <w:szCs w:val="24"/>
        </w:rPr>
        <w:t xml:space="preserve">de actividade antioxidante </w:t>
      </w:r>
      <w:r w:rsidRPr="00C16112">
        <w:rPr>
          <w:rFonts w:ascii="Times New Roman" w:hAnsi="Times New Roman"/>
          <w:b/>
          <w:i/>
          <w:sz w:val="24"/>
          <w:szCs w:val="24"/>
        </w:rPr>
        <w:t>in vivo</w:t>
      </w:r>
      <w:r w:rsidRPr="00C16112">
        <w:rPr>
          <w:rFonts w:ascii="Times New Roman" w:hAnsi="Times New Roman"/>
          <w:b/>
          <w:sz w:val="24"/>
          <w:szCs w:val="24"/>
        </w:rPr>
        <w:t>: Avaliação do efeito de protecção dos extractos de BAE contra radicais de H</w:t>
      </w:r>
      <w:r w:rsidRPr="00C16112">
        <w:rPr>
          <w:rFonts w:ascii="Times New Roman" w:hAnsi="Times New Roman"/>
          <w:b/>
          <w:sz w:val="24"/>
          <w:szCs w:val="24"/>
          <w:vertAlign w:val="subscript"/>
        </w:rPr>
        <w:t>2</w:t>
      </w:r>
      <w:r w:rsidRPr="00C16112">
        <w:rPr>
          <w:rFonts w:ascii="Times New Roman" w:hAnsi="Times New Roman"/>
          <w:b/>
          <w:sz w:val="24"/>
          <w:szCs w:val="24"/>
        </w:rPr>
        <w:t>O</w:t>
      </w:r>
      <w:r w:rsidRPr="00C16112">
        <w:rPr>
          <w:rFonts w:ascii="Times New Roman" w:hAnsi="Times New Roman"/>
          <w:b/>
          <w:sz w:val="24"/>
          <w:szCs w:val="24"/>
          <w:vertAlign w:val="subscript"/>
        </w:rPr>
        <w:t>2</w:t>
      </w:r>
      <w:r w:rsidRPr="00C16112">
        <w:rPr>
          <w:rFonts w:ascii="Times New Roman" w:hAnsi="Times New Roman"/>
          <w:b/>
          <w:sz w:val="24"/>
          <w:szCs w:val="24"/>
        </w:rPr>
        <w:t xml:space="preserve"> em </w:t>
      </w:r>
      <w:r w:rsidRPr="00C16112">
        <w:rPr>
          <w:rFonts w:ascii="Times New Roman" w:hAnsi="Times New Roman"/>
          <w:b/>
          <w:i/>
          <w:sz w:val="24"/>
          <w:szCs w:val="24"/>
        </w:rPr>
        <w:t>Saccharomyces cerevisiae</w:t>
      </w:r>
      <w:r w:rsidRPr="00C16112">
        <w:rPr>
          <w:rFonts w:ascii="Times New Roman" w:hAnsi="Times New Roman"/>
          <w:b/>
          <w:sz w:val="24"/>
          <w:szCs w:val="24"/>
        </w:rPr>
        <w:t>:</w:t>
      </w:r>
    </w:p>
    <w:p w:rsidR="00CB7210" w:rsidRPr="00420D53" w:rsidRDefault="00CB7210" w:rsidP="00CB7210">
      <w:pPr>
        <w:tabs>
          <w:tab w:val="left" w:pos="284"/>
        </w:tabs>
        <w:jc w:val="both"/>
        <w:rPr>
          <w:rFonts w:ascii="Times New Roman" w:hAnsi="Times New Roman"/>
          <w:b/>
          <w:sz w:val="24"/>
          <w:szCs w:val="24"/>
        </w:rPr>
      </w:pPr>
    </w:p>
    <w:p w:rsidR="00C7323A" w:rsidRDefault="00C7323A" w:rsidP="00C7323A">
      <w:pPr>
        <w:keepNext/>
        <w:autoSpaceDE w:val="0"/>
        <w:autoSpaceDN w:val="0"/>
        <w:adjustRightInd w:val="0"/>
        <w:spacing w:after="0"/>
        <w:jc w:val="center"/>
      </w:pPr>
      <w:r w:rsidRPr="00C7323A">
        <w:rPr>
          <w:noProof/>
          <w:lang w:eastAsia="pt-PT"/>
        </w:rPr>
        <w:drawing>
          <wp:inline distT="0" distB="0" distL="0" distR="0">
            <wp:extent cx="4691269" cy="2305878"/>
            <wp:effectExtent l="0" t="0" r="0" b="0"/>
            <wp:docPr id="4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83A0A" w:rsidRDefault="00383A0A" w:rsidP="00C7323A">
      <w:pPr>
        <w:pStyle w:val="Legenda"/>
        <w:jc w:val="both"/>
        <w:rPr>
          <w:rFonts w:ascii="Times New Roman" w:hAnsi="Times New Roman"/>
          <w:sz w:val="20"/>
        </w:rPr>
      </w:pPr>
    </w:p>
    <w:p w:rsidR="00CB7210" w:rsidRPr="00383A0A" w:rsidRDefault="00A5023D" w:rsidP="00C7323A">
      <w:pPr>
        <w:pStyle w:val="Legenda"/>
        <w:jc w:val="both"/>
        <w:rPr>
          <w:rFonts w:ascii="Times New Roman" w:hAnsi="Times New Roman"/>
          <w:b w:val="0"/>
          <w:bCs w:val="0"/>
          <w:color w:val="auto"/>
          <w:sz w:val="28"/>
          <w:szCs w:val="24"/>
          <w:lang w:eastAsia="pt-PT"/>
        </w:rPr>
      </w:pPr>
      <w:r>
        <w:rPr>
          <w:rFonts w:ascii="Times New Roman" w:hAnsi="Times New Roman"/>
          <w:sz w:val="20"/>
        </w:rPr>
        <w:t>Figura 3</w:t>
      </w:r>
      <w:r w:rsidR="00E111D9">
        <w:rPr>
          <w:rFonts w:ascii="Times New Roman" w:hAnsi="Times New Roman"/>
          <w:sz w:val="20"/>
        </w:rPr>
        <w:t>1</w:t>
      </w:r>
      <w:r w:rsidR="00C7323A" w:rsidRPr="00C7323A">
        <w:rPr>
          <w:rFonts w:ascii="Times New Roman" w:hAnsi="Times New Roman"/>
          <w:sz w:val="20"/>
        </w:rPr>
        <w:t xml:space="preserve"> - </w:t>
      </w:r>
      <w:r w:rsidR="00C7323A" w:rsidRPr="00383A0A">
        <w:rPr>
          <w:rFonts w:ascii="Times New Roman" w:hAnsi="Times New Roman"/>
          <w:b w:val="0"/>
          <w:color w:val="auto"/>
          <w:sz w:val="20"/>
        </w:rPr>
        <w:t xml:space="preserve">Curvas de crescimento de </w:t>
      </w:r>
      <w:r w:rsidR="00C7323A" w:rsidRPr="00383A0A">
        <w:rPr>
          <w:rFonts w:ascii="Times New Roman" w:hAnsi="Times New Roman"/>
          <w:b w:val="0"/>
          <w:i/>
          <w:color w:val="auto"/>
          <w:sz w:val="20"/>
        </w:rPr>
        <w:t>Saccharomyces cerevisiae</w:t>
      </w:r>
      <w:r w:rsidR="00C7323A" w:rsidRPr="00383A0A">
        <w:rPr>
          <w:rFonts w:ascii="Times New Roman" w:hAnsi="Times New Roman"/>
          <w:b w:val="0"/>
          <w:color w:val="auto"/>
          <w:sz w:val="20"/>
        </w:rPr>
        <w:t xml:space="preserve"> durante 9h de incubação com o agente oxidante peróxido de hidrogénio (</w:t>
      </w:r>
      <w:r w:rsidR="00383A0A" w:rsidRPr="00383A0A">
        <w:rPr>
          <w:rFonts w:ascii="Times New Roman" w:hAnsi="Times New Roman"/>
          <w:b w:val="0"/>
          <w:color w:val="auto"/>
          <w:sz w:val="20"/>
        </w:rPr>
        <w:t>C</w:t>
      </w:r>
      <w:r w:rsidR="00C7323A" w:rsidRPr="00383A0A">
        <w:rPr>
          <w:rFonts w:ascii="Times New Roman" w:hAnsi="Times New Roman"/>
          <w:b w:val="0"/>
          <w:color w:val="auto"/>
          <w:sz w:val="20"/>
        </w:rPr>
        <w:t>ontrolo negativo), sem o agente oxidante e sem extracto (</w:t>
      </w:r>
      <w:r w:rsidR="00383A0A" w:rsidRPr="00383A0A">
        <w:rPr>
          <w:rFonts w:ascii="Times New Roman" w:hAnsi="Times New Roman"/>
          <w:b w:val="0"/>
          <w:color w:val="auto"/>
          <w:sz w:val="20"/>
        </w:rPr>
        <w:t>C</w:t>
      </w:r>
      <w:r w:rsidR="00C7323A" w:rsidRPr="00383A0A">
        <w:rPr>
          <w:rFonts w:ascii="Times New Roman" w:hAnsi="Times New Roman"/>
          <w:b w:val="0"/>
          <w:color w:val="auto"/>
          <w:sz w:val="20"/>
        </w:rPr>
        <w:t>ontrolo positivo), com peróxido de hidrogénio e com diferentes extractos derivados do BAE (EB, EPC e ERC)</w:t>
      </w:r>
      <w:r w:rsidR="00383A0A" w:rsidRPr="00383A0A">
        <w:rPr>
          <w:rFonts w:ascii="Times New Roman" w:hAnsi="Times New Roman"/>
          <w:b w:val="0"/>
          <w:color w:val="auto"/>
          <w:sz w:val="20"/>
        </w:rPr>
        <w:t xml:space="preserve">, </w:t>
      </w:r>
      <w:r w:rsidR="00383A0A">
        <w:rPr>
          <w:rFonts w:ascii="Times New Roman" w:hAnsi="Times New Roman"/>
          <w:b w:val="0"/>
          <w:color w:val="auto"/>
          <w:sz w:val="20"/>
        </w:rPr>
        <w:t xml:space="preserve">e </w:t>
      </w:r>
      <w:r w:rsidR="00383A0A" w:rsidRPr="00383A0A">
        <w:rPr>
          <w:rFonts w:ascii="Times New Roman" w:hAnsi="Times New Roman"/>
          <w:b w:val="0"/>
          <w:color w:val="auto"/>
          <w:sz w:val="20"/>
        </w:rPr>
        <w:t xml:space="preserve">sem peróxido de hidrogénio e com os três extractos derivados do BAE (Controlo EB, Controlo EPC e Controlo ERC). </w:t>
      </w:r>
    </w:p>
    <w:p w:rsidR="00D470C2" w:rsidRPr="00383A0A" w:rsidRDefault="00D470C2" w:rsidP="00050CE7">
      <w:pPr>
        <w:spacing w:after="0"/>
        <w:jc w:val="both"/>
        <w:rPr>
          <w:rFonts w:ascii="Times New Roman" w:hAnsi="Times New Roman"/>
          <w:sz w:val="24"/>
          <w:szCs w:val="24"/>
        </w:rPr>
      </w:pPr>
    </w:p>
    <w:p w:rsidR="00537423" w:rsidRDefault="00537423" w:rsidP="009A64F3">
      <w:pPr>
        <w:spacing w:after="0"/>
        <w:jc w:val="right"/>
        <w:rPr>
          <w:b/>
          <w:sz w:val="24"/>
          <w:szCs w:val="24"/>
          <w:lang w:val="es-ES"/>
        </w:rPr>
      </w:pPr>
    </w:p>
    <w:p w:rsidR="002E2B3E" w:rsidRPr="006E331F" w:rsidRDefault="002E2B3E" w:rsidP="00C7323A">
      <w:pPr>
        <w:spacing w:after="0"/>
        <w:jc w:val="center"/>
        <w:rPr>
          <w:b/>
          <w:sz w:val="24"/>
          <w:szCs w:val="24"/>
          <w:lang w:val="es-ES"/>
        </w:rPr>
      </w:pPr>
    </w:p>
    <w:sectPr w:rsidR="002E2B3E" w:rsidRPr="006E331F" w:rsidSect="00A73250">
      <w:headerReference w:type="default" r:id="rId63"/>
      <w:footerReference w:type="default" r:id="rId64"/>
      <w:pgSz w:w="11906" w:h="16838"/>
      <w:pgMar w:top="1530" w:right="1701" w:bottom="1417" w:left="1701"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6F9" w:rsidRDefault="00B766F9" w:rsidP="00D83008">
      <w:pPr>
        <w:spacing w:after="0" w:line="240" w:lineRule="auto"/>
      </w:pPr>
      <w:r>
        <w:separator/>
      </w:r>
    </w:p>
  </w:endnote>
  <w:endnote w:type="continuationSeparator" w:id="0">
    <w:p w:rsidR="00B766F9" w:rsidRDefault="00B766F9" w:rsidP="00D830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641C">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P9725">
    <w:panose1 w:val="00000000000000000000"/>
    <w:charset w:val="00"/>
    <w:family w:val="roman"/>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OptimaLT">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dvGulliv-R">
    <w:altName w:val="MS Mincho"/>
    <w:panose1 w:val="00000000000000000000"/>
    <w:charset w:val="80"/>
    <w:family w:val="auto"/>
    <w:notTrueType/>
    <w:pitch w:val="default"/>
    <w:sig w:usb0="00000001" w:usb1="08070000" w:usb2="00000010" w:usb3="00000000" w:csb0="00020000" w:csb1="00000000"/>
  </w:font>
  <w:font w:name="AdvGulliv-I">
    <w:altName w:val="MS Mincho"/>
    <w:panose1 w:val="00000000000000000000"/>
    <w:charset w:val="80"/>
    <w:family w:val="auto"/>
    <w:notTrueType/>
    <w:pitch w:val="default"/>
    <w:sig w:usb0="00000000" w:usb1="08070000" w:usb2="00000010" w:usb3="00000000" w:csb0="00020000" w:csb1="00000000"/>
  </w:font>
  <w:font w:name="AdvPSA066">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96963"/>
      <w:docPartObj>
        <w:docPartGallery w:val="Page Numbers (Bottom of Page)"/>
        <w:docPartUnique/>
      </w:docPartObj>
    </w:sdtPr>
    <w:sdtContent>
      <w:p w:rsidR="00B766F9" w:rsidRDefault="00B766F9">
        <w:pPr>
          <w:pStyle w:val="Rodap"/>
          <w:jc w:val="center"/>
        </w:pPr>
        <w:fldSimple w:instr=" PAGE   \* MERGEFORMAT ">
          <w:r w:rsidR="000E7D93">
            <w:rPr>
              <w:noProof/>
            </w:rPr>
            <w:t>66</w:t>
          </w:r>
        </w:fldSimple>
      </w:p>
    </w:sdtContent>
  </w:sdt>
  <w:p w:rsidR="00B766F9" w:rsidRDefault="00B766F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6F9" w:rsidRDefault="00B766F9" w:rsidP="00D83008">
      <w:pPr>
        <w:spacing w:after="0" w:line="240" w:lineRule="auto"/>
      </w:pPr>
      <w:r>
        <w:separator/>
      </w:r>
    </w:p>
  </w:footnote>
  <w:footnote w:type="continuationSeparator" w:id="0">
    <w:p w:rsidR="00B766F9" w:rsidRDefault="00B766F9" w:rsidP="00D830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6F9" w:rsidRPr="00CE572B" w:rsidRDefault="00B766F9" w:rsidP="00D83008">
    <w:pPr>
      <w:spacing w:after="0"/>
      <w:jc w:val="center"/>
      <w:rPr>
        <w:rFonts w:ascii="Times New Roman" w:hAnsi="Times New Roman"/>
      </w:rPr>
    </w:pPr>
    <w:r>
      <w:rPr>
        <w:rFonts w:ascii="Times New Roman" w:hAnsi="Times New Roman"/>
      </w:rPr>
      <w:t>Valorização dos subprodutos derivados da indústria do azeite: Caracterização biológica dos seus extractos em células humanas de cancro da mama</w:t>
    </w:r>
  </w:p>
  <w:p w:rsidR="00B766F9" w:rsidRPr="007B6DF8" w:rsidRDefault="00B766F9" w:rsidP="00D83008">
    <w:pPr>
      <w:pStyle w:val="Cabealho"/>
      <w:jc w:val="both"/>
      <w:rPr>
        <w:sz w:val="10"/>
      </w:rPr>
    </w:pPr>
    <w:r>
      <w:rPr>
        <w:noProof/>
        <w:sz w:val="10"/>
        <w:lang w:eastAsia="pt-PT"/>
      </w:rPr>
      <w:pict>
        <v:shapetype id="_x0000_t32" coordsize="21600,21600" o:spt="32" o:oned="t" path="m,l21600,21600e" filled="f">
          <v:path arrowok="t" fillok="f" o:connecttype="none"/>
          <o:lock v:ext="edit" shapetype="t"/>
        </v:shapetype>
        <v:shape id="_x0000_s2049" type="#_x0000_t32" style="position:absolute;left:0;text-align:left;margin-left:-17.55pt;margin-top:4.95pt;width:457.5pt;height:0;z-index:251658240" o:connectortype="straight" strokecolor="#7f7f7f [1612]"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F7EC5"/>
    <w:multiLevelType w:val="hybridMultilevel"/>
    <w:tmpl w:val="528633D6"/>
    <w:lvl w:ilvl="0" w:tplc="0816001B">
      <w:start w:val="1"/>
      <w:numFmt w:val="lowerRoman"/>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6633DBD"/>
    <w:multiLevelType w:val="multilevel"/>
    <w:tmpl w:val="75C0A5B4"/>
    <w:lvl w:ilvl="0">
      <w:start w:val="2"/>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
    <w:nsid w:val="06D54613"/>
    <w:multiLevelType w:val="hybridMultilevel"/>
    <w:tmpl w:val="F9CA6018"/>
    <w:lvl w:ilvl="0" w:tplc="CE74DE10">
      <w:start w:val="1"/>
      <w:numFmt w:val="bullet"/>
      <w:lvlText w:val=""/>
      <w:lvlJc w:val="left"/>
      <w:pPr>
        <w:tabs>
          <w:tab w:val="num" w:pos="720"/>
        </w:tabs>
        <w:ind w:left="720" w:hanging="360"/>
      </w:pPr>
      <w:rPr>
        <w:rFonts w:ascii="Wingdings" w:hAnsi="Wingdings" w:hint="default"/>
      </w:rPr>
    </w:lvl>
    <w:lvl w:ilvl="1" w:tplc="B83A2AFC">
      <w:start w:val="1"/>
      <w:numFmt w:val="bullet"/>
      <w:lvlText w:val=""/>
      <w:lvlJc w:val="left"/>
      <w:pPr>
        <w:tabs>
          <w:tab w:val="num" w:pos="1440"/>
        </w:tabs>
        <w:ind w:left="1440" w:hanging="360"/>
      </w:pPr>
      <w:rPr>
        <w:rFonts w:ascii="Wingdings" w:hAnsi="Wingdings" w:hint="default"/>
      </w:rPr>
    </w:lvl>
    <w:lvl w:ilvl="2" w:tplc="5F4C8264" w:tentative="1">
      <w:start w:val="1"/>
      <w:numFmt w:val="bullet"/>
      <w:lvlText w:val=""/>
      <w:lvlJc w:val="left"/>
      <w:pPr>
        <w:tabs>
          <w:tab w:val="num" w:pos="2160"/>
        </w:tabs>
        <w:ind w:left="2160" w:hanging="360"/>
      </w:pPr>
      <w:rPr>
        <w:rFonts w:ascii="Wingdings" w:hAnsi="Wingdings" w:hint="default"/>
      </w:rPr>
    </w:lvl>
    <w:lvl w:ilvl="3" w:tplc="DE421DEA" w:tentative="1">
      <w:start w:val="1"/>
      <w:numFmt w:val="bullet"/>
      <w:lvlText w:val=""/>
      <w:lvlJc w:val="left"/>
      <w:pPr>
        <w:tabs>
          <w:tab w:val="num" w:pos="2880"/>
        </w:tabs>
        <w:ind w:left="2880" w:hanging="360"/>
      </w:pPr>
      <w:rPr>
        <w:rFonts w:ascii="Wingdings" w:hAnsi="Wingdings" w:hint="default"/>
      </w:rPr>
    </w:lvl>
    <w:lvl w:ilvl="4" w:tplc="ECE25938" w:tentative="1">
      <w:start w:val="1"/>
      <w:numFmt w:val="bullet"/>
      <w:lvlText w:val=""/>
      <w:lvlJc w:val="left"/>
      <w:pPr>
        <w:tabs>
          <w:tab w:val="num" w:pos="3600"/>
        </w:tabs>
        <w:ind w:left="3600" w:hanging="360"/>
      </w:pPr>
      <w:rPr>
        <w:rFonts w:ascii="Wingdings" w:hAnsi="Wingdings" w:hint="default"/>
      </w:rPr>
    </w:lvl>
    <w:lvl w:ilvl="5" w:tplc="378C4794" w:tentative="1">
      <w:start w:val="1"/>
      <w:numFmt w:val="bullet"/>
      <w:lvlText w:val=""/>
      <w:lvlJc w:val="left"/>
      <w:pPr>
        <w:tabs>
          <w:tab w:val="num" w:pos="4320"/>
        </w:tabs>
        <w:ind w:left="4320" w:hanging="360"/>
      </w:pPr>
      <w:rPr>
        <w:rFonts w:ascii="Wingdings" w:hAnsi="Wingdings" w:hint="default"/>
      </w:rPr>
    </w:lvl>
    <w:lvl w:ilvl="6" w:tplc="6AC43D6E" w:tentative="1">
      <w:start w:val="1"/>
      <w:numFmt w:val="bullet"/>
      <w:lvlText w:val=""/>
      <w:lvlJc w:val="left"/>
      <w:pPr>
        <w:tabs>
          <w:tab w:val="num" w:pos="5040"/>
        </w:tabs>
        <w:ind w:left="5040" w:hanging="360"/>
      </w:pPr>
      <w:rPr>
        <w:rFonts w:ascii="Wingdings" w:hAnsi="Wingdings" w:hint="default"/>
      </w:rPr>
    </w:lvl>
    <w:lvl w:ilvl="7" w:tplc="F2009BF8" w:tentative="1">
      <w:start w:val="1"/>
      <w:numFmt w:val="bullet"/>
      <w:lvlText w:val=""/>
      <w:lvlJc w:val="left"/>
      <w:pPr>
        <w:tabs>
          <w:tab w:val="num" w:pos="5760"/>
        </w:tabs>
        <w:ind w:left="5760" w:hanging="360"/>
      </w:pPr>
      <w:rPr>
        <w:rFonts w:ascii="Wingdings" w:hAnsi="Wingdings" w:hint="default"/>
      </w:rPr>
    </w:lvl>
    <w:lvl w:ilvl="8" w:tplc="ECE00584" w:tentative="1">
      <w:start w:val="1"/>
      <w:numFmt w:val="bullet"/>
      <w:lvlText w:val=""/>
      <w:lvlJc w:val="left"/>
      <w:pPr>
        <w:tabs>
          <w:tab w:val="num" w:pos="6480"/>
        </w:tabs>
        <w:ind w:left="6480" w:hanging="360"/>
      </w:pPr>
      <w:rPr>
        <w:rFonts w:ascii="Wingdings" w:hAnsi="Wingdings" w:hint="default"/>
      </w:rPr>
    </w:lvl>
  </w:abstractNum>
  <w:abstractNum w:abstractNumId="3">
    <w:nsid w:val="0D1758B6"/>
    <w:multiLevelType w:val="hybridMultilevel"/>
    <w:tmpl w:val="27F2D974"/>
    <w:lvl w:ilvl="0" w:tplc="0816000F">
      <w:start w:val="1"/>
      <w:numFmt w:val="decimal"/>
      <w:lvlText w:val="%1."/>
      <w:lvlJc w:val="left"/>
      <w:pPr>
        <w:ind w:left="360" w:hanging="360"/>
      </w:pPr>
      <w:rPr>
        <w:rFonts w:hint="default"/>
      </w:rPr>
    </w:lvl>
    <w:lvl w:ilvl="1" w:tplc="08160019">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4">
    <w:nsid w:val="115A5918"/>
    <w:multiLevelType w:val="hybridMultilevel"/>
    <w:tmpl w:val="5EE289D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3530043"/>
    <w:multiLevelType w:val="hybridMultilevel"/>
    <w:tmpl w:val="30E8A03E"/>
    <w:lvl w:ilvl="0" w:tplc="0964B812">
      <w:start w:val="6"/>
      <w:numFmt w:val="upperRoman"/>
      <w:lvlText w:val="%1."/>
      <w:lvlJc w:val="left"/>
      <w:pPr>
        <w:ind w:left="4832" w:hanging="720"/>
      </w:pPr>
      <w:rPr>
        <w:rFonts w:hint="default"/>
      </w:rPr>
    </w:lvl>
    <w:lvl w:ilvl="1" w:tplc="08160019" w:tentative="1">
      <w:start w:val="1"/>
      <w:numFmt w:val="lowerLetter"/>
      <w:lvlText w:val="%2."/>
      <w:lvlJc w:val="left"/>
      <w:pPr>
        <w:ind w:left="5192" w:hanging="360"/>
      </w:pPr>
    </w:lvl>
    <w:lvl w:ilvl="2" w:tplc="0816001B" w:tentative="1">
      <w:start w:val="1"/>
      <w:numFmt w:val="lowerRoman"/>
      <w:lvlText w:val="%3."/>
      <w:lvlJc w:val="right"/>
      <w:pPr>
        <w:ind w:left="5912" w:hanging="180"/>
      </w:pPr>
    </w:lvl>
    <w:lvl w:ilvl="3" w:tplc="0816000F" w:tentative="1">
      <w:start w:val="1"/>
      <w:numFmt w:val="decimal"/>
      <w:lvlText w:val="%4."/>
      <w:lvlJc w:val="left"/>
      <w:pPr>
        <w:ind w:left="6632" w:hanging="360"/>
      </w:pPr>
    </w:lvl>
    <w:lvl w:ilvl="4" w:tplc="08160019" w:tentative="1">
      <w:start w:val="1"/>
      <w:numFmt w:val="lowerLetter"/>
      <w:lvlText w:val="%5."/>
      <w:lvlJc w:val="left"/>
      <w:pPr>
        <w:ind w:left="7352" w:hanging="360"/>
      </w:pPr>
    </w:lvl>
    <w:lvl w:ilvl="5" w:tplc="0816001B" w:tentative="1">
      <w:start w:val="1"/>
      <w:numFmt w:val="lowerRoman"/>
      <w:lvlText w:val="%6."/>
      <w:lvlJc w:val="right"/>
      <w:pPr>
        <w:ind w:left="8072" w:hanging="180"/>
      </w:pPr>
    </w:lvl>
    <w:lvl w:ilvl="6" w:tplc="0816000F" w:tentative="1">
      <w:start w:val="1"/>
      <w:numFmt w:val="decimal"/>
      <w:lvlText w:val="%7."/>
      <w:lvlJc w:val="left"/>
      <w:pPr>
        <w:ind w:left="8792" w:hanging="360"/>
      </w:pPr>
    </w:lvl>
    <w:lvl w:ilvl="7" w:tplc="08160019" w:tentative="1">
      <w:start w:val="1"/>
      <w:numFmt w:val="lowerLetter"/>
      <w:lvlText w:val="%8."/>
      <w:lvlJc w:val="left"/>
      <w:pPr>
        <w:ind w:left="9512" w:hanging="360"/>
      </w:pPr>
    </w:lvl>
    <w:lvl w:ilvl="8" w:tplc="0816001B" w:tentative="1">
      <w:start w:val="1"/>
      <w:numFmt w:val="lowerRoman"/>
      <w:lvlText w:val="%9."/>
      <w:lvlJc w:val="right"/>
      <w:pPr>
        <w:ind w:left="10232" w:hanging="180"/>
      </w:pPr>
    </w:lvl>
  </w:abstractNum>
  <w:abstractNum w:abstractNumId="6">
    <w:nsid w:val="15B87AB6"/>
    <w:multiLevelType w:val="hybridMultilevel"/>
    <w:tmpl w:val="D64C9E3A"/>
    <w:lvl w:ilvl="0" w:tplc="C1545FD6">
      <w:start w:val="1"/>
      <w:numFmt w:val="bullet"/>
      <w:lvlText w:val="o"/>
      <w:lvlJc w:val="left"/>
      <w:pPr>
        <w:ind w:left="644" w:hanging="360"/>
      </w:pPr>
      <w:rPr>
        <w:rFonts w:ascii="Courier New" w:hAnsi="Courier New" w:cs="Courier New" w:hint="default"/>
        <w:color w:val="auto"/>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7">
    <w:nsid w:val="180D6C24"/>
    <w:multiLevelType w:val="hybridMultilevel"/>
    <w:tmpl w:val="E1EE1160"/>
    <w:lvl w:ilvl="0" w:tplc="0816000B">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8">
    <w:nsid w:val="19A9131E"/>
    <w:multiLevelType w:val="hybridMultilevel"/>
    <w:tmpl w:val="1C64B0CA"/>
    <w:lvl w:ilvl="0" w:tplc="CE0E94A2">
      <w:start w:val="1"/>
      <w:numFmt w:val="bullet"/>
      <w:lvlText w:val="•"/>
      <w:lvlJc w:val="left"/>
      <w:pPr>
        <w:tabs>
          <w:tab w:val="num" w:pos="720"/>
        </w:tabs>
        <w:ind w:left="720" w:hanging="360"/>
      </w:pPr>
      <w:rPr>
        <w:rFonts w:ascii="Arial" w:hAnsi="Arial" w:hint="default"/>
      </w:rPr>
    </w:lvl>
    <w:lvl w:ilvl="1" w:tplc="A85A17E6" w:tentative="1">
      <w:start w:val="1"/>
      <w:numFmt w:val="bullet"/>
      <w:lvlText w:val="•"/>
      <w:lvlJc w:val="left"/>
      <w:pPr>
        <w:tabs>
          <w:tab w:val="num" w:pos="1440"/>
        </w:tabs>
        <w:ind w:left="1440" w:hanging="360"/>
      </w:pPr>
      <w:rPr>
        <w:rFonts w:ascii="Arial" w:hAnsi="Arial" w:hint="default"/>
      </w:rPr>
    </w:lvl>
    <w:lvl w:ilvl="2" w:tplc="4984A6EC" w:tentative="1">
      <w:start w:val="1"/>
      <w:numFmt w:val="bullet"/>
      <w:lvlText w:val="•"/>
      <w:lvlJc w:val="left"/>
      <w:pPr>
        <w:tabs>
          <w:tab w:val="num" w:pos="2160"/>
        </w:tabs>
        <w:ind w:left="2160" w:hanging="360"/>
      </w:pPr>
      <w:rPr>
        <w:rFonts w:ascii="Arial" w:hAnsi="Arial" w:hint="default"/>
      </w:rPr>
    </w:lvl>
    <w:lvl w:ilvl="3" w:tplc="3F425A6C" w:tentative="1">
      <w:start w:val="1"/>
      <w:numFmt w:val="bullet"/>
      <w:lvlText w:val="•"/>
      <w:lvlJc w:val="left"/>
      <w:pPr>
        <w:tabs>
          <w:tab w:val="num" w:pos="2880"/>
        </w:tabs>
        <w:ind w:left="2880" w:hanging="360"/>
      </w:pPr>
      <w:rPr>
        <w:rFonts w:ascii="Arial" w:hAnsi="Arial" w:hint="default"/>
      </w:rPr>
    </w:lvl>
    <w:lvl w:ilvl="4" w:tplc="38C8E062" w:tentative="1">
      <w:start w:val="1"/>
      <w:numFmt w:val="bullet"/>
      <w:lvlText w:val="•"/>
      <w:lvlJc w:val="left"/>
      <w:pPr>
        <w:tabs>
          <w:tab w:val="num" w:pos="3600"/>
        </w:tabs>
        <w:ind w:left="3600" w:hanging="360"/>
      </w:pPr>
      <w:rPr>
        <w:rFonts w:ascii="Arial" w:hAnsi="Arial" w:hint="default"/>
      </w:rPr>
    </w:lvl>
    <w:lvl w:ilvl="5" w:tplc="CADAA322" w:tentative="1">
      <w:start w:val="1"/>
      <w:numFmt w:val="bullet"/>
      <w:lvlText w:val="•"/>
      <w:lvlJc w:val="left"/>
      <w:pPr>
        <w:tabs>
          <w:tab w:val="num" w:pos="4320"/>
        </w:tabs>
        <w:ind w:left="4320" w:hanging="360"/>
      </w:pPr>
      <w:rPr>
        <w:rFonts w:ascii="Arial" w:hAnsi="Arial" w:hint="default"/>
      </w:rPr>
    </w:lvl>
    <w:lvl w:ilvl="6" w:tplc="E10660F0" w:tentative="1">
      <w:start w:val="1"/>
      <w:numFmt w:val="bullet"/>
      <w:lvlText w:val="•"/>
      <w:lvlJc w:val="left"/>
      <w:pPr>
        <w:tabs>
          <w:tab w:val="num" w:pos="5040"/>
        </w:tabs>
        <w:ind w:left="5040" w:hanging="360"/>
      </w:pPr>
      <w:rPr>
        <w:rFonts w:ascii="Arial" w:hAnsi="Arial" w:hint="default"/>
      </w:rPr>
    </w:lvl>
    <w:lvl w:ilvl="7" w:tplc="4A482046" w:tentative="1">
      <w:start w:val="1"/>
      <w:numFmt w:val="bullet"/>
      <w:lvlText w:val="•"/>
      <w:lvlJc w:val="left"/>
      <w:pPr>
        <w:tabs>
          <w:tab w:val="num" w:pos="5760"/>
        </w:tabs>
        <w:ind w:left="5760" w:hanging="360"/>
      </w:pPr>
      <w:rPr>
        <w:rFonts w:ascii="Arial" w:hAnsi="Arial" w:hint="default"/>
      </w:rPr>
    </w:lvl>
    <w:lvl w:ilvl="8" w:tplc="83446E0C" w:tentative="1">
      <w:start w:val="1"/>
      <w:numFmt w:val="bullet"/>
      <w:lvlText w:val="•"/>
      <w:lvlJc w:val="left"/>
      <w:pPr>
        <w:tabs>
          <w:tab w:val="num" w:pos="6480"/>
        </w:tabs>
        <w:ind w:left="6480" w:hanging="360"/>
      </w:pPr>
      <w:rPr>
        <w:rFonts w:ascii="Arial" w:hAnsi="Arial" w:hint="default"/>
      </w:rPr>
    </w:lvl>
  </w:abstractNum>
  <w:abstractNum w:abstractNumId="9">
    <w:nsid w:val="1BEB2A8A"/>
    <w:multiLevelType w:val="multilevel"/>
    <w:tmpl w:val="A456106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D5157FF"/>
    <w:multiLevelType w:val="multilevel"/>
    <w:tmpl w:val="6F407C1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nsid w:val="1D5326C9"/>
    <w:multiLevelType w:val="hybridMultilevel"/>
    <w:tmpl w:val="4F14194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22C50546"/>
    <w:multiLevelType w:val="multilevel"/>
    <w:tmpl w:val="FAC4C386"/>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3570822"/>
    <w:multiLevelType w:val="hybridMultilevel"/>
    <w:tmpl w:val="42A8ACCC"/>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4">
    <w:nsid w:val="25847852"/>
    <w:multiLevelType w:val="multilevel"/>
    <w:tmpl w:val="BF7C78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8464621"/>
    <w:multiLevelType w:val="hybridMultilevel"/>
    <w:tmpl w:val="A27ABFB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29DA3DAB"/>
    <w:multiLevelType w:val="multilevel"/>
    <w:tmpl w:val="CD54CF3E"/>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7">
    <w:nsid w:val="2A9D0EDA"/>
    <w:multiLevelType w:val="hybridMultilevel"/>
    <w:tmpl w:val="E09E87A8"/>
    <w:lvl w:ilvl="0" w:tplc="B0B0053C">
      <w:start w:val="1"/>
      <w:numFmt w:val="bullet"/>
      <w:lvlText w:val=""/>
      <w:lvlJc w:val="left"/>
      <w:pPr>
        <w:tabs>
          <w:tab w:val="num" w:pos="720"/>
        </w:tabs>
        <w:ind w:left="720" w:hanging="360"/>
      </w:pPr>
      <w:rPr>
        <w:rFonts w:ascii="Wingdings" w:hAnsi="Wingdings" w:hint="default"/>
      </w:rPr>
    </w:lvl>
    <w:lvl w:ilvl="1" w:tplc="516AB2A0" w:tentative="1">
      <w:start w:val="1"/>
      <w:numFmt w:val="bullet"/>
      <w:lvlText w:val=""/>
      <w:lvlJc w:val="left"/>
      <w:pPr>
        <w:tabs>
          <w:tab w:val="num" w:pos="1440"/>
        </w:tabs>
        <w:ind w:left="1440" w:hanging="360"/>
      </w:pPr>
      <w:rPr>
        <w:rFonts w:ascii="Wingdings" w:hAnsi="Wingdings" w:hint="default"/>
      </w:rPr>
    </w:lvl>
    <w:lvl w:ilvl="2" w:tplc="234430F4" w:tentative="1">
      <w:start w:val="1"/>
      <w:numFmt w:val="bullet"/>
      <w:lvlText w:val=""/>
      <w:lvlJc w:val="left"/>
      <w:pPr>
        <w:tabs>
          <w:tab w:val="num" w:pos="2160"/>
        </w:tabs>
        <w:ind w:left="2160" w:hanging="360"/>
      </w:pPr>
      <w:rPr>
        <w:rFonts w:ascii="Wingdings" w:hAnsi="Wingdings" w:hint="default"/>
      </w:rPr>
    </w:lvl>
    <w:lvl w:ilvl="3" w:tplc="81AE60D0" w:tentative="1">
      <w:start w:val="1"/>
      <w:numFmt w:val="bullet"/>
      <w:lvlText w:val=""/>
      <w:lvlJc w:val="left"/>
      <w:pPr>
        <w:tabs>
          <w:tab w:val="num" w:pos="2880"/>
        </w:tabs>
        <w:ind w:left="2880" w:hanging="360"/>
      </w:pPr>
      <w:rPr>
        <w:rFonts w:ascii="Wingdings" w:hAnsi="Wingdings" w:hint="default"/>
      </w:rPr>
    </w:lvl>
    <w:lvl w:ilvl="4" w:tplc="62409770" w:tentative="1">
      <w:start w:val="1"/>
      <w:numFmt w:val="bullet"/>
      <w:lvlText w:val=""/>
      <w:lvlJc w:val="left"/>
      <w:pPr>
        <w:tabs>
          <w:tab w:val="num" w:pos="3600"/>
        </w:tabs>
        <w:ind w:left="3600" w:hanging="360"/>
      </w:pPr>
      <w:rPr>
        <w:rFonts w:ascii="Wingdings" w:hAnsi="Wingdings" w:hint="default"/>
      </w:rPr>
    </w:lvl>
    <w:lvl w:ilvl="5" w:tplc="28C6BD40" w:tentative="1">
      <w:start w:val="1"/>
      <w:numFmt w:val="bullet"/>
      <w:lvlText w:val=""/>
      <w:lvlJc w:val="left"/>
      <w:pPr>
        <w:tabs>
          <w:tab w:val="num" w:pos="4320"/>
        </w:tabs>
        <w:ind w:left="4320" w:hanging="360"/>
      </w:pPr>
      <w:rPr>
        <w:rFonts w:ascii="Wingdings" w:hAnsi="Wingdings" w:hint="default"/>
      </w:rPr>
    </w:lvl>
    <w:lvl w:ilvl="6" w:tplc="DA50DCFE" w:tentative="1">
      <w:start w:val="1"/>
      <w:numFmt w:val="bullet"/>
      <w:lvlText w:val=""/>
      <w:lvlJc w:val="left"/>
      <w:pPr>
        <w:tabs>
          <w:tab w:val="num" w:pos="5040"/>
        </w:tabs>
        <w:ind w:left="5040" w:hanging="360"/>
      </w:pPr>
      <w:rPr>
        <w:rFonts w:ascii="Wingdings" w:hAnsi="Wingdings" w:hint="default"/>
      </w:rPr>
    </w:lvl>
    <w:lvl w:ilvl="7" w:tplc="79E25130" w:tentative="1">
      <w:start w:val="1"/>
      <w:numFmt w:val="bullet"/>
      <w:lvlText w:val=""/>
      <w:lvlJc w:val="left"/>
      <w:pPr>
        <w:tabs>
          <w:tab w:val="num" w:pos="5760"/>
        </w:tabs>
        <w:ind w:left="5760" w:hanging="360"/>
      </w:pPr>
      <w:rPr>
        <w:rFonts w:ascii="Wingdings" w:hAnsi="Wingdings" w:hint="default"/>
      </w:rPr>
    </w:lvl>
    <w:lvl w:ilvl="8" w:tplc="0AE8B4DA" w:tentative="1">
      <w:start w:val="1"/>
      <w:numFmt w:val="bullet"/>
      <w:lvlText w:val=""/>
      <w:lvlJc w:val="left"/>
      <w:pPr>
        <w:tabs>
          <w:tab w:val="num" w:pos="6480"/>
        </w:tabs>
        <w:ind w:left="6480" w:hanging="360"/>
      </w:pPr>
      <w:rPr>
        <w:rFonts w:ascii="Wingdings" w:hAnsi="Wingdings" w:hint="default"/>
      </w:rPr>
    </w:lvl>
  </w:abstractNum>
  <w:abstractNum w:abstractNumId="18">
    <w:nsid w:val="2B3124EF"/>
    <w:multiLevelType w:val="hybridMultilevel"/>
    <w:tmpl w:val="F970C3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2BA47303"/>
    <w:multiLevelType w:val="multilevel"/>
    <w:tmpl w:val="772C441C"/>
    <w:lvl w:ilvl="0">
      <w:start w:val="1"/>
      <w:numFmt w:val="decimal"/>
      <w:lvlText w:val="%1."/>
      <w:lvlJc w:val="left"/>
      <w:pPr>
        <w:ind w:left="720" w:hanging="360"/>
      </w:pPr>
      <w:rPr>
        <w:rFonts w:hint="default"/>
      </w:rPr>
    </w:lvl>
    <w:lvl w:ilvl="1">
      <w:start w:val="2"/>
      <w:numFmt w:val="decimal"/>
      <w:isLgl/>
      <w:lvlText w:val="%1.%2"/>
      <w:lvlJc w:val="left"/>
      <w:pPr>
        <w:ind w:left="1340" w:hanging="915"/>
      </w:pPr>
      <w:rPr>
        <w:rFonts w:hint="default"/>
      </w:rPr>
    </w:lvl>
    <w:lvl w:ilvl="2">
      <w:start w:val="1"/>
      <w:numFmt w:val="decimal"/>
      <w:isLgl/>
      <w:lvlText w:val="%1.%2.%3"/>
      <w:lvlJc w:val="left"/>
      <w:pPr>
        <w:ind w:left="1405" w:hanging="915"/>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0">
    <w:nsid w:val="30C94C55"/>
    <w:multiLevelType w:val="hybridMultilevel"/>
    <w:tmpl w:val="533EEA26"/>
    <w:lvl w:ilvl="0" w:tplc="74D0C030">
      <w:start w:val="1"/>
      <w:numFmt w:val="bullet"/>
      <w:lvlText w:val="•"/>
      <w:lvlJc w:val="left"/>
      <w:pPr>
        <w:tabs>
          <w:tab w:val="num" w:pos="720"/>
        </w:tabs>
        <w:ind w:left="720" w:hanging="360"/>
      </w:pPr>
      <w:rPr>
        <w:rFonts w:ascii="Times New Roman" w:hAnsi="Times New Roman" w:hint="default"/>
      </w:rPr>
    </w:lvl>
    <w:lvl w:ilvl="1" w:tplc="8F18F006" w:tentative="1">
      <w:start w:val="1"/>
      <w:numFmt w:val="bullet"/>
      <w:lvlText w:val="•"/>
      <w:lvlJc w:val="left"/>
      <w:pPr>
        <w:tabs>
          <w:tab w:val="num" w:pos="1440"/>
        </w:tabs>
        <w:ind w:left="1440" w:hanging="360"/>
      </w:pPr>
      <w:rPr>
        <w:rFonts w:ascii="Times New Roman" w:hAnsi="Times New Roman" w:hint="default"/>
      </w:rPr>
    </w:lvl>
    <w:lvl w:ilvl="2" w:tplc="DC8A365E" w:tentative="1">
      <w:start w:val="1"/>
      <w:numFmt w:val="bullet"/>
      <w:lvlText w:val="•"/>
      <w:lvlJc w:val="left"/>
      <w:pPr>
        <w:tabs>
          <w:tab w:val="num" w:pos="2160"/>
        </w:tabs>
        <w:ind w:left="2160" w:hanging="360"/>
      </w:pPr>
      <w:rPr>
        <w:rFonts w:ascii="Times New Roman" w:hAnsi="Times New Roman" w:hint="default"/>
      </w:rPr>
    </w:lvl>
    <w:lvl w:ilvl="3" w:tplc="3228AFDA" w:tentative="1">
      <w:start w:val="1"/>
      <w:numFmt w:val="bullet"/>
      <w:lvlText w:val="•"/>
      <w:lvlJc w:val="left"/>
      <w:pPr>
        <w:tabs>
          <w:tab w:val="num" w:pos="2880"/>
        </w:tabs>
        <w:ind w:left="2880" w:hanging="360"/>
      </w:pPr>
      <w:rPr>
        <w:rFonts w:ascii="Times New Roman" w:hAnsi="Times New Roman" w:hint="default"/>
      </w:rPr>
    </w:lvl>
    <w:lvl w:ilvl="4" w:tplc="D242BE5A" w:tentative="1">
      <w:start w:val="1"/>
      <w:numFmt w:val="bullet"/>
      <w:lvlText w:val="•"/>
      <w:lvlJc w:val="left"/>
      <w:pPr>
        <w:tabs>
          <w:tab w:val="num" w:pos="3600"/>
        </w:tabs>
        <w:ind w:left="3600" w:hanging="360"/>
      </w:pPr>
      <w:rPr>
        <w:rFonts w:ascii="Times New Roman" w:hAnsi="Times New Roman" w:hint="default"/>
      </w:rPr>
    </w:lvl>
    <w:lvl w:ilvl="5" w:tplc="1B7CB836" w:tentative="1">
      <w:start w:val="1"/>
      <w:numFmt w:val="bullet"/>
      <w:lvlText w:val="•"/>
      <w:lvlJc w:val="left"/>
      <w:pPr>
        <w:tabs>
          <w:tab w:val="num" w:pos="4320"/>
        </w:tabs>
        <w:ind w:left="4320" w:hanging="360"/>
      </w:pPr>
      <w:rPr>
        <w:rFonts w:ascii="Times New Roman" w:hAnsi="Times New Roman" w:hint="default"/>
      </w:rPr>
    </w:lvl>
    <w:lvl w:ilvl="6" w:tplc="7EFE3A60" w:tentative="1">
      <w:start w:val="1"/>
      <w:numFmt w:val="bullet"/>
      <w:lvlText w:val="•"/>
      <w:lvlJc w:val="left"/>
      <w:pPr>
        <w:tabs>
          <w:tab w:val="num" w:pos="5040"/>
        </w:tabs>
        <w:ind w:left="5040" w:hanging="360"/>
      </w:pPr>
      <w:rPr>
        <w:rFonts w:ascii="Times New Roman" w:hAnsi="Times New Roman" w:hint="default"/>
      </w:rPr>
    </w:lvl>
    <w:lvl w:ilvl="7" w:tplc="C816AA66" w:tentative="1">
      <w:start w:val="1"/>
      <w:numFmt w:val="bullet"/>
      <w:lvlText w:val="•"/>
      <w:lvlJc w:val="left"/>
      <w:pPr>
        <w:tabs>
          <w:tab w:val="num" w:pos="5760"/>
        </w:tabs>
        <w:ind w:left="5760" w:hanging="360"/>
      </w:pPr>
      <w:rPr>
        <w:rFonts w:ascii="Times New Roman" w:hAnsi="Times New Roman" w:hint="default"/>
      </w:rPr>
    </w:lvl>
    <w:lvl w:ilvl="8" w:tplc="9AC2705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2A356F9"/>
    <w:multiLevelType w:val="hybridMultilevel"/>
    <w:tmpl w:val="603EA092"/>
    <w:lvl w:ilvl="0" w:tplc="564E7D88">
      <w:start w:val="5"/>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37F61D01"/>
    <w:multiLevelType w:val="multilevel"/>
    <w:tmpl w:val="BF7C78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0F254A3"/>
    <w:multiLevelType w:val="hybridMultilevel"/>
    <w:tmpl w:val="E680454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456F659C"/>
    <w:multiLevelType w:val="multilevel"/>
    <w:tmpl w:val="31923CCA"/>
    <w:lvl w:ilvl="0">
      <w:start w:val="1"/>
      <w:numFmt w:val="decimal"/>
      <w:lvlText w:val="%1."/>
      <w:lvlJc w:val="left"/>
      <w:pPr>
        <w:ind w:left="1440"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5">
    <w:nsid w:val="46DF1C59"/>
    <w:multiLevelType w:val="hybridMultilevel"/>
    <w:tmpl w:val="88662E40"/>
    <w:lvl w:ilvl="0" w:tplc="B6FC5C3A">
      <w:start w:val="1"/>
      <w:numFmt w:val="bullet"/>
      <w:lvlText w:val=""/>
      <w:lvlJc w:val="left"/>
      <w:pPr>
        <w:tabs>
          <w:tab w:val="num" w:pos="720"/>
        </w:tabs>
        <w:ind w:left="720" w:hanging="360"/>
      </w:pPr>
      <w:rPr>
        <w:rFonts w:ascii="Wingdings" w:hAnsi="Wingdings" w:hint="default"/>
      </w:rPr>
    </w:lvl>
    <w:lvl w:ilvl="1" w:tplc="8098A7D4" w:tentative="1">
      <w:start w:val="1"/>
      <w:numFmt w:val="bullet"/>
      <w:lvlText w:val=""/>
      <w:lvlJc w:val="left"/>
      <w:pPr>
        <w:tabs>
          <w:tab w:val="num" w:pos="1440"/>
        </w:tabs>
        <w:ind w:left="1440" w:hanging="360"/>
      </w:pPr>
      <w:rPr>
        <w:rFonts w:ascii="Wingdings" w:hAnsi="Wingdings" w:hint="default"/>
      </w:rPr>
    </w:lvl>
    <w:lvl w:ilvl="2" w:tplc="FA1A40A2" w:tentative="1">
      <w:start w:val="1"/>
      <w:numFmt w:val="bullet"/>
      <w:lvlText w:val=""/>
      <w:lvlJc w:val="left"/>
      <w:pPr>
        <w:tabs>
          <w:tab w:val="num" w:pos="2160"/>
        </w:tabs>
        <w:ind w:left="2160" w:hanging="360"/>
      </w:pPr>
      <w:rPr>
        <w:rFonts w:ascii="Wingdings" w:hAnsi="Wingdings" w:hint="default"/>
      </w:rPr>
    </w:lvl>
    <w:lvl w:ilvl="3" w:tplc="DD1ABF0C" w:tentative="1">
      <w:start w:val="1"/>
      <w:numFmt w:val="bullet"/>
      <w:lvlText w:val=""/>
      <w:lvlJc w:val="left"/>
      <w:pPr>
        <w:tabs>
          <w:tab w:val="num" w:pos="2880"/>
        </w:tabs>
        <w:ind w:left="2880" w:hanging="360"/>
      </w:pPr>
      <w:rPr>
        <w:rFonts w:ascii="Wingdings" w:hAnsi="Wingdings" w:hint="default"/>
      </w:rPr>
    </w:lvl>
    <w:lvl w:ilvl="4" w:tplc="A724BF6E" w:tentative="1">
      <w:start w:val="1"/>
      <w:numFmt w:val="bullet"/>
      <w:lvlText w:val=""/>
      <w:lvlJc w:val="left"/>
      <w:pPr>
        <w:tabs>
          <w:tab w:val="num" w:pos="3600"/>
        </w:tabs>
        <w:ind w:left="3600" w:hanging="360"/>
      </w:pPr>
      <w:rPr>
        <w:rFonts w:ascii="Wingdings" w:hAnsi="Wingdings" w:hint="default"/>
      </w:rPr>
    </w:lvl>
    <w:lvl w:ilvl="5" w:tplc="5D6094E6" w:tentative="1">
      <w:start w:val="1"/>
      <w:numFmt w:val="bullet"/>
      <w:lvlText w:val=""/>
      <w:lvlJc w:val="left"/>
      <w:pPr>
        <w:tabs>
          <w:tab w:val="num" w:pos="4320"/>
        </w:tabs>
        <w:ind w:left="4320" w:hanging="360"/>
      </w:pPr>
      <w:rPr>
        <w:rFonts w:ascii="Wingdings" w:hAnsi="Wingdings" w:hint="default"/>
      </w:rPr>
    </w:lvl>
    <w:lvl w:ilvl="6" w:tplc="B70E0E68" w:tentative="1">
      <w:start w:val="1"/>
      <w:numFmt w:val="bullet"/>
      <w:lvlText w:val=""/>
      <w:lvlJc w:val="left"/>
      <w:pPr>
        <w:tabs>
          <w:tab w:val="num" w:pos="5040"/>
        </w:tabs>
        <w:ind w:left="5040" w:hanging="360"/>
      </w:pPr>
      <w:rPr>
        <w:rFonts w:ascii="Wingdings" w:hAnsi="Wingdings" w:hint="default"/>
      </w:rPr>
    </w:lvl>
    <w:lvl w:ilvl="7" w:tplc="E69EF6FE" w:tentative="1">
      <w:start w:val="1"/>
      <w:numFmt w:val="bullet"/>
      <w:lvlText w:val=""/>
      <w:lvlJc w:val="left"/>
      <w:pPr>
        <w:tabs>
          <w:tab w:val="num" w:pos="5760"/>
        </w:tabs>
        <w:ind w:left="5760" w:hanging="360"/>
      </w:pPr>
      <w:rPr>
        <w:rFonts w:ascii="Wingdings" w:hAnsi="Wingdings" w:hint="default"/>
      </w:rPr>
    </w:lvl>
    <w:lvl w:ilvl="8" w:tplc="104A41AC" w:tentative="1">
      <w:start w:val="1"/>
      <w:numFmt w:val="bullet"/>
      <w:lvlText w:val=""/>
      <w:lvlJc w:val="left"/>
      <w:pPr>
        <w:tabs>
          <w:tab w:val="num" w:pos="6480"/>
        </w:tabs>
        <w:ind w:left="6480" w:hanging="360"/>
      </w:pPr>
      <w:rPr>
        <w:rFonts w:ascii="Wingdings" w:hAnsi="Wingdings" w:hint="default"/>
      </w:rPr>
    </w:lvl>
  </w:abstractNum>
  <w:abstractNum w:abstractNumId="26">
    <w:nsid w:val="4C257BC5"/>
    <w:multiLevelType w:val="multilevel"/>
    <w:tmpl w:val="BF7C78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145188A"/>
    <w:multiLevelType w:val="hybridMultilevel"/>
    <w:tmpl w:val="AF6C77F6"/>
    <w:lvl w:ilvl="0" w:tplc="006816D8">
      <w:start w:val="5"/>
      <w:numFmt w:val="upperRoman"/>
      <w:lvlText w:val="%1."/>
      <w:lvlJc w:val="left"/>
      <w:pPr>
        <w:ind w:left="4832" w:hanging="720"/>
      </w:pPr>
      <w:rPr>
        <w:rFonts w:hint="default"/>
      </w:rPr>
    </w:lvl>
    <w:lvl w:ilvl="1" w:tplc="08160019" w:tentative="1">
      <w:start w:val="1"/>
      <w:numFmt w:val="lowerLetter"/>
      <w:lvlText w:val="%2."/>
      <w:lvlJc w:val="left"/>
      <w:pPr>
        <w:ind w:left="5192" w:hanging="360"/>
      </w:pPr>
    </w:lvl>
    <w:lvl w:ilvl="2" w:tplc="0816001B" w:tentative="1">
      <w:start w:val="1"/>
      <w:numFmt w:val="lowerRoman"/>
      <w:lvlText w:val="%3."/>
      <w:lvlJc w:val="right"/>
      <w:pPr>
        <w:ind w:left="5912" w:hanging="180"/>
      </w:pPr>
    </w:lvl>
    <w:lvl w:ilvl="3" w:tplc="0816000F" w:tentative="1">
      <w:start w:val="1"/>
      <w:numFmt w:val="decimal"/>
      <w:lvlText w:val="%4."/>
      <w:lvlJc w:val="left"/>
      <w:pPr>
        <w:ind w:left="6632" w:hanging="360"/>
      </w:pPr>
    </w:lvl>
    <w:lvl w:ilvl="4" w:tplc="08160019" w:tentative="1">
      <w:start w:val="1"/>
      <w:numFmt w:val="lowerLetter"/>
      <w:lvlText w:val="%5."/>
      <w:lvlJc w:val="left"/>
      <w:pPr>
        <w:ind w:left="7352" w:hanging="360"/>
      </w:pPr>
    </w:lvl>
    <w:lvl w:ilvl="5" w:tplc="0816001B" w:tentative="1">
      <w:start w:val="1"/>
      <w:numFmt w:val="lowerRoman"/>
      <w:lvlText w:val="%6."/>
      <w:lvlJc w:val="right"/>
      <w:pPr>
        <w:ind w:left="8072" w:hanging="180"/>
      </w:pPr>
    </w:lvl>
    <w:lvl w:ilvl="6" w:tplc="0816000F" w:tentative="1">
      <w:start w:val="1"/>
      <w:numFmt w:val="decimal"/>
      <w:lvlText w:val="%7."/>
      <w:lvlJc w:val="left"/>
      <w:pPr>
        <w:ind w:left="8792" w:hanging="360"/>
      </w:pPr>
    </w:lvl>
    <w:lvl w:ilvl="7" w:tplc="08160019" w:tentative="1">
      <w:start w:val="1"/>
      <w:numFmt w:val="lowerLetter"/>
      <w:lvlText w:val="%8."/>
      <w:lvlJc w:val="left"/>
      <w:pPr>
        <w:ind w:left="9512" w:hanging="360"/>
      </w:pPr>
    </w:lvl>
    <w:lvl w:ilvl="8" w:tplc="0816001B" w:tentative="1">
      <w:start w:val="1"/>
      <w:numFmt w:val="lowerRoman"/>
      <w:lvlText w:val="%9."/>
      <w:lvlJc w:val="right"/>
      <w:pPr>
        <w:ind w:left="10232" w:hanging="180"/>
      </w:pPr>
    </w:lvl>
  </w:abstractNum>
  <w:abstractNum w:abstractNumId="28">
    <w:nsid w:val="52053FCD"/>
    <w:multiLevelType w:val="multilevel"/>
    <w:tmpl w:val="C7C2FE68"/>
    <w:lvl w:ilvl="0">
      <w:start w:val="1"/>
      <w:numFmt w:val="decimal"/>
      <w:lvlText w:val="%1."/>
      <w:lvlJc w:val="left"/>
      <w:pPr>
        <w:ind w:left="7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29">
    <w:nsid w:val="52072FF5"/>
    <w:multiLevelType w:val="multilevel"/>
    <w:tmpl w:val="1D2C8A54"/>
    <w:lvl w:ilvl="0">
      <w:start w:val="1"/>
      <w:numFmt w:val="upperRoman"/>
      <w:lvlText w:val="%1."/>
      <w:lvlJc w:val="left"/>
      <w:pPr>
        <w:ind w:left="780" w:hanging="720"/>
      </w:pPr>
      <w:rPr>
        <w:rFonts w:hint="default"/>
      </w:rPr>
    </w:lvl>
    <w:lvl w:ilvl="1">
      <w:start w:val="2"/>
      <w:numFmt w:val="decimal"/>
      <w:isLgl/>
      <w:lvlText w:val="%1.%2"/>
      <w:lvlJc w:val="left"/>
      <w:pPr>
        <w:ind w:left="117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670"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5430" w:hanging="1800"/>
      </w:pPr>
      <w:rPr>
        <w:rFonts w:hint="default"/>
      </w:rPr>
    </w:lvl>
    <w:lvl w:ilvl="8">
      <w:start w:val="1"/>
      <w:numFmt w:val="decimal"/>
      <w:isLgl/>
      <w:lvlText w:val="%1.%2.%3.%4.%5.%6.%7.%8.%9"/>
      <w:lvlJc w:val="left"/>
      <w:pPr>
        <w:ind w:left="6300" w:hanging="2160"/>
      </w:pPr>
      <w:rPr>
        <w:rFonts w:hint="default"/>
      </w:rPr>
    </w:lvl>
  </w:abstractNum>
  <w:abstractNum w:abstractNumId="30">
    <w:nsid w:val="56C03CD6"/>
    <w:multiLevelType w:val="hybridMultilevel"/>
    <w:tmpl w:val="E81E7A7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583B2023"/>
    <w:multiLevelType w:val="multilevel"/>
    <w:tmpl w:val="07CEB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054231"/>
    <w:multiLevelType w:val="hybridMultilevel"/>
    <w:tmpl w:val="A27ABFB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nsid w:val="63200136"/>
    <w:multiLevelType w:val="multilevel"/>
    <w:tmpl w:val="288CD7BC"/>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86E1DD2"/>
    <w:multiLevelType w:val="hybridMultilevel"/>
    <w:tmpl w:val="9FEE05E8"/>
    <w:lvl w:ilvl="0" w:tplc="605294A2">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69855175"/>
    <w:multiLevelType w:val="multilevel"/>
    <w:tmpl w:val="BF7C78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69AB7FD7"/>
    <w:multiLevelType w:val="multilevel"/>
    <w:tmpl w:val="BF7C78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9F05E8B"/>
    <w:multiLevelType w:val="multilevel"/>
    <w:tmpl w:val="90B4B48E"/>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6DA4713A"/>
    <w:multiLevelType w:val="multilevel"/>
    <w:tmpl w:val="BF7C78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DAD6491"/>
    <w:multiLevelType w:val="hybridMultilevel"/>
    <w:tmpl w:val="2F74FD94"/>
    <w:lvl w:ilvl="0" w:tplc="08160001">
      <w:start w:val="1"/>
      <w:numFmt w:val="bullet"/>
      <w:lvlText w:val=""/>
      <w:lvlJc w:val="left"/>
      <w:pPr>
        <w:ind w:left="720" w:hanging="360"/>
      </w:pPr>
      <w:rPr>
        <w:rFonts w:ascii="Symbol" w:hAnsi="Symbol" w:hint="default"/>
      </w:rPr>
    </w:lvl>
    <w:lvl w:ilvl="1" w:tplc="00C49CAC">
      <w:numFmt w:val="bullet"/>
      <w:lvlText w:val="-"/>
      <w:lvlJc w:val="left"/>
      <w:pPr>
        <w:ind w:left="1440" w:hanging="360"/>
      </w:pPr>
      <w:rPr>
        <w:rFonts w:ascii="Calibri" w:eastAsiaTheme="minorHAnsi" w:hAnsi="Calibri" w:cs="TimesNewRoman" w:hint="default"/>
        <w:color w:val="231F20"/>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70B34FCF"/>
    <w:multiLevelType w:val="multilevel"/>
    <w:tmpl w:val="BF7C78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52B45E6"/>
    <w:multiLevelType w:val="multilevel"/>
    <w:tmpl w:val="A456106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7647465F"/>
    <w:multiLevelType w:val="multilevel"/>
    <w:tmpl w:val="16D67162"/>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3">
    <w:nsid w:val="7E8C11EB"/>
    <w:multiLevelType w:val="multilevel"/>
    <w:tmpl w:val="BF7C78E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0"/>
  </w:num>
  <w:num w:numId="2">
    <w:abstractNumId w:val="32"/>
  </w:num>
  <w:num w:numId="3">
    <w:abstractNumId w:val="15"/>
  </w:num>
  <w:num w:numId="4">
    <w:abstractNumId w:val="26"/>
  </w:num>
  <w:num w:numId="5">
    <w:abstractNumId w:val="29"/>
  </w:num>
  <w:num w:numId="6">
    <w:abstractNumId w:val="22"/>
  </w:num>
  <w:num w:numId="7">
    <w:abstractNumId w:val="36"/>
  </w:num>
  <w:num w:numId="8">
    <w:abstractNumId w:val="38"/>
  </w:num>
  <w:num w:numId="9">
    <w:abstractNumId w:val="17"/>
  </w:num>
  <w:num w:numId="10">
    <w:abstractNumId w:val="14"/>
  </w:num>
  <w:num w:numId="11">
    <w:abstractNumId w:val="12"/>
  </w:num>
  <w:num w:numId="12">
    <w:abstractNumId w:val="6"/>
  </w:num>
  <w:num w:numId="13">
    <w:abstractNumId w:val="11"/>
  </w:num>
  <w:num w:numId="14">
    <w:abstractNumId w:val="30"/>
  </w:num>
  <w:num w:numId="15">
    <w:abstractNumId w:val="35"/>
  </w:num>
  <w:num w:numId="16">
    <w:abstractNumId w:val="8"/>
  </w:num>
  <w:num w:numId="17">
    <w:abstractNumId w:val="10"/>
  </w:num>
  <w:num w:numId="18">
    <w:abstractNumId w:val="34"/>
  </w:num>
  <w:num w:numId="19">
    <w:abstractNumId w:val="31"/>
  </w:num>
  <w:num w:numId="20">
    <w:abstractNumId w:val="24"/>
  </w:num>
  <w:num w:numId="21">
    <w:abstractNumId w:val="42"/>
  </w:num>
  <w:num w:numId="22">
    <w:abstractNumId w:val="19"/>
  </w:num>
  <w:num w:numId="23">
    <w:abstractNumId w:val="18"/>
  </w:num>
  <w:num w:numId="24">
    <w:abstractNumId w:val="28"/>
  </w:num>
  <w:num w:numId="25">
    <w:abstractNumId w:val="13"/>
  </w:num>
  <w:num w:numId="26">
    <w:abstractNumId w:val="43"/>
  </w:num>
  <w:num w:numId="27">
    <w:abstractNumId w:val="16"/>
  </w:num>
  <w:num w:numId="28">
    <w:abstractNumId w:val="23"/>
  </w:num>
  <w:num w:numId="29">
    <w:abstractNumId w:val="3"/>
  </w:num>
  <w:num w:numId="30">
    <w:abstractNumId w:val="25"/>
  </w:num>
  <w:num w:numId="31">
    <w:abstractNumId w:val="33"/>
  </w:num>
  <w:num w:numId="32">
    <w:abstractNumId w:val="41"/>
  </w:num>
  <w:num w:numId="33">
    <w:abstractNumId w:val="5"/>
  </w:num>
  <w:num w:numId="34">
    <w:abstractNumId w:val="27"/>
  </w:num>
  <w:num w:numId="35">
    <w:abstractNumId w:val="21"/>
  </w:num>
  <w:num w:numId="36">
    <w:abstractNumId w:val="39"/>
  </w:num>
  <w:num w:numId="37">
    <w:abstractNumId w:val="37"/>
  </w:num>
  <w:num w:numId="38">
    <w:abstractNumId w:val="1"/>
  </w:num>
  <w:num w:numId="39">
    <w:abstractNumId w:val="0"/>
  </w:num>
  <w:num w:numId="40">
    <w:abstractNumId w:val="4"/>
  </w:num>
  <w:num w:numId="41">
    <w:abstractNumId w:val="7"/>
  </w:num>
  <w:num w:numId="42">
    <w:abstractNumId w:val="20"/>
  </w:num>
  <w:num w:numId="43">
    <w:abstractNumId w:val="2"/>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drawingGridHorizontalSpacing w:val="110"/>
  <w:displayHorizontalDrawingGridEvery w:val="2"/>
  <w:characterSpacingControl w:val="doNotCompress"/>
  <w:hdrShapeDefaults>
    <o:shapedefaults v:ext="edit" spidmax="2050">
      <o:colormenu v:ext="edit" fillcolor="none" stroke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E60045"/>
    <w:rsid w:val="00000D14"/>
    <w:rsid w:val="000021BF"/>
    <w:rsid w:val="00010F98"/>
    <w:rsid w:val="00014BD8"/>
    <w:rsid w:val="00016241"/>
    <w:rsid w:val="000203F6"/>
    <w:rsid w:val="00021D17"/>
    <w:rsid w:val="0002214E"/>
    <w:rsid w:val="00023EF5"/>
    <w:rsid w:val="00030A33"/>
    <w:rsid w:val="000315F2"/>
    <w:rsid w:val="0003186B"/>
    <w:rsid w:val="00031E6B"/>
    <w:rsid w:val="00033C89"/>
    <w:rsid w:val="00035632"/>
    <w:rsid w:val="0003564A"/>
    <w:rsid w:val="00044834"/>
    <w:rsid w:val="0004501B"/>
    <w:rsid w:val="000467F7"/>
    <w:rsid w:val="00050CE7"/>
    <w:rsid w:val="00050E0D"/>
    <w:rsid w:val="000529CE"/>
    <w:rsid w:val="00053808"/>
    <w:rsid w:val="0005578A"/>
    <w:rsid w:val="000603A0"/>
    <w:rsid w:val="000607F9"/>
    <w:rsid w:val="00061BD6"/>
    <w:rsid w:val="00062519"/>
    <w:rsid w:val="000631C1"/>
    <w:rsid w:val="0006465B"/>
    <w:rsid w:val="00065423"/>
    <w:rsid w:val="00067722"/>
    <w:rsid w:val="000677B2"/>
    <w:rsid w:val="000710F4"/>
    <w:rsid w:val="000713E1"/>
    <w:rsid w:val="00071950"/>
    <w:rsid w:val="00073120"/>
    <w:rsid w:val="00074942"/>
    <w:rsid w:val="00076981"/>
    <w:rsid w:val="00077E61"/>
    <w:rsid w:val="00080721"/>
    <w:rsid w:val="0008575F"/>
    <w:rsid w:val="0009054C"/>
    <w:rsid w:val="00091DC8"/>
    <w:rsid w:val="00093C4E"/>
    <w:rsid w:val="0009428A"/>
    <w:rsid w:val="00097994"/>
    <w:rsid w:val="000A4E20"/>
    <w:rsid w:val="000A5766"/>
    <w:rsid w:val="000A6436"/>
    <w:rsid w:val="000B266F"/>
    <w:rsid w:val="000B55CF"/>
    <w:rsid w:val="000B7282"/>
    <w:rsid w:val="000C1367"/>
    <w:rsid w:val="000C1511"/>
    <w:rsid w:val="000C1D14"/>
    <w:rsid w:val="000C2D4B"/>
    <w:rsid w:val="000C3B57"/>
    <w:rsid w:val="000C5226"/>
    <w:rsid w:val="000C625A"/>
    <w:rsid w:val="000D363B"/>
    <w:rsid w:val="000D40AB"/>
    <w:rsid w:val="000D5748"/>
    <w:rsid w:val="000E1996"/>
    <w:rsid w:val="000E2563"/>
    <w:rsid w:val="000E2ED3"/>
    <w:rsid w:val="000E3C66"/>
    <w:rsid w:val="000E7D93"/>
    <w:rsid w:val="000F0A26"/>
    <w:rsid w:val="000F1960"/>
    <w:rsid w:val="000F1A83"/>
    <w:rsid w:val="000F20ED"/>
    <w:rsid w:val="000F24C4"/>
    <w:rsid w:val="000F4103"/>
    <w:rsid w:val="000F414E"/>
    <w:rsid w:val="00102B2B"/>
    <w:rsid w:val="00105E28"/>
    <w:rsid w:val="00106DB2"/>
    <w:rsid w:val="00107D8A"/>
    <w:rsid w:val="0011134C"/>
    <w:rsid w:val="00114B56"/>
    <w:rsid w:val="00114C78"/>
    <w:rsid w:val="001154D3"/>
    <w:rsid w:val="00115E0E"/>
    <w:rsid w:val="00116E01"/>
    <w:rsid w:val="00117D0C"/>
    <w:rsid w:val="0012017F"/>
    <w:rsid w:val="001249EF"/>
    <w:rsid w:val="0012685C"/>
    <w:rsid w:val="001321A4"/>
    <w:rsid w:val="00132F12"/>
    <w:rsid w:val="00133165"/>
    <w:rsid w:val="00133444"/>
    <w:rsid w:val="00133545"/>
    <w:rsid w:val="00134DE9"/>
    <w:rsid w:val="00135A11"/>
    <w:rsid w:val="001361B2"/>
    <w:rsid w:val="001362F3"/>
    <w:rsid w:val="00136B0C"/>
    <w:rsid w:val="0014109C"/>
    <w:rsid w:val="00141BDB"/>
    <w:rsid w:val="00141C3A"/>
    <w:rsid w:val="001421FE"/>
    <w:rsid w:val="00144186"/>
    <w:rsid w:val="0014445E"/>
    <w:rsid w:val="00150E0D"/>
    <w:rsid w:val="00152DEE"/>
    <w:rsid w:val="0015361C"/>
    <w:rsid w:val="001539F5"/>
    <w:rsid w:val="001577D1"/>
    <w:rsid w:val="00160A39"/>
    <w:rsid w:val="00160DF6"/>
    <w:rsid w:val="00161495"/>
    <w:rsid w:val="00162251"/>
    <w:rsid w:val="0016588B"/>
    <w:rsid w:val="00165FE3"/>
    <w:rsid w:val="00167EE5"/>
    <w:rsid w:val="00171471"/>
    <w:rsid w:val="00171CE9"/>
    <w:rsid w:val="00173341"/>
    <w:rsid w:val="001740A1"/>
    <w:rsid w:val="00175642"/>
    <w:rsid w:val="00175F49"/>
    <w:rsid w:val="00182990"/>
    <w:rsid w:val="00184A58"/>
    <w:rsid w:val="00186A70"/>
    <w:rsid w:val="00186ACD"/>
    <w:rsid w:val="001879C4"/>
    <w:rsid w:val="00192313"/>
    <w:rsid w:val="001927AD"/>
    <w:rsid w:val="00193797"/>
    <w:rsid w:val="001937BC"/>
    <w:rsid w:val="00193C57"/>
    <w:rsid w:val="0019432E"/>
    <w:rsid w:val="00194B08"/>
    <w:rsid w:val="00195D5C"/>
    <w:rsid w:val="00196F39"/>
    <w:rsid w:val="001A128E"/>
    <w:rsid w:val="001A137F"/>
    <w:rsid w:val="001A142E"/>
    <w:rsid w:val="001A3307"/>
    <w:rsid w:val="001A37D2"/>
    <w:rsid w:val="001A4E81"/>
    <w:rsid w:val="001A7A80"/>
    <w:rsid w:val="001B1113"/>
    <w:rsid w:val="001B1A13"/>
    <w:rsid w:val="001B302E"/>
    <w:rsid w:val="001B337B"/>
    <w:rsid w:val="001B4568"/>
    <w:rsid w:val="001C1FA5"/>
    <w:rsid w:val="001C4205"/>
    <w:rsid w:val="001C5438"/>
    <w:rsid w:val="001C5CCD"/>
    <w:rsid w:val="001C6599"/>
    <w:rsid w:val="001C79D2"/>
    <w:rsid w:val="001C7B83"/>
    <w:rsid w:val="001C7FB6"/>
    <w:rsid w:val="001D0650"/>
    <w:rsid w:val="001D624D"/>
    <w:rsid w:val="001E20F8"/>
    <w:rsid w:val="001E266E"/>
    <w:rsid w:val="001E4154"/>
    <w:rsid w:val="001E4CFA"/>
    <w:rsid w:val="001F383A"/>
    <w:rsid w:val="001F407D"/>
    <w:rsid w:val="001F4EC0"/>
    <w:rsid w:val="002013B5"/>
    <w:rsid w:val="0021030E"/>
    <w:rsid w:val="002111AC"/>
    <w:rsid w:val="00212528"/>
    <w:rsid w:val="002129D3"/>
    <w:rsid w:val="002130D9"/>
    <w:rsid w:val="00213E01"/>
    <w:rsid w:val="0021429E"/>
    <w:rsid w:val="00217ED7"/>
    <w:rsid w:val="00217F0A"/>
    <w:rsid w:val="00220253"/>
    <w:rsid w:val="00220728"/>
    <w:rsid w:val="0022201C"/>
    <w:rsid w:val="00226842"/>
    <w:rsid w:val="00231865"/>
    <w:rsid w:val="00232AE0"/>
    <w:rsid w:val="002342E0"/>
    <w:rsid w:val="002352DE"/>
    <w:rsid w:val="002407E3"/>
    <w:rsid w:val="0024197F"/>
    <w:rsid w:val="00243570"/>
    <w:rsid w:val="002454D2"/>
    <w:rsid w:val="00245A85"/>
    <w:rsid w:val="002511C2"/>
    <w:rsid w:val="00252C5B"/>
    <w:rsid w:val="002566BA"/>
    <w:rsid w:val="002569F6"/>
    <w:rsid w:val="00260FFD"/>
    <w:rsid w:val="00262570"/>
    <w:rsid w:val="00265E07"/>
    <w:rsid w:val="002665DC"/>
    <w:rsid w:val="00266668"/>
    <w:rsid w:val="00266F31"/>
    <w:rsid w:val="002703CA"/>
    <w:rsid w:val="002705B6"/>
    <w:rsid w:val="00271AA6"/>
    <w:rsid w:val="00272272"/>
    <w:rsid w:val="00272EC2"/>
    <w:rsid w:val="0027348E"/>
    <w:rsid w:val="002775B2"/>
    <w:rsid w:val="00280503"/>
    <w:rsid w:val="00280757"/>
    <w:rsid w:val="00295BD6"/>
    <w:rsid w:val="0029756B"/>
    <w:rsid w:val="002A157A"/>
    <w:rsid w:val="002A41E6"/>
    <w:rsid w:val="002A5FBA"/>
    <w:rsid w:val="002A608C"/>
    <w:rsid w:val="002A7FD1"/>
    <w:rsid w:val="002B4BE3"/>
    <w:rsid w:val="002C48DB"/>
    <w:rsid w:val="002C6584"/>
    <w:rsid w:val="002D3E5D"/>
    <w:rsid w:val="002D752D"/>
    <w:rsid w:val="002E1CAA"/>
    <w:rsid w:val="002E1DD6"/>
    <w:rsid w:val="002E2B3E"/>
    <w:rsid w:val="002E7DAE"/>
    <w:rsid w:val="002F261D"/>
    <w:rsid w:val="002F62D1"/>
    <w:rsid w:val="002F6A0D"/>
    <w:rsid w:val="002F6C67"/>
    <w:rsid w:val="002F7A8F"/>
    <w:rsid w:val="0030115B"/>
    <w:rsid w:val="00301520"/>
    <w:rsid w:val="00301840"/>
    <w:rsid w:val="0030260B"/>
    <w:rsid w:val="00307F09"/>
    <w:rsid w:val="00312551"/>
    <w:rsid w:val="00313002"/>
    <w:rsid w:val="00317D0A"/>
    <w:rsid w:val="00317FCE"/>
    <w:rsid w:val="00321D35"/>
    <w:rsid w:val="00322A7E"/>
    <w:rsid w:val="00322E2B"/>
    <w:rsid w:val="0032424C"/>
    <w:rsid w:val="00325932"/>
    <w:rsid w:val="00325D96"/>
    <w:rsid w:val="00330F69"/>
    <w:rsid w:val="0033176F"/>
    <w:rsid w:val="003332AA"/>
    <w:rsid w:val="00334C3B"/>
    <w:rsid w:val="003363ED"/>
    <w:rsid w:val="003418BB"/>
    <w:rsid w:val="0034263F"/>
    <w:rsid w:val="003427C8"/>
    <w:rsid w:val="00343C2B"/>
    <w:rsid w:val="00345BBA"/>
    <w:rsid w:val="00347104"/>
    <w:rsid w:val="003513BA"/>
    <w:rsid w:val="0035358A"/>
    <w:rsid w:val="003539D7"/>
    <w:rsid w:val="00354D55"/>
    <w:rsid w:val="003561A4"/>
    <w:rsid w:val="00374BBA"/>
    <w:rsid w:val="00374F04"/>
    <w:rsid w:val="0037704F"/>
    <w:rsid w:val="0037708B"/>
    <w:rsid w:val="00380D9A"/>
    <w:rsid w:val="003820E5"/>
    <w:rsid w:val="003831C6"/>
    <w:rsid w:val="00383A0A"/>
    <w:rsid w:val="00387C78"/>
    <w:rsid w:val="00390D37"/>
    <w:rsid w:val="0039404C"/>
    <w:rsid w:val="003945F3"/>
    <w:rsid w:val="00394795"/>
    <w:rsid w:val="00394D1E"/>
    <w:rsid w:val="00395AD8"/>
    <w:rsid w:val="00397BD8"/>
    <w:rsid w:val="00397F71"/>
    <w:rsid w:val="003A04C9"/>
    <w:rsid w:val="003A4190"/>
    <w:rsid w:val="003A6E6B"/>
    <w:rsid w:val="003B1479"/>
    <w:rsid w:val="003B16CD"/>
    <w:rsid w:val="003C1232"/>
    <w:rsid w:val="003C5C08"/>
    <w:rsid w:val="003C630E"/>
    <w:rsid w:val="003C7FD6"/>
    <w:rsid w:val="003D2257"/>
    <w:rsid w:val="003D394A"/>
    <w:rsid w:val="003D5321"/>
    <w:rsid w:val="003D6683"/>
    <w:rsid w:val="003D7546"/>
    <w:rsid w:val="003D7774"/>
    <w:rsid w:val="003E17B5"/>
    <w:rsid w:val="003E6873"/>
    <w:rsid w:val="003E68ED"/>
    <w:rsid w:val="003F06EE"/>
    <w:rsid w:val="003F0E95"/>
    <w:rsid w:val="003F352D"/>
    <w:rsid w:val="003F354F"/>
    <w:rsid w:val="003F38B7"/>
    <w:rsid w:val="003F3ED9"/>
    <w:rsid w:val="003F46BB"/>
    <w:rsid w:val="003F7345"/>
    <w:rsid w:val="003F7356"/>
    <w:rsid w:val="00400142"/>
    <w:rsid w:val="00401FAA"/>
    <w:rsid w:val="004028C5"/>
    <w:rsid w:val="00402BB4"/>
    <w:rsid w:val="00402E7C"/>
    <w:rsid w:val="00402F72"/>
    <w:rsid w:val="0040688F"/>
    <w:rsid w:val="00407588"/>
    <w:rsid w:val="0041060D"/>
    <w:rsid w:val="00410B4F"/>
    <w:rsid w:val="00416C60"/>
    <w:rsid w:val="00421849"/>
    <w:rsid w:val="004305F6"/>
    <w:rsid w:val="0043082D"/>
    <w:rsid w:val="004407E4"/>
    <w:rsid w:val="00440AC7"/>
    <w:rsid w:val="0044109C"/>
    <w:rsid w:val="0044256C"/>
    <w:rsid w:val="004516E8"/>
    <w:rsid w:val="00454A98"/>
    <w:rsid w:val="00462ACF"/>
    <w:rsid w:val="00465D65"/>
    <w:rsid w:val="00465E64"/>
    <w:rsid w:val="00467535"/>
    <w:rsid w:val="00473FB0"/>
    <w:rsid w:val="0047540F"/>
    <w:rsid w:val="00482F05"/>
    <w:rsid w:val="00483FB5"/>
    <w:rsid w:val="00487142"/>
    <w:rsid w:val="004904EC"/>
    <w:rsid w:val="00490C6A"/>
    <w:rsid w:val="00491C37"/>
    <w:rsid w:val="00495FC5"/>
    <w:rsid w:val="00497DAB"/>
    <w:rsid w:val="004A0101"/>
    <w:rsid w:val="004A1571"/>
    <w:rsid w:val="004A2E28"/>
    <w:rsid w:val="004A51EC"/>
    <w:rsid w:val="004A53B1"/>
    <w:rsid w:val="004A6555"/>
    <w:rsid w:val="004A7091"/>
    <w:rsid w:val="004A7CBE"/>
    <w:rsid w:val="004B298D"/>
    <w:rsid w:val="004B3717"/>
    <w:rsid w:val="004B55AD"/>
    <w:rsid w:val="004B6675"/>
    <w:rsid w:val="004B7C81"/>
    <w:rsid w:val="004C1B2E"/>
    <w:rsid w:val="004C1D95"/>
    <w:rsid w:val="004C2FA3"/>
    <w:rsid w:val="004C46EC"/>
    <w:rsid w:val="004D70B6"/>
    <w:rsid w:val="004D730D"/>
    <w:rsid w:val="004E2329"/>
    <w:rsid w:val="004E35FB"/>
    <w:rsid w:val="004E41C6"/>
    <w:rsid w:val="004E5656"/>
    <w:rsid w:val="004E5E3B"/>
    <w:rsid w:val="004F0E2D"/>
    <w:rsid w:val="004F4FE9"/>
    <w:rsid w:val="004F569A"/>
    <w:rsid w:val="004F5D16"/>
    <w:rsid w:val="0050060E"/>
    <w:rsid w:val="00501A10"/>
    <w:rsid w:val="00501FA6"/>
    <w:rsid w:val="00502C79"/>
    <w:rsid w:val="00503E7F"/>
    <w:rsid w:val="00505D72"/>
    <w:rsid w:val="00512B96"/>
    <w:rsid w:val="005130E2"/>
    <w:rsid w:val="0052019A"/>
    <w:rsid w:val="00520AF8"/>
    <w:rsid w:val="00522696"/>
    <w:rsid w:val="00525CBE"/>
    <w:rsid w:val="005270C8"/>
    <w:rsid w:val="00527929"/>
    <w:rsid w:val="0053069E"/>
    <w:rsid w:val="00535C7C"/>
    <w:rsid w:val="00536197"/>
    <w:rsid w:val="00537423"/>
    <w:rsid w:val="00540CB3"/>
    <w:rsid w:val="005412A5"/>
    <w:rsid w:val="0054246C"/>
    <w:rsid w:val="005427B9"/>
    <w:rsid w:val="00551257"/>
    <w:rsid w:val="00551AC9"/>
    <w:rsid w:val="0055427D"/>
    <w:rsid w:val="00555135"/>
    <w:rsid w:val="005627B2"/>
    <w:rsid w:val="00562DE4"/>
    <w:rsid w:val="00563F98"/>
    <w:rsid w:val="00565564"/>
    <w:rsid w:val="00565AF3"/>
    <w:rsid w:val="00566532"/>
    <w:rsid w:val="005672B5"/>
    <w:rsid w:val="00570CAB"/>
    <w:rsid w:val="005738C2"/>
    <w:rsid w:val="00575C17"/>
    <w:rsid w:val="00575C51"/>
    <w:rsid w:val="0058027C"/>
    <w:rsid w:val="0058032A"/>
    <w:rsid w:val="00584697"/>
    <w:rsid w:val="00592532"/>
    <w:rsid w:val="005953B1"/>
    <w:rsid w:val="00595F26"/>
    <w:rsid w:val="005A0E33"/>
    <w:rsid w:val="005A1799"/>
    <w:rsid w:val="005A33D0"/>
    <w:rsid w:val="005A5220"/>
    <w:rsid w:val="005B03A2"/>
    <w:rsid w:val="005B07CB"/>
    <w:rsid w:val="005B4DDA"/>
    <w:rsid w:val="005B6263"/>
    <w:rsid w:val="005B62B1"/>
    <w:rsid w:val="005C0456"/>
    <w:rsid w:val="005C0AAD"/>
    <w:rsid w:val="005C2820"/>
    <w:rsid w:val="005C2F6C"/>
    <w:rsid w:val="005D1E00"/>
    <w:rsid w:val="005D2EF7"/>
    <w:rsid w:val="005D53F8"/>
    <w:rsid w:val="005D684E"/>
    <w:rsid w:val="005D6AB7"/>
    <w:rsid w:val="005E035E"/>
    <w:rsid w:val="005E185D"/>
    <w:rsid w:val="005E27A5"/>
    <w:rsid w:val="005E664A"/>
    <w:rsid w:val="005E6D27"/>
    <w:rsid w:val="005F2DBD"/>
    <w:rsid w:val="005F39BD"/>
    <w:rsid w:val="005F7788"/>
    <w:rsid w:val="006007E2"/>
    <w:rsid w:val="0060139B"/>
    <w:rsid w:val="006034A7"/>
    <w:rsid w:val="0060546E"/>
    <w:rsid w:val="0060643D"/>
    <w:rsid w:val="0060766F"/>
    <w:rsid w:val="00607B43"/>
    <w:rsid w:val="006109E7"/>
    <w:rsid w:val="00611CD9"/>
    <w:rsid w:val="0061443B"/>
    <w:rsid w:val="006149AF"/>
    <w:rsid w:val="006155F7"/>
    <w:rsid w:val="006167EB"/>
    <w:rsid w:val="006236FC"/>
    <w:rsid w:val="00624F15"/>
    <w:rsid w:val="00625524"/>
    <w:rsid w:val="00627B75"/>
    <w:rsid w:val="00632563"/>
    <w:rsid w:val="00632C51"/>
    <w:rsid w:val="00633111"/>
    <w:rsid w:val="006334D4"/>
    <w:rsid w:val="00636D4C"/>
    <w:rsid w:val="006370DD"/>
    <w:rsid w:val="006404BE"/>
    <w:rsid w:val="00640BD5"/>
    <w:rsid w:val="00643818"/>
    <w:rsid w:val="0064741D"/>
    <w:rsid w:val="00647D2B"/>
    <w:rsid w:val="00647EAD"/>
    <w:rsid w:val="00650DB7"/>
    <w:rsid w:val="00650FC9"/>
    <w:rsid w:val="00653234"/>
    <w:rsid w:val="006533BD"/>
    <w:rsid w:val="00654C96"/>
    <w:rsid w:val="006559A4"/>
    <w:rsid w:val="00655A4A"/>
    <w:rsid w:val="00656743"/>
    <w:rsid w:val="006569A9"/>
    <w:rsid w:val="00657398"/>
    <w:rsid w:val="00660342"/>
    <w:rsid w:val="00661A33"/>
    <w:rsid w:val="00661F4C"/>
    <w:rsid w:val="00663AC9"/>
    <w:rsid w:val="0066447C"/>
    <w:rsid w:val="006712EF"/>
    <w:rsid w:val="00671F9B"/>
    <w:rsid w:val="0067264E"/>
    <w:rsid w:val="006735C9"/>
    <w:rsid w:val="006737F5"/>
    <w:rsid w:val="0067566F"/>
    <w:rsid w:val="006779AB"/>
    <w:rsid w:val="00680153"/>
    <w:rsid w:val="0068103F"/>
    <w:rsid w:val="006829DA"/>
    <w:rsid w:val="006847AC"/>
    <w:rsid w:val="00684B4B"/>
    <w:rsid w:val="00685367"/>
    <w:rsid w:val="00687F5F"/>
    <w:rsid w:val="0069212F"/>
    <w:rsid w:val="00692406"/>
    <w:rsid w:val="00692A63"/>
    <w:rsid w:val="00693E86"/>
    <w:rsid w:val="0069401E"/>
    <w:rsid w:val="006966E1"/>
    <w:rsid w:val="006A0930"/>
    <w:rsid w:val="006A1157"/>
    <w:rsid w:val="006A2A5E"/>
    <w:rsid w:val="006A3E92"/>
    <w:rsid w:val="006A4B57"/>
    <w:rsid w:val="006A5F6E"/>
    <w:rsid w:val="006A67B3"/>
    <w:rsid w:val="006A6870"/>
    <w:rsid w:val="006B0822"/>
    <w:rsid w:val="006B1B7A"/>
    <w:rsid w:val="006B27BF"/>
    <w:rsid w:val="006B3514"/>
    <w:rsid w:val="006B707A"/>
    <w:rsid w:val="006B7CB6"/>
    <w:rsid w:val="006C2097"/>
    <w:rsid w:val="006C3477"/>
    <w:rsid w:val="006D0BF0"/>
    <w:rsid w:val="006D14C7"/>
    <w:rsid w:val="006D268D"/>
    <w:rsid w:val="006D4B2E"/>
    <w:rsid w:val="006E13B7"/>
    <w:rsid w:val="006E2647"/>
    <w:rsid w:val="006E331F"/>
    <w:rsid w:val="006E3DF7"/>
    <w:rsid w:val="006E70BD"/>
    <w:rsid w:val="006E7E51"/>
    <w:rsid w:val="006E7FB1"/>
    <w:rsid w:val="006F1BE8"/>
    <w:rsid w:val="006F1D49"/>
    <w:rsid w:val="006F63EE"/>
    <w:rsid w:val="00700955"/>
    <w:rsid w:val="0070430B"/>
    <w:rsid w:val="00704F73"/>
    <w:rsid w:val="00713F12"/>
    <w:rsid w:val="007147F7"/>
    <w:rsid w:val="00715014"/>
    <w:rsid w:val="00715373"/>
    <w:rsid w:val="00716FDA"/>
    <w:rsid w:val="00721162"/>
    <w:rsid w:val="00721344"/>
    <w:rsid w:val="007228E3"/>
    <w:rsid w:val="00723392"/>
    <w:rsid w:val="00725ADB"/>
    <w:rsid w:val="00726EBD"/>
    <w:rsid w:val="0072754B"/>
    <w:rsid w:val="00727607"/>
    <w:rsid w:val="00732FC2"/>
    <w:rsid w:val="00733952"/>
    <w:rsid w:val="00737092"/>
    <w:rsid w:val="00737F38"/>
    <w:rsid w:val="0074039F"/>
    <w:rsid w:val="0074159B"/>
    <w:rsid w:val="00742E5B"/>
    <w:rsid w:val="007443DE"/>
    <w:rsid w:val="00750D2A"/>
    <w:rsid w:val="00755DAD"/>
    <w:rsid w:val="00756527"/>
    <w:rsid w:val="00757249"/>
    <w:rsid w:val="00763849"/>
    <w:rsid w:val="00764073"/>
    <w:rsid w:val="00764FD7"/>
    <w:rsid w:val="0076585B"/>
    <w:rsid w:val="0076663C"/>
    <w:rsid w:val="00767BF9"/>
    <w:rsid w:val="007706B9"/>
    <w:rsid w:val="00774ED8"/>
    <w:rsid w:val="0077507E"/>
    <w:rsid w:val="007764A7"/>
    <w:rsid w:val="00777DD9"/>
    <w:rsid w:val="00782737"/>
    <w:rsid w:val="007836CA"/>
    <w:rsid w:val="007841B8"/>
    <w:rsid w:val="00787481"/>
    <w:rsid w:val="0079348A"/>
    <w:rsid w:val="00794DB0"/>
    <w:rsid w:val="007A17CD"/>
    <w:rsid w:val="007A258C"/>
    <w:rsid w:val="007A2D70"/>
    <w:rsid w:val="007A5197"/>
    <w:rsid w:val="007A52EA"/>
    <w:rsid w:val="007A7471"/>
    <w:rsid w:val="007A7F47"/>
    <w:rsid w:val="007B02FE"/>
    <w:rsid w:val="007B19F5"/>
    <w:rsid w:val="007B3392"/>
    <w:rsid w:val="007B4D82"/>
    <w:rsid w:val="007B5FD7"/>
    <w:rsid w:val="007B61A8"/>
    <w:rsid w:val="007B6DF8"/>
    <w:rsid w:val="007B72C1"/>
    <w:rsid w:val="007C2FC7"/>
    <w:rsid w:val="007C6823"/>
    <w:rsid w:val="007D549B"/>
    <w:rsid w:val="007D57BC"/>
    <w:rsid w:val="007E1CA7"/>
    <w:rsid w:val="007E37B5"/>
    <w:rsid w:val="007E57E6"/>
    <w:rsid w:val="007F15D4"/>
    <w:rsid w:val="007F2677"/>
    <w:rsid w:val="007F2DAD"/>
    <w:rsid w:val="007F314C"/>
    <w:rsid w:val="007F32BE"/>
    <w:rsid w:val="007F5976"/>
    <w:rsid w:val="007F5C7D"/>
    <w:rsid w:val="00800D13"/>
    <w:rsid w:val="008015CA"/>
    <w:rsid w:val="00803231"/>
    <w:rsid w:val="00804C19"/>
    <w:rsid w:val="00804FD3"/>
    <w:rsid w:val="00805B55"/>
    <w:rsid w:val="00807341"/>
    <w:rsid w:val="008106CC"/>
    <w:rsid w:val="00810709"/>
    <w:rsid w:val="00816C54"/>
    <w:rsid w:val="0082040D"/>
    <w:rsid w:val="00822E71"/>
    <w:rsid w:val="00824510"/>
    <w:rsid w:val="008251F3"/>
    <w:rsid w:val="0083051D"/>
    <w:rsid w:val="0083246F"/>
    <w:rsid w:val="00832A5E"/>
    <w:rsid w:val="0083301A"/>
    <w:rsid w:val="008335FF"/>
    <w:rsid w:val="008342E4"/>
    <w:rsid w:val="008406C4"/>
    <w:rsid w:val="00840996"/>
    <w:rsid w:val="00842D8D"/>
    <w:rsid w:val="00850EDF"/>
    <w:rsid w:val="00853698"/>
    <w:rsid w:val="00853EC8"/>
    <w:rsid w:val="00857E23"/>
    <w:rsid w:val="00860127"/>
    <w:rsid w:val="00861B34"/>
    <w:rsid w:val="00864FEF"/>
    <w:rsid w:val="008666A2"/>
    <w:rsid w:val="008708DB"/>
    <w:rsid w:val="0087338B"/>
    <w:rsid w:val="00873C29"/>
    <w:rsid w:val="00873DCF"/>
    <w:rsid w:val="00875385"/>
    <w:rsid w:val="008766E0"/>
    <w:rsid w:val="00876AFC"/>
    <w:rsid w:val="00876C1C"/>
    <w:rsid w:val="00877837"/>
    <w:rsid w:val="00881F8C"/>
    <w:rsid w:val="008837A4"/>
    <w:rsid w:val="00887992"/>
    <w:rsid w:val="0089048C"/>
    <w:rsid w:val="008920EE"/>
    <w:rsid w:val="008925A5"/>
    <w:rsid w:val="00896109"/>
    <w:rsid w:val="008A0627"/>
    <w:rsid w:val="008A2BB6"/>
    <w:rsid w:val="008A33B1"/>
    <w:rsid w:val="008A5CD7"/>
    <w:rsid w:val="008A6559"/>
    <w:rsid w:val="008A76BB"/>
    <w:rsid w:val="008A795B"/>
    <w:rsid w:val="008B00B1"/>
    <w:rsid w:val="008C4A8B"/>
    <w:rsid w:val="008C71AE"/>
    <w:rsid w:val="008D07F5"/>
    <w:rsid w:val="008D195F"/>
    <w:rsid w:val="008D362B"/>
    <w:rsid w:val="008D5E08"/>
    <w:rsid w:val="008D5FD4"/>
    <w:rsid w:val="008D6D18"/>
    <w:rsid w:val="008D6F92"/>
    <w:rsid w:val="008E1C51"/>
    <w:rsid w:val="008E23AD"/>
    <w:rsid w:val="008E2CD6"/>
    <w:rsid w:val="008E2FC9"/>
    <w:rsid w:val="008E3346"/>
    <w:rsid w:val="008E3699"/>
    <w:rsid w:val="008E3F82"/>
    <w:rsid w:val="008E46BF"/>
    <w:rsid w:val="008E4E12"/>
    <w:rsid w:val="008E72D3"/>
    <w:rsid w:val="008E7E00"/>
    <w:rsid w:val="008F1B26"/>
    <w:rsid w:val="008F6494"/>
    <w:rsid w:val="009002F3"/>
    <w:rsid w:val="00907B09"/>
    <w:rsid w:val="0091012C"/>
    <w:rsid w:val="00910A0C"/>
    <w:rsid w:val="00910AB7"/>
    <w:rsid w:val="0091553C"/>
    <w:rsid w:val="00916652"/>
    <w:rsid w:val="009168CE"/>
    <w:rsid w:val="00920442"/>
    <w:rsid w:val="00920A81"/>
    <w:rsid w:val="00920DD1"/>
    <w:rsid w:val="00922066"/>
    <w:rsid w:val="00924728"/>
    <w:rsid w:val="00927F67"/>
    <w:rsid w:val="009315FA"/>
    <w:rsid w:val="00933DA8"/>
    <w:rsid w:val="009358D9"/>
    <w:rsid w:val="00942263"/>
    <w:rsid w:val="00945EF2"/>
    <w:rsid w:val="00946AD7"/>
    <w:rsid w:val="00947998"/>
    <w:rsid w:val="009505B7"/>
    <w:rsid w:val="00952157"/>
    <w:rsid w:val="009530D9"/>
    <w:rsid w:val="009535A2"/>
    <w:rsid w:val="009561BF"/>
    <w:rsid w:val="0096038C"/>
    <w:rsid w:val="0096112C"/>
    <w:rsid w:val="009717BF"/>
    <w:rsid w:val="00971AFA"/>
    <w:rsid w:val="00971D27"/>
    <w:rsid w:val="00974A7A"/>
    <w:rsid w:val="009833D4"/>
    <w:rsid w:val="009877AD"/>
    <w:rsid w:val="009908F8"/>
    <w:rsid w:val="00991D4E"/>
    <w:rsid w:val="00992F4C"/>
    <w:rsid w:val="009973DD"/>
    <w:rsid w:val="00997807"/>
    <w:rsid w:val="009A0D79"/>
    <w:rsid w:val="009A1492"/>
    <w:rsid w:val="009A189F"/>
    <w:rsid w:val="009A4018"/>
    <w:rsid w:val="009A64F3"/>
    <w:rsid w:val="009B0059"/>
    <w:rsid w:val="009B11E8"/>
    <w:rsid w:val="009B16F2"/>
    <w:rsid w:val="009B2DC1"/>
    <w:rsid w:val="009B4121"/>
    <w:rsid w:val="009B54EF"/>
    <w:rsid w:val="009B5B7F"/>
    <w:rsid w:val="009B661A"/>
    <w:rsid w:val="009B6939"/>
    <w:rsid w:val="009B701C"/>
    <w:rsid w:val="009C1A21"/>
    <w:rsid w:val="009C3EA0"/>
    <w:rsid w:val="009C5253"/>
    <w:rsid w:val="009C73FA"/>
    <w:rsid w:val="009D011B"/>
    <w:rsid w:val="009D2A92"/>
    <w:rsid w:val="009D60CE"/>
    <w:rsid w:val="009D6E4E"/>
    <w:rsid w:val="009D6EB7"/>
    <w:rsid w:val="009E0012"/>
    <w:rsid w:val="009E0098"/>
    <w:rsid w:val="009E0E56"/>
    <w:rsid w:val="009E35D7"/>
    <w:rsid w:val="009E712A"/>
    <w:rsid w:val="009E74B1"/>
    <w:rsid w:val="009F67E5"/>
    <w:rsid w:val="00A014FC"/>
    <w:rsid w:val="00A02571"/>
    <w:rsid w:val="00A02EBD"/>
    <w:rsid w:val="00A037E6"/>
    <w:rsid w:val="00A039D4"/>
    <w:rsid w:val="00A0639B"/>
    <w:rsid w:val="00A110A3"/>
    <w:rsid w:val="00A13692"/>
    <w:rsid w:val="00A1411B"/>
    <w:rsid w:val="00A1558D"/>
    <w:rsid w:val="00A174CE"/>
    <w:rsid w:val="00A21A8D"/>
    <w:rsid w:val="00A22ECF"/>
    <w:rsid w:val="00A269C7"/>
    <w:rsid w:val="00A31C81"/>
    <w:rsid w:val="00A31F98"/>
    <w:rsid w:val="00A33698"/>
    <w:rsid w:val="00A34F9C"/>
    <w:rsid w:val="00A42153"/>
    <w:rsid w:val="00A42814"/>
    <w:rsid w:val="00A444E2"/>
    <w:rsid w:val="00A44AF8"/>
    <w:rsid w:val="00A44D51"/>
    <w:rsid w:val="00A472E6"/>
    <w:rsid w:val="00A47F5F"/>
    <w:rsid w:val="00A5023D"/>
    <w:rsid w:val="00A51E45"/>
    <w:rsid w:val="00A52E11"/>
    <w:rsid w:val="00A53C32"/>
    <w:rsid w:val="00A61790"/>
    <w:rsid w:val="00A61C0E"/>
    <w:rsid w:val="00A61EF9"/>
    <w:rsid w:val="00A620C3"/>
    <w:rsid w:val="00A62388"/>
    <w:rsid w:val="00A62A93"/>
    <w:rsid w:val="00A67C42"/>
    <w:rsid w:val="00A67F01"/>
    <w:rsid w:val="00A715FB"/>
    <w:rsid w:val="00A7184E"/>
    <w:rsid w:val="00A73250"/>
    <w:rsid w:val="00A75FCB"/>
    <w:rsid w:val="00A77DBB"/>
    <w:rsid w:val="00A803A2"/>
    <w:rsid w:val="00A817E9"/>
    <w:rsid w:val="00A860C3"/>
    <w:rsid w:val="00A9705D"/>
    <w:rsid w:val="00AA1A14"/>
    <w:rsid w:val="00AA1B53"/>
    <w:rsid w:val="00AA3115"/>
    <w:rsid w:val="00AA6734"/>
    <w:rsid w:val="00AB051D"/>
    <w:rsid w:val="00AB06E3"/>
    <w:rsid w:val="00AB3963"/>
    <w:rsid w:val="00AB3EE1"/>
    <w:rsid w:val="00AB44A0"/>
    <w:rsid w:val="00AB783D"/>
    <w:rsid w:val="00AC3598"/>
    <w:rsid w:val="00AC3E84"/>
    <w:rsid w:val="00AC6344"/>
    <w:rsid w:val="00AC6A69"/>
    <w:rsid w:val="00AC771F"/>
    <w:rsid w:val="00AD228C"/>
    <w:rsid w:val="00AD3DDF"/>
    <w:rsid w:val="00AD5022"/>
    <w:rsid w:val="00AD551A"/>
    <w:rsid w:val="00AD77AF"/>
    <w:rsid w:val="00AD7F4F"/>
    <w:rsid w:val="00AE318B"/>
    <w:rsid w:val="00AE5D7E"/>
    <w:rsid w:val="00AF2BD9"/>
    <w:rsid w:val="00AF3EE8"/>
    <w:rsid w:val="00AF6598"/>
    <w:rsid w:val="00B0370F"/>
    <w:rsid w:val="00B047A4"/>
    <w:rsid w:val="00B06D61"/>
    <w:rsid w:val="00B133A4"/>
    <w:rsid w:val="00B13FB5"/>
    <w:rsid w:val="00B14CBC"/>
    <w:rsid w:val="00B150AB"/>
    <w:rsid w:val="00B161B5"/>
    <w:rsid w:val="00B16FEA"/>
    <w:rsid w:val="00B17406"/>
    <w:rsid w:val="00B17E7F"/>
    <w:rsid w:val="00B2197F"/>
    <w:rsid w:val="00B245FE"/>
    <w:rsid w:val="00B24E48"/>
    <w:rsid w:val="00B2622A"/>
    <w:rsid w:val="00B26ADE"/>
    <w:rsid w:val="00B2741B"/>
    <w:rsid w:val="00B316EF"/>
    <w:rsid w:val="00B32931"/>
    <w:rsid w:val="00B4072C"/>
    <w:rsid w:val="00B40848"/>
    <w:rsid w:val="00B42AD0"/>
    <w:rsid w:val="00B43611"/>
    <w:rsid w:val="00B4536E"/>
    <w:rsid w:val="00B469DE"/>
    <w:rsid w:val="00B524CF"/>
    <w:rsid w:val="00B52ED5"/>
    <w:rsid w:val="00B60B7F"/>
    <w:rsid w:val="00B61AE6"/>
    <w:rsid w:val="00B61B70"/>
    <w:rsid w:val="00B624FF"/>
    <w:rsid w:val="00B630A3"/>
    <w:rsid w:val="00B6327F"/>
    <w:rsid w:val="00B6332E"/>
    <w:rsid w:val="00B6375B"/>
    <w:rsid w:val="00B649D0"/>
    <w:rsid w:val="00B71159"/>
    <w:rsid w:val="00B74388"/>
    <w:rsid w:val="00B75946"/>
    <w:rsid w:val="00B766F9"/>
    <w:rsid w:val="00B772A6"/>
    <w:rsid w:val="00B77A4A"/>
    <w:rsid w:val="00B823B3"/>
    <w:rsid w:val="00B83B0D"/>
    <w:rsid w:val="00B84C45"/>
    <w:rsid w:val="00B8565C"/>
    <w:rsid w:val="00B87A35"/>
    <w:rsid w:val="00B94885"/>
    <w:rsid w:val="00B94C02"/>
    <w:rsid w:val="00B954FD"/>
    <w:rsid w:val="00B96B5C"/>
    <w:rsid w:val="00BA3505"/>
    <w:rsid w:val="00BA4C1C"/>
    <w:rsid w:val="00BA561D"/>
    <w:rsid w:val="00BA6DB1"/>
    <w:rsid w:val="00BB1469"/>
    <w:rsid w:val="00BB197B"/>
    <w:rsid w:val="00BB3046"/>
    <w:rsid w:val="00BB5340"/>
    <w:rsid w:val="00BB7C19"/>
    <w:rsid w:val="00BC0C25"/>
    <w:rsid w:val="00BC3839"/>
    <w:rsid w:val="00BC4EF9"/>
    <w:rsid w:val="00BC5A0E"/>
    <w:rsid w:val="00BD18A7"/>
    <w:rsid w:val="00BD2DFA"/>
    <w:rsid w:val="00BD3479"/>
    <w:rsid w:val="00BD7F67"/>
    <w:rsid w:val="00BE13A2"/>
    <w:rsid w:val="00BE1B3A"/>
    <w:rsid w:val="00BE6F04"/>
    <w:rsid w:val="00BF290E"/>
    <w:rsid w:val="00BF33C4"/>
    <w:rsid w:val="00BF46D9"/>
    <w:rsid w:val="00BF48A8"/>
    <w:rsid w:val="00BF5193"/>
    <w:rsid w:val="00BF527E"/>
    <w:rsid w:val="00BF57D0"/>
    <w:rsid w:val="00C00043"/>
    <w:rsid w:val="00C003DC"/>
    <w:rsid w:val="00C03B73"/>
    <w:rsid w:val="00C06259"/>
    <w:rsid w:val="00C06669"/>
    <w:rsid w:val="00C06AC1"/>
    <w:rsid w:val="00C10A82"/>
    <w:rsid w:val="00C13C57"/>
    <w:rsid w:val="00C15B44"/>
    <w:rsid w:val="00C167FC"/>
    <w:rsid w:val="00C179C3"/>
    <w:rsid w:val="00C17D1D"/>
    <w:rsid w:val="00C217ED"/>
    <w:rsid w:val="00C273D0"/>
    <w:rsid w:val="00C32FC3"/>
    <w:rsid w:val="00C35489"/>
    <w:rsid w:val="00C41341"/>
    <w:rsid w:val="00C4238E"/>
    <w:rsid w:val="00C43928"/>
    <w:rsid w:val="00C45009"/>
    <w:rsid w:val="00C52204"/>
    <w:rsid w:val="00C5318E"/>
    <w:rsid w:val="00C55262"/>
    <w:rsid w:val="00C56655"/>
    <w:rsid w:val="00C56F91"/>
    <w:rsid w:val="00C62250"/>
    <w:rsid w:val="00C624AC"/>
    <w:rsid w:val="00C64014"/>
    <w:rsid w:val="00C6798B"/>
    <w:rsid w:val="00C70395"/>
    <w:rsid w:val="00C71367"/>
    <w:rsid w:val="00C723B6"/>
    <w:rsid w:val="00C7323A"/>
    <w:rsid w:val="00C748FC"/>
    <w:rsid w:val="00C75647"/>
    <w:rsid w:val="00C800A1"/>
    <w:rsid w:val="00C82740"/>
    <w:rsid w:val="00C83FD1"/>
    <w:rsid w:val="00C84434"/>
    <w:rsid w:val="00C844D2"/>
    <w:rsid w:val="00C85C7A"/>
    <w:rsid w:val="00C91DC8"/>
    <w:rsid w:val="00C93E91"/>
    <w:rsid w:val="00C94A68"/>
    <w:rsid w:val="00CA0451"/>
    <w:rsid w:val="00CA13E9"/>
    <w:rsid w:val="00CA1D9A"/>
    <w:rsid w:val="00CA497F"/>
    <w:rsid w:val="00CA6257"/>
    <w:rsid w:val="00CB0044"/>
    <w:rsid w:val="00CB2F6D"/>
    <w:rsid w:val="00CB4FAC"/>
    <w:rsid w:val="00CB632C"/>
    <w:rsid w:val="00CB7210"/>
    <w:rsid w:val="00CC0F00"/>
    <w:rsid w:val="00CC64B3"/>
    <w:rsid w:val="00CC77D7"/>
    <w:rsid w:val="00CD0784"/>
    <w:rsid w:val="00CD127F"/>
    <w:rsid w:val="00CD62DB"/>
    <w:rsid w:val="00CE01D0"/>
    <w:rsid w:val="00CE43E6"/>
    <w:rsid w:val="00CE505E"/>
    <w:rsid w:val="00CE572B"/>
    <w:rsid w:val="00CE69EE"/>
    <w:rsid w:val="00CF5CBC"/>
    <w:rsid w:val="00D00950"/>
    <w:rsid w:val="00D009D8"/>
    <w:rsid w:val="00D00DAA"/>
    <w:rsid w:val="00D025C4"/>
    <w:rsid w:val="00D030CD"/>
    <w:rsid w:val="00D05ECD"/>
    <w:rsid w:val="00D0739F"/>
    <w:rsid w:val="00D12520"/>
    <w:rsid w:val="00D1605C"/>
    <w:rsid w:val="00D16A6B"/>
    <w:rsid w:val="00D20052"/>
    <w:rsid w:val="00D24520"/>
    <w:rsid w:val="00D267A3"/>
    <w:rsid w:val="00D26F7D"/>
    <w:rsid w:val="00D3015C"/>
    <w:rsid w:val="00D321C0"/>
    <w:rsid w:val="00D32E0F"/>
    <w:rsid w:val="00D3391A"/>
    <w:rsid w:val="00D33C01"/>
    <w:rsid w:val="00D415E1"/>
    <w:rsid w:val="00D42071"/>
    <w:rsid w:val="00D425A2"/>
    <w:rsid w:val="00D460C5"/>
    <w:rsid w:val="00D470C2"/>
    <w:rsid w:val="00D50227"/>
    <w:rsid w:val="00D518DB"/>
    <w:rsid w:val="00D53218"/>
    <w:rsid w:val="00D54CEB"/>
    <w:rsid w:val="00D57856"/>
    <w:rsid w:val="00D64C75"/>
    <w:rsid w:val="00D65C4B"/>
    <w:rsid w:val="00D662C6"/>
    <w:rsid w:val="00D67F54"/>
    <w:rsid w:val="00D71C14"/>
    <w:rsid w:val="00D7233D"/>
    <w:rsid w:val="00D742D4"/>
    <w:rsid w:val="00D7618B"/>
    <w:rsid w:val="00D76FA9"/>
    <w:rsid w:val="00D7763A"/>
    <w:rsid w:val="00D77802"/>
    <w:rsid w:val="00D82184"/>
    <w:rsid w:val="00D82CEF"/>
    <w:rsid w:val="00D83008"/>
    <w:rsid w:val="00D8395A"/>
    <w:rsid w:val="00D8461A"/>
    <w:rsid w:val="00D855C6"/>
    <w:rsid w:val="00D905CC"/>
    <w:rsid w:val="00D92998"/>
    <w:rsid w:val="00D92C05"/>
    <w:rsid w:val="00D9410F"/>
    <w:rsid w:val="00D97217"/>
    <w:rsid w:val="00DA2872"/>
    <w:rsid w:val="00DA2DE3"/>
    <w:rsid w:val="00DA3AC7"/>
    <w:rsid w:val="00DA5B59"/>
    <w:rsid w:val="00DB2484"/>
    <w:rsid w:val="00DB53DC"/>
    <w:rsid w:val="00DB60A0"/>
    <w:rsid w:val="00DB75C8"/>
    <w:rsid w:val="00DB7D55"/>
    <w:rsid w:val="00DC08DF"/>
    <w:rsid w:val="00DC137F"/>
    <w:rsid w:val="00DC2CA4"/>
    <w:rsid w:val="00DC4A6F"/>
    <w:rsid w:val="00DC5FD7"/>
    <w:rsid w:val="00DC65DD"/>
    <w:rsid w:val="00DD6E83"/>
    <w:rsid w:val="00DE00D2"/>
    <w:rsid w:val="00DE2C38"/>
    <w:rsid w:val="00DE45CC"/>
    <w:rsid w:val="00DE494B"/>
    <w:rsid w:val="00DE794B"/>
    <w:rsid w:val="00DF01C8"/>
    <w:rsid w:val="00DF0D15"/>
    <w:rsid w:val="00DF0F68"/>
    <w:rsid w:val="00DF13FE"/>
    <w:rsid w:val="00DF32F2"/>
    <w:rsid w:val="00DF6464"/>
    <w:rsid w:val="00E02577"/>
    <w:rsid w:val="00E04610"/>
    <w:rsid w:val="00E065E1"/>
    <w:rsid w:val="00E07944"/>
    <w:rsid w:val="00E111D9"/>
    <w:rsid w:val="00E12D28"/>
    <w:rsid w:val="00E173A4"/>
    <w:rsid w:val="00E177B3"/>
    <w:rsid w:val="00E17C89"/>
    <w:rsid w:val="00E208A8"/>
    <w:rsid w:val="00E20AC6"/>
    <w:rsid w:val="00E2175F"/>
    <w:rsid w:val="00E223FB"/>
    <w:rsid w:val="00E2313E"/>
    <w:rsid w:val="00E24117"/>
    <w:rsid w:val="00E30D4C"/>
    <w:rsid w:val="00E317DE"/>
    <w:rsid w:val="00E326C4"/>
    <w:rsid w:val="00E32B1D"/>
    <w:rsid w:val="00E37388"/>
    <w:rsid w:val="00E40DF9"/>
    <w:rsid w:val="00E416D3"/>
    <w:rsid w:val="00E41783"/>
    <w:rsid w:val="00E45C53"/>
    <w:rsid w:val="00E47578"/>
    <w:rsid w:val="00E520FC"/>
    <w:rsid w:val="00E52F03"/>
    <w:rsid w:val="00E53BF7"/>
    <w:rsid w:val="00E54567"/>
    <w:rsid w:val="00E54632"/>
    <w:rsid w:val="00E5736C"/>
    <w:rsid w:val="00E60045"/>
    <w:rsid w:val="00E61BB1"/>
    <w:rsid w:val="00E61E68"/>
    <w:rsid w:val="00E65AEB"/>
    <w:rsid w:val="00E66047"/>
    <w:rsid w:val="00E67F0E"/>
    <w:rsid w:val="00E70F34"/>
    <w:rsid w:val="00E71F6E"/>
    <w:rsid w:val="00E722BE"/>
    <w:rsid w:val="00E803E1"/>
    <w:rsid w:val="00E8281F"/>
    <w:rsid w:val="00E8798C"/>
    <w:rsid w:val="00E9132E"/>
    <w:rsid w:val="00E91A67"/>
    <w:rsid w:val="00E923FF"/>
    <w:rsid w:val="00E936BE"/>
    <w:rsid w:val="00E94976"/>
    <w:rsid w:val="00E94A49"/>
    <w:rsid w:val="00E97535"/>
    <w:rsid w:val="00EA09C5"/>
    <w:rsid w:val="00EA1197"/>
    <w:rsid w:val="00EA1794"/>
    <w:rsid w:val="00EA30ED"/>
    <w:rsid w:val="00EA7ACF"/>
    <w:rsid w:val="00EB0959"/>
    <w:rsid w:val="00EB0BEC"/>
    <w:rsid w:val="00EB10CC"/>
    <w:rsid w:val="00EB2674"/>
    <w:rsid w:val="00EB53D8"/>
    <w:rsid w:val="00EC152F"/>
    <w:rsid w:val="00EC316D"/>
    <w:rsid w:val="00EC3875"/>
    <w:rsid w:val="00EC412C"/>
    <w:rsid w:val="00EC7637"/>
    <w:rsid w:val="00EC78F2"/>
    <w:rsid w:val="00EC7E94"/>
    <w:rsid w:val="00ED0AD4"/>
    <w:rsid w:val="00ED1899"/>
    <w:rsid w:val="00ED26A9"/>
    <w:rsid w:val="00ED3A47"/>
    <w:rsid w:val="00ED3CB5"/>
    <w:rsid w:val="00ED61B2"/>
    <w:rsid w:val="00ED7981"/>
    <w:rsid w:val="00EE0001"/>
    <w:rsid w:val="00EE17FE"/>
    <w:rsid w:val="00EE2658"/>
    <w:rsid w:val="00EE2D66"/>
    <w:rsid w:val="00EE44FC"/>
    <w:rsid w:val="00EF0A33"/>
    <w:rsid w:val="00EF0BAC"/>
    <w:rsid w:val="00EF0D51"/>
    <w:rsid w:val="00EF195B"/>
    <w:rsid w:val="00EF2F0C"/>
    <w:rsid w:val="00EF3027"/>
    <w:rsid w:val="00EF450E"/>
    <w:rsid w:val="00EF4F40"/>
    <w:rsid w:val="00EF795A"/>
    <w:rsid w:val="00F05DE6"/>
    <w:rsid w:val="00F064E6"/>
    <w:rsid w:val="00F06E52"/>
    <w:rsid w:val="00F1584F"/>
    <w:rsid w:val="00F15EAC"/>
    <w:rsid w:val="00F1792D"/>
    <w:rsid w:val="00F17BD0"/>
    <w:rsid w:val="00F20535"/>
    <w:rsid w:val="00F225E7"/>
    <w:rsid w:val="00F2484D"/>
    <w:rsid w:val="00F269DD"/>
    <w:rsid w:val="00F271EC"/>
    <w:rsid w:val="00F30D22"/>
    <w:rsid w:val="00F314BD"/>
    <w:rsid w:val="00F333B5"/>
    <w:rsid w:val="00F3717E"/>
    <w:rsid w:val="00F40789"/>
    <w:rsid w:val="00F40FA6"/>
    <w:rsid w:val="00F41F9B"/>
    <w:rsid w:val="00F41FBF"/>
    <w:rsid w:val="00F44CAE"/>
    <w:rsid w:val="00F460BE"/>
    <w:rsid w:val="00F46C0E"/>
    <w:rsid w:val="00F46F70"/>
    <w:rsid w:val="00F46FF4"/>
    <w:rsid w:val="00F5172B"/>
    <w:rsid w:val="00F53D85"/>
    <w:rsid w:val="00F54274"/>
    <w:rsid w:val="00F56DED"/>
    <w:rsid w:val="00F60B3B"/>
    <w:rsid w:val="00F618E8"/>
    <w:rsid w:val="00F6231F"/>
    <w:rsid w:val="00F62818"/>
    <w:rsid w:val="00F641EE"/>
    <w:rsid w:val="00F645A9"/>
    <w:rsid w:val="00F66741"/>
    <w:rsid w:val="00F70B90"/>
    <w:rsid w:val="00F71D83"/>
    <w:rsid w:val="00F73865"/>
    <w:rsid w:val="00F74A3D"/>
    <w:rsid w:val="00F76A0E"/>
    <w:rsid w:val="00F77C38"/>
    <w:rsid w:val="00F81D1C"/>
    <w:rsid w:val="00F8248A"/>
    <w:rsid w:val="00F827C6"/>
    <w:rsid w:val="00F84D22"/>
    <w:rsid w:val="00F86C5D"/>
    <w:rsid w:val="00F87661"/>
    <w:rsid w:val="00F87B66"/>
    <w:rsid w:val="00F90C40"/>
    <w:rsid w:val="00F90D5A"/>
    <w:rsid w:val="00F90E61"/>
    <w:rsid w:val="00F9362E"/>
    <w:rsid w:val="00F96CFD"/>
    <w:rsid w:val="00FA029F"/>
    <w:rsid w:val="00FA0B5F"/>
    <w:rsid w:val="00FA118A"/>
    <w:rsid w:val="00FA1A69"/>
    <w:rsid w:val="00FA1F9A"/>
    <w:rsid w:val="00FA6DC1"/>
    <w:rsid w:val="00FB2FFB"/>
    <w:rsid w:val="00FB3393"/>
    <w:rsid w:val="00FC0F96"/>
    <w:rsid w:val="00FC10E0"/>
    <w:rsid w:val="00FC3202"/>
    <w:rsid w:val="00FC3D86"/>
    <w:rsid w:val="00FC4455"/>
    <w:rsid w:val="00FC7CBE"/>
    <w:rsid w:val="00FD6148"/>
    <w:rsid w:val="00FD652B"/>
    <w:rsid w:val="00FE57AB"/>
    <w:rsid w:val="00FE7948"/>
    <w:rsid w:val="00FF1AAC"/>
    <w:rsid w:val="00FF39C8"/>
    <w:rsid w:val="00FF5185"/>
    <w:rsid w:val="00FF5A56"/>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ules v:ext="edit">
        <o:r id="V:Rule14" type="connector" idref="#_x0000_s1127"/>
        <o:r id="V:Rule15" type="connector" idref="#_x0000_s1109"/>
        <o:r id="V:Rule16" type="connector" idref="#_x0000_s1118"/>
        <o:r id="V:Rule17" type="connector" idref="#_x0000_s1065"/>
        <o:r id="V:Rule18" type="connector" idref="#_x0000_s1064"/>
        <o:r id="V:Rule19" type="connector" idref="#_x0000_s1115"/>
        <o:r id="V:Rule20" type="connector" idref="#_x0000_s1058"/>
        <o:r id="V:Rule21" type="connector" idref="#_x0000_s1120"/>
        <o:r id="V:Rule22" type="connector" idref="#_x0000_s1129"/>
        <o:r id="V:Rule23" type="connector" idref="#_x0000_s1119"/>
        <o:r id="V:Rule24" type="connector" idref="#_x0000_s1121"/>
        <o:r id="V:Rule25" type="connector" idref="#_x0000_s1114"/>
        <o:r id="V:Rule26"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aura 1"/>
    <w:qFormat/>
    <w:rsid w:val="00E177B3"/>
    <w:pPr>
      <w:spacing w:after="200" w:line="276" w:lineRule="auto"/>
    </w:pPr>
    <w:rPr>
      <w:sz w:val="22"/>
      <w:szCs w:val="22"/>
      <w:lang w:eastAsia="en-US"/>
    </w:rPr>
  </w:style>
  <w:style w:type="paragraph" w:styleId="Ttulo1">
    <w:name w:val="heading 1"/>
    <w:basedOn w:val="Normal"/>
    <w:link w:val="Ttulo1Carcter"/>
    <w:uiPriority w:val="9"/>
    <w:qFormat/>
    <w:rsid w:val="004F569A"/>
    <w:pPr>
      <w:spacing w:before="100" w:beforeAutospacing="1" w:after="100" w:afterAutospacing="1" w:line="240" w:lineRule="auto"/>
      <w:outlineLvl w:val="0"/>
    </w:pPr>
    <w:rPr>
      <w:rFonts w:ascii="Times New Roman" w:eastAsia="Times New Roman" w:hAnsi="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
    <w:rsid w:val="004F569A"/>
    <w:rPr>
      <w:rFonts w:ascii="Times New Roman" w:eastAsia="Times New Roman" w:hAnsi="Times New Roman"/>
      <w:b/>
      <w:bCs/>
      <w:kern w:val="36"/>
      <w:sz w:val="48"/>
      <w:szCs w:val="48"/>
    </w:rPr>
  </w:style>
  <w:style w:type="character" w:styleId="Forte">
    <w:name w:val="Strong"/>
    <w:basedOn w:val="Tipodeletrapredefinidodopargrafo"/>
    <w:uiPriority w:val="22"/>
    <w:qFormat/>
    <w:rsid w:val="00E177B3"/>
    <w:rPr>
      <w:b/>
      <w:bCs/>
    </w:rPr>
  </w:style>
  <w:style w:type="paragraph" w:styleId="PargrafodaLista">
    <w:name w:val="List Paragraph"/>
    <w:basedOn w:val="Normal"/>
    <w:uiPriority w:val="34"/>
    <w:qFormat/>
    <w:rsid w:val="00E177B3"/>
    <w:pPr>
      <w:ind w:left="720"/>
      <w:contextualSpacing/>
    </w:pPr>
  </w:style>
  <w:style w:type="paragraph" w:styleId="Legenda">
    <w:name w:val="caption"/>
    <w:basedOn w:val="Normal"/>
    <w:next w:val="Normal"/>
    <w:uiPriority w:val="35"/>
    <w:unhideWhenUsed/>
    <w:qFormat/>
    <w:rsid w:val="00E177B3"/>
    <w:pPr>
      <w:spacing w:line="240" w:lineRule="auto"/>
    </w:pPr>
    <w:rPr>
      <w:b/>
      <w:bCs/>
      <w:color w:val="4F81BD"/>
      <w:sz w:val="18"/>
      <w:szCs w:val="18"/>
    </w:rPr>
  </w:style>
  <w:style w:type="paragraph" w:styleId="SemEspaamento">
    <w:name w:val="No Spacing"/>
    <w:aliases w:val="laura 2"/>
    <w:uiPriority w:val="1"/>
    <w:qFormat/>
    <w:rsid w:val="00E177B3"/>
    <w:rPr>
      <w:sz w:val="22"/>
      <w:szCs w:val="22"/>
      <w:lang w:eastAsia="en-US"/>
    </w:rPr>
  </w:style>
  <w:style w:type="paragraph" w:styleId="Textodebalo">
    <w:name w:val="Balloon Text"/>
    <w:basedOn w:val="Normal"/>
    <w:link w:val="TextodebaloCarcter"/>
    <w:uiPriority w:val="99"/>
    <w:semiHidden/>
    <w:unhideWhenUsed/>
    <w:rsid w:val="00E60045"/>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60045"/>
    <w:rPr>
      <w:rFonts w:ascii="Tahoma" w:hAnsi="Tahoma" w:cs="Tahoma"/>
      <w:sz w:val="16"/>
      <w:szCs w:val="16"/>
      <w:lang w:eastAsia="en-US"/>
    </w:rPr>
  </w:style>
  <w:style w:type="paragraph" w:styleId="Cabealho">
    <w:name w:val="header"/>
    <w:basedOn w:val="Normal"/>
    <w:link w:val="CabealhoCarcter"/>
    <w:uiPriority w:val="99"/>
    <w:semiHidden/>
    <w:unhideWhenUsed/>
    <w:rsid w:val="00D83008"/>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D83008"/>
    <w:rPr>
      <w:sz w:val="22"/>
      <w:szCs w:val="22"/>
      <w:lang w:eastAsia="en-US"/>
    </w:rPr>
  </w:style>
  <w:style w:type="paragraph" w:styleId="Rodap">
    <w:name w:val="footer"/>
    <w:basedOn w:val="Normal"/>
    <w:link w:val="RodapCarcter"/>
    <w:uiPriority w:val="99"/>
    <w:unhideWhenUsed/>
    <w:rsid w:val="00D83008"/>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D83008"/>
    <w:rPr>
      <w:sz w:val="22"/>
      <w:szCs w:val="22"/>
      <w:lang w:eastAsia="en-US"/>
    </w:rPr>
  </w:style>
  <w:style w:type="character" w:customStyle="1" w:styleId="apple-style-span">
    <w:name w:val="apple-style-span"/>
    <w:basedOn w:val="Tipodeletrapredefinidodopargrafo"/>
    <w:rsid w:val="004F569A"/>
  </w:style>
  <w:style w:type="character" w:customStyle="1" w:styleId="addmd">
    <w:name w:val="addmd"/>
    <w:basedOn w:val="Tipodeletrapredefinidodopargrafo"/>
    <w:rsid w:val="004F569A"/>
  </w:style>
  <w:style w:type="paragraph" w:styleId="ndice1">
    <w:name w:val="toc 1"/>
    <w:basedOn w:val="Normal"/>
    <w:next w:val="Normal"/>
    <w:autoRedefine/>
    <w:uiPriority w:val="39"/>
    <w:unhideWhenUsed/>
    <w:rsid w:val="0044109C"/>
    <w:pPr>
      <w:tabs>
        <w:tab w:val="right" w:leader="dot" w:pos="8494"/>
      </w:tabs>
      <w:spacing w:before="120" w:after="120"/>
    </w:pPr>
    <w:rPr>
      <w:rFonts w:ascii="Arial" w:eastAsia="Times New Roman" w:hAnsi="Arial" w:cs="Arial"/>
      <w:b/>
      <w:bCs/>
      <w:noProof/>
      <w:kern w:val="36"/>
      <w:sz w:val="20"/>
      <w:szCs w:val="20"/>
      <w:lang w:val="en-US" w:eastAsia="pt-PT"/>
    </w:rPr>
  </w:style>
  <w:style w:type="paragraph" w:styleId="ndice2">
    <w:name w:val="toc 2"/>
    <w:basedOn w:val="Normal"/>
    <w:next w:val="Normal"/>
    <w:autoRedefine/>
    <w:uiPriority w:val="39"/>
    <w:unhideWhenUsed/>
    <w:rsid w:val="0044109C"/>
    <w:pPr>
      <w:spacing w:after="0"/>
      <w:ind w:left="220"/>
    </w:pPr>
    <w:rPr>
      <w:rFonts w:asciiTheme="minorHAnsi" w:hAnsiTheme="minorHAnsi"/>
      <w:smallCaps/>
      <w:sz w:val="20"/>
      <w:szCs w:val="20"/>
    </w:rPr>
  </w:style>
  <w:style w:type="paragraph" w:styleId="ndice3">
    <w:name w:val="toc 3"/>
    <w:basedOn w:val="Normal"/>
    <w:next w:val="Normal"/>
    <w:autoRedefine/>
    <w:uiPriority w:val="39"/>
    <w:unhideWhenUsed/>
    <w:rsid w:val="0044109C"/>
    <w:pPr>
      <w:spacing w:after="0"/>
      <w:ind w:left="440"/>
    </w:pPr>
    <w:rPr>
      <w:rFonts w:asciiTheme="minorHAnsi" w:hAnsiTheme="minorHAnsi"/>
      <w:i/>
      <w:iCs/>
      <w:sz w:val="20"/>
      <w:szCs w:val="20"/>
    </w:rPr>
  </w:style>
  <w:style w:type="paragraph" w:styleId="ndice4">
    <w:name w:val="toc 4"/>
    <w:basedOn w:val="Normal"/>
    <w:next w:val="Normal"/>
    <w:autoRedefine/>
    <w:uiPriority w:val="39"/>
    <w:unhideWhenUsed/>
    <w:rsid w:val="0044109C"/>
    <w:pPr>
      <w:spacing w:after="0"/>
      <w:ind w:left="660"/>
    </w:pPr>
    <w:rPr>
      <w:rFonts w:asciiTheme="minorHAnsi" w:hAnsiTheme="minorHAnsi"/>
      <w:sz w:val="18"/>
      <w:szCs w:val="18"/>
    </w:rPr>
  </w:style>
  <w:style w:type="paragraph" w:styleId="ndice5">
    <w:name w:val="toc 5"/>
    <w:basedOn w:val="Normal"/>
    <w:next w:val="Normal"/>
    <w:autoRedefine/>
    <w:uiPriority w:val="39"/>
    <w:unhideWhenUsed/>
    <w:rsid w:val="0044109C"/>
    <w:pPr>
      <w:spacing w:after="0"/>
      <w:ind w:left="880"/>
    </w:pPr>
    <w:rPr>
      <w:rFonts w:asciiTheme="minorHAnsi" w:hAnsiTheme="minorHAnsi"/>
      <w:sz w:val="18"/>
      <w:szCs w:val="18"/>
    </w:rPr>
  </w:style>
  <w:style w:type="paragraph" w:styleId="ndice6">
    <w:name w:val="toc 6"/>
    <w:basedOn w:val="Normal"/>
    <w:next w:val="Normal"/>
    <w:autoRedefine/>
    <w:uiPriority w:val="39"/>
    <w:unhideWhenUsed/>
    <w:rsid w:val="0044109C"/>
    <w:pPr>
      <w:spacing w:after="0"/>
      <w:ind w:left="1100"/>
    </w:pPr>
    <w:rPr>
      <w:rFonts w:asciiTheme="minorHAnsi" w:hAnsiTheme="minorHAnsi"/>
      <w:sz w:val="18"/>
      <w:szCs w:val="18"/>
    </w:rPr>
  </w:style>
  <w:style w:type="paragraph" w:styleId="ndice7">
    <w:name w:val="toc 7"/>
    <w:basedOn w:val="Normal"/>
    <w:next w:val="Normal"/>
    <w:autoRedefine/>
    <w:uiPriority w:val="39"/>
    <w:unhideWhenUsed/>
    <w:rsid w:val="0044109C"/>
    <w:pPr>
      <w:spacing w:after="0"/>
      <w:ind w:left="1320"/>
    </w:pPr>
    <w:rPr>
      <w:rFonts w:asciiTheme="minorHAnsi" w:hAnsiTheme="minorHAnsi"/>
      <w:sz w:val="18"/>
      <w:szCs w:val="18"/>
    </w:rPr>
  </w:style>
  <w:style w:type="paragraph" w:styleId="ndice8">
    <w:name w:val="toc 8"/>
    <w:basedOn w:val="Normal"/>
    <w:next w:val="Normal"/>
    <w:autoRedefine/>
    <w:uiPriority w:val="39"/>
    <w:unhideWhenUsed/>
    <w:rsid w:val="0044109C"/>
    <w:pPr>
      <w:spacing w:after="0"/>
      <w:ind w:left="1540"/>
    </w:pPr>
    <w:rPr>
      <w:rFonts w:asciiTheme="minorHAnsi" w:hAnsiTheme="minorHAnsi"/>
      <w:sz w:val="18"/>
      <w:szCs w:val="18"/>
    </w:rPr>
  </w:style>
  <w:style w:type="paragraph" w:styleId="ndice9">
    <w:name w:val="toc 9"/>
    <w:basedOn w:val="Normal"/>
    <w:next w:val="Normal"/>
    <w:autoRedefine/>
    <w:uiPriority w:val="39"/>
    <w:unhideWhenUsed/>
    <w:rsid w:val="0044109C"/>
    <w:pPr>
      <w:spacing w:after="0"/>
      <w:ind w:left="1760"/>
    </w:pPr>
    <w:rPr>
      <w:rFonts w:asciiTheme="minorHAnsi" w:hAnsiTheme="minorHAnsi"/>
      <w:sz w:val="18"/>
      <w:szCs w:val="18"/>
    </w:rPr>
  </w:style>
  <w:style w:type="character" w:styleId="Hiperligao">
    <w:name w:val="Hyperlink"/>
    <w:basedOn w:val="Tipodeletrapredefinidodopargrafo"/>
    <w:uiPriority w:val="99"/>
    <w:unhideWhenUsed/>
    <w:rsid w:val="0044109C"/>
    <w:rPr>
      <w:color w:val="0000FF" w:themeColor="hyperlink"/>
      <w:u w:val="single"/>
    </w:rPr>
  </w:style>
  <w:style w:type="character" w:styleId="nfase">
    <w:name w:val="Emphasis"/>
    <w:basedOn w:val="Tipodeletrapredefinidodopargrafo"/>
    <w:uiPriority w:val="20"/>
    <w:qFormat/>
    <w:rsid w:val="00134DE9"/>
    <w:rPr>
      <w:i/>
      <w:iCs/>
    </w:rPr>
  </w:style>
  <w:style w:type="character" w:customStyle="1" w:styleId="apple-converted-space">
    <w:name w:val="apple-converted-space"/>
    <w:basedOn w:val="Tipodeletrapredefinidodopargrafo"/>
    <w:rsid w:val="00134DE9"/>
  </w:style>
  <w:style w:type="table" w:styleId="Tabelacomgrelha">
    <w:name w:val="Table Grid"/>
    <w:basedOn w:val="Tabelanormal"/>
    <w:uiPriority w:val="59"/>
    <w:rsid w:val="001622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Cor5">
    <w:name w:val="Light Shading Accent 5"/>
    <w:basedOn w:val="Tabelanormal"/>
    <w:uiPriority w:val="60"/>
    <w:rsid w:val="00CC77D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Claro-Cor11">
    <w:name w:val="Sombreado Claro - Cor 11"/>
    <w:basedOn w:val="Tabelanormal"/>
    <w:uiPriority w:val="60"/>
    <w:rsid w:val="008A76B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dia2-Cor5">
    <w:name w:val="Medium List 2 Accent 5"/>
    <w:basedOn w:val="Tabelanormal"/>
    <w:uiPriority w:val="66"/>
    <w:rsid w:val="008A76BB"/>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E40DF9"/>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semiHidden/>
    <w:unhideWhenUsed/>
    <w:rsid w:val="000F20ED"/>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hps">
    <w:name w:val="hps"/>
    <w:basedOn w:val="Tipodeletrapredefinidodopargrafo"/>
    <w:rsid w:val="00E61E68"/>
  </w:style>
  <w:style w:type="character" w:customStyle="1" w:styleId="pagination">
    <w:name w:val="pagination"/>
    <w:basedOn w:val="Tipodeletrapredefinidodopargrafo"/>
    <w:rsid w:val="00144186"/>
  </w:style>
  <w:style w:type="character" w:customStyle="1" w:styleId="doi">
    <w:name w:val="doi"/>
    <w:basedOn w:val="Tipodeletrapredefinidodopargrafo"/>
    <w:rsid w:val="00144186"/>
  </w:style>
  <w:style w:type="character" w:customStyle="1" w:styleId="label">
    <w:name w:val="label"/>
    <w:basedOn w:val="Tipodeletrapredefinidodopargrafo"/>
    <w:rsid w:val="00144186"/>
  </w:style>
  <w:style w:type="character" w:customStyle="1" w:styleId="value">
    <w:name w:val="value"/>
    <w:basedOn w:val="Tipodeletrapredefinidodopargrafo"/>
    <w:rsid w:val="00144186"/>
  </w:style>
  <w:style w:type="paragraph" w:customStyle="1" w:styleId="authors">
    <w:name w:val="authors"/>
    <w:basedOn w:val="Normal"/>
    <w:rsid w:val="00144186"/>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ref-journal">
    <w:name w:val="ref-journal"/>
    <w:basedOn w:val="Tipodeletrapredefinidodopargrafo"/>
    <w:rsid w:val="000E2563"/>
  </w:style>
  <w:style w:type="character" w:customStyle="1" w:styleId="ref-vol">
    <w:name w:val="ref-vol"/>
    <w:basedOn w:val="Tipodeletrapredefinidodopargrafo"/>
    <w:rsid w:val="000E2563"/>
  </w:style>
  <w:style w:type="table" w:styleId="ListaClara-Cor5">
    <w:name w:val="Light List Accent 5"/>
    <w:basedOn w:val="Tabelanormal"/>
    <w:uiPriority w:val="61"/>
    <w:rsid w:val="004A53B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Cor3">
    <w:name w:val="Light List Accent 3"/>
    <w:basedOn w:val="Tabelanormal"/>
    <w:uiPriority w:val="61"/>
    <w:rsid w:val="004A53B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comentrio">
    <w:name w:val="annotation text"/>
    <w:basedOn w:val="Normal"/>
    <w:link w:val="TextodecomentrioCarcter"/>
    <w:uiPriority w:val="99"/>
    <w:semiHidden/>
    <w:unhideWhenUsed/>
    <w:rsid w:val="006737F5"/>
    <w:pPr>
      <w:spacing w:line="240" w:lineRule="auto"/>
    </w:pPr>
    <w:rPr>
      <w:rFonts w:asciiTheme="minorHAnsi" w:eastAsiaTheme="minorHAnsi" w:hAnsiTheme="minorHAnsi" w:cstheme="minorBidi"/>
      <w:sz w:val="20"/>
      <w:szCs w:val="20"/>
    </w:rPr>
  </w:style>
  <w:style w:type="character" w:customStyle="1" w:styleId="TextodecomentrioCarcter">
    <w:name w:val="Texto de comentário Carácter"/>
    <w:basedOn w:val="Tipodeletrapredefinidodopargrafo"/>
    <w:link w:val="Textodecomentrio"/>
    <w:uiPriority w:val="99"/>
    <w:semiHidden/>
    <w:rsid w:val="006737F5"/>
    <w:rPr>
      <w:rFonts w:asciiTheme="minorHAnsi" w:eastAsiaTheme="minorHAnsi" w:hAnsiTheme="minorHAnsi" w:cstheme="minorBidi"/>
      <w:lang w:eastAsia="en-US"/>
    </w:rPr>
  </w:style>
  <w:style w:type="paragraph" w:styleId="Textosimples">
    <w:name w:val="Plain Text"/>
    <w:basedOn w:val="Normal"/>
    <w:link w:val="TextosimplesCarcter"/>
    <w:uiPriority w:val="99"/>
    <w:semiHidden/>
    <w:unhideWhenUsed/>
    <w:rsid w:val="00763849"/>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TextosimplesCarcter">
    <w:name w:val="Texto simples Carácter"/>
    <w:basedOn w:val="Tipodeletrapredefinidodopargrafo"/>
    <w:link w:val="Textosimples"/>
    <w:uiPriority w:val="99"/>
    <w:semiHidden/>
    <w:rsid w:val="00763849"/>
    <w:rPr>
      <w:rFonts w:ascii="Times New Roman" w:eastAsia="Times New Roman" w:hAnsi="Times New Roman"/>
      <w:sz w:val="24"/>
      <w:szCs w:val="24"/>
    </w:rPr>
  </w:style>
  <w:style w:type="character" w:styleId="Refdecomentrio">
    <w:name w:val="annotation reference"/>
    <w:basedOn w:val="Tipodeletrapredefinidodopargrafo"/>
    <w:uiPriority w:val="99"/>
    <w:semiHidden/>
    <w:unhideWhenUsed/>
    <w:rsid w:val="00F62818"/>
    <w:rPr>
      <w:sz w:val="16"/>
      <w:szCs w:val="16"/>
    </w:rPr>
  </w:style>
  <w:style w:type="character" w:styleId="TextodoMarcadordePosio">
    <w:name w:val="Placeholder Text"/>
    <w:basedOn w:val="Tipodeletrapredefinidodopargrafo"/>
    <w:uiPriority w:val="99"/>
    <w:semiHidden/>
    <w:rsid w:val="007F32BE"/>
    <w:rPr>
      <w:color w:val="808080"/>
    </w:rPr>
  </w:style>
</w:styles>
</file>

<file path=word/webSettings.xml><?xml version="1.0" encoding="utf-8"?>
<w:webSettings xmlns:r="http://schemas.openxmlformats.org/officeDocument/2006/relationships" xmlns:w="http://schemas.openxmlformats.org/wordprocessingml/2006/main">
  <w:divs>
    <w:div w:id="21593111">
      <w:bodyDiv w:val="1"/>
      <w:marLeft w:val="0"/>
      <w:marRight w:val="0"/>
      <w:marTop w:val="0"/>
      <w:marBottom w:val="0"/>
      <w:divBdr>
        <w:top w:val="none" w:sz="0" w:space="0" w:color="auto"/>
        <w:left w:val="none" w:sz="0" w:space="0" w:color="auto"/>
        <w:bottom w:val="none" w:sz="0" w:space="0" w:color="auto"/>
        <w:right w:val="none" w:sz="0" w:space="0" w:color="auto"/>
      </w:divBdr>
    </w:div>
    <w:div w:id="371082058">
      <w:bodyDiv w:val="1"/>
      <w:marLeft w:val="0"/>
      <w:marRight w:val="0"/>
      <w:marTop w:val="0"/>
      <w:marBottom w:val="0"/>
      <w:divBdr>
        <w:top w:val="none" w:sz="0" w:space="0" w:color="auto"/>
        <w:left w:val="none" w:sz="0" w:space="0" w:color="auto"/>
        <w:bottom w:val="none" w:sz="0" w:space="0" w:color="auto"/>
        <w:right w:val="none" w:sz="0" w:space="0" w:color="auto"/>
      </w:divBdr>
      <w:divsChild>
        <w:div w:id="2103910843">
          <w:marLeft w:val="4132"/>
          <w:marRight w:val="0"/>
          <w:marTop w:val="0"/>
          <w:marBottom w:val="0"/>
          <w:divBdr>
            <w:top w:val="none" w:sz="0" w:space="0" w:color="auto"/>
            <w:left w:val="none" w:sz="0" w:space="0" w:color="auto"/>
            <w:bottom w:val="none" w:sz="0" w:space="0" w:color="auto"/>
            <w:right w:val="none" w:sz="0" w:space="0" w:color="auto"/>
          </w:divBdr>
        </w:div>
      </w:divsChild>
    </w:div>
    <w:div w:id="612833492">
      <w:bodyDiv w:val="1"/>
      <w:marLeft w:val="0"/>
      <w:marRight w:val="0"/>
      <w:marTop w:val="0"/>
      <w:marBottom w:val="0"/>
      <w:divBdr>
        <w:top w:val="none" w:sz="0" w:space="0" w:color="auto"/>
        <w:left w:val="none" w:sz="0" w:space="0" w:color="auto"/>
        <w:bottom w:val="none" w:sz="0" w:space="0" w:color="auto"/>
        <w:right w:val="none" w:sz="0" w:space="0" w:color="auto"/>
      </w:divBdr>
    </w:div>
    <w:div w:id="745342797">
      <w:bodyDiv w:val="1"/>
      <w:marLeft w:val="0"/>
      <w:marRight w:val="0"/>
      <w:marTop w:val="0"/>
      <w:marBottom w:val="0"/>
      <w:divBdr>
        <w:top w:val="none" w:sz="0" w:space="0" w:color="auto"/>
        <w:left w:val="none" w:sz="0" w:space="0" w:color="auto"/>
        <w:bottom w:val="none" w:sz="0" w:space="0" w:color="auto"/>
        <w:right w:val="none" w:sz="0" w:space="0" w:color="auto"/>
      </w:divBdr>
    </w:div>
    <w:div w:id="766727386">
      <w:bodyDiv w:val="1"/>
      <w:marLeft w:val="0"/>
      <w:marRight w:val="0"/>
      <w:marTop w:val="0"/>
      <w:marBottom w:val="0"/>
      <w:divBdr>
        <w:top w:val="none" w:sz="0" w:space="0" w:color="auto"/>
        <w:left w:val="none" w:sz="0" w:space="0" w:color="auto"/>
        <w:bottom w:val="none" w:sz="0" w:space="0" w:color="auto"/>
        <w:right w:val="none" w:sz="0" w:space="0" w:color="auto"/>
      </w:divBdr>
      <w:divsChild>
        <w:div w:id="79834916">
          <w:marLeft w:val="0"/>
          <w:marRight w:val="0"/>
          <w:marTop w:val="0"/>
          <w:marBottom w:val="0"/>
          <w:divBdr>
            <w:top w:val="none" w:sz="0" w:space="0" w:color="auto"/>
            <w:left w:val="none" w:sz="0" w:space="0" w:color="auto"/>
            <w:bottom w:val="none" w:sz="0" w:space="0" w:color="auto"/>
            <w:right w:val="none" w:sz="0" w:space="0" w:color="auto"/>
          </w:divBdr>
        </w:div>
        <w:div w:id="32965163">
          <w:marLeft w:val="0"/>
          <w:marRight w:val="0"/>
          <w:marTop w:val="0"/>
          <w:marBottom w:val="0"/>
          <w:divBdr>
            <w:top w:val="none" w:sz="0" w:space="0" w:color="auto"/>
            <w:left w:val="none" w:sz="0" w:space="0" w:color="auto"/>
            <w:bottom w:val="none" w:sz="0" w:space="0" w:color="auto"/>
            <w:right w:val="none" w:sz="0" w:space="0" w:color="auto"/>
          </w:divBdr>
        </w:div>
      </w:divsChild>
    </w:div>
    <w:div w:id="827601266">
      <w:bodyDiv w:val="1"/>
      <w:marLeft w:val="0"/>
      <w:marRight w:val="0"/>
      <w:marTop w:val="0"/>
      <w:marBottom w:val="0"/>
      <w:divBdr>
        <w:top w:val="none" w:sz="0" w:space="0" w:color="auto"/>
        <w:left w:val="none" w:sz="0" w:space="0" w:color="auto"/>
        <w:bottom w:val="none" w:sz="0" w:space="0" w:color="auto"/>
        <w:right w:val="none" w:sz="0" w:space="0" w:color="auto"/>
      </w:divBdr>
    </w:div>
    <w:div w:id="983699637">
      <w:bodyDiv w:val="1"/>
      <w:marLeft w:val="0"/>
      <w:marRight w:val="0"/>
      <w:marTop w:val="0"/>
      <w:marBottom w:val="0"/>
      <w:divBdr>
        <w:top w:val="none" w:sz="0" w:space="0" w:color="auto"/>
        <w:left w:val="none" w:sz="0" w:space="0" w:color="auto"/>
        <w:bottom w:val="none" w:sz="0" w:space="0" w:color="auto"/>
        <w:right w:val="none" w:sz="0" w:space="0" w:color="auto"/>
      </w:divBdr>
    </w:div>
    <w:div w:id="1031489172">
      <w:bodyDiv w:val="1"/>
      <w:marLeft w:val="0"/>
      <w:marRight w:val="0"/>
      <w:marTop w:val="0"/>
      <w:marBottom w:val="0"/>
      <w:divBdr>
        <w:top w:val="none" w:sz="0" w:space="0" w:color="auto"/>
        <w:left w:val="none" w:sz="0" w:space="0" w:color="auto"/>
        <w:bottom w:val="none" w:sz="0" w:space="0" w:color="auto"/>
        <w:right w:val="none" w:sz="0" w:space="0" w:color="auto"/>
      </w:divBdr>
    </w:div>
    <w:div w:id="1054960881">
      <w:bodyDiv w:val="1"/>
      <w:marLeft w:val="0"/>
      <w:marRight w:val="0"/>
      <w:marTop w:val="0"/>
      <w:marBottom w:val="0"/>
      <w:divBdr>
        <w:top w:val="none" w:sz="0" w:space="0" w:color="auto"/>
        <w:left w:val="none" w:sz="0" w:space="0" w:color="auto"/>
        <w:bottom w:val="none" w:sz="0" w:space="0" w:color="auto"/>
        <w:right w:val="none" w:sz="0" w:space="0" w:color="auto"/>
      </w:divBdr>
    </w:div>
    <w:div w:id="1179660329">
      <w:bodyDiv w:val="1"/>
      <w:marLeft w:val="0"/>
      <w:marRight w:val="0"/>
      <w:marTop w:val="0"/>
      <w:marBottom w:val="0"/>
      <w:divBdr>
        <w:top w:val="none" w:sz="0" w:space="0" w:color="auto"/>
        <w:left w:val="none" w:sz="0" w:space="0" w:color="auto"/>
        <w:bottom w:val="none" w:sz="0" w:space="0" w:color="auto"/>
        <w:right w:val="none" w:sz="0" w:space="0" w:color="auto"/>
      </w:divBdr>
    </w:div>
    <w:div w:id="1299645227">
      <w:bodyDiv w:val="1"/>
      <w:marLeft w:val="0"/>
      <w:marRight w:val="0"/>
      <w:marTop w:val="0"/>
      <w:marBottom w:val="0"/>
      <w:divBdr>
        <w:top w:val="none" w:sz="0" w:space="0" w:color="auto"/>
        <w:left w:val="none" w:sz="0" w:space="0" w:color="auto"/>
        <w:bottom w:val="none" w:sz="0" w:space="0" w:color="auto"/>
        <w:right w:val="none" w:sz="0" w:space="0" w:color="auto"/>
      </w:divBdr>
    </w:div>
    <w:div w:id="1460882050">
      <w:bodyDiv w:val="1"/>
      <w:marLeft w:val="0"/>
      <w:marRight w:val="0"/>
      <w:marTop w:val="0"/>
      <w:marBottom w:val="0"/>
      <w:divBdr>
        <w:top w:val="none" w:sz="0" w:space="0" w:color="auto"/>
        <w:left w:val="none" w:sz="0" w:space="0" w:color="auto"/>
        <w:bottom w:val="none" w:sz="0" w:space="0" w:color="auto"/>
        <w:right w:val="none" w:sz="0" w:space="0" w:color="auto"/>
      </w:divBdr>
    </w:div>
    <w:div w:id="1550803650">
      <w:bodyDiv w:val="1"/>
      <w:marLeft w:val="0"/>
      <w:marRight w:val="0"/>
      <w:marTop w:val="0"/>
      <w:marBottom w:val="0"/>
      <w:divBdr>
        <w:top w:val="none" w:sz="0" w:space="0" w:color="auto"/>
        <w:left w:val="none" w:sz="0" w:space="0" w:color="auto"/>
        <w:bottom w:val="none" w:sz="0" w:space="0" w:color="auto"/>
        <w:right w:val="none" w:sz="0" w:space="0" w:color="auto"/>
      </w:divBdr>
      <w:divsChild>
        <w:div w:id="203713392">
          <w:marLeft w:val="418"/>
          <w:marRight w:val="0"/>
          <w:marTop w:val="0"/>
          <w:marBottom w:val="0"/>
          <w:divBdr>
            <w:top w:val="none" w:sz="0" w:space="0" w:color="auto"/>
            <w:left w:val="none" w:sz="0" w:space="0" w:color="auto"/>
            <w:bottom w:val="none" w:sz="0" w:space="0" w:color="auto"/>
            <w:right w:val="none" w:sz="0" w:space="0" w:color="auto"/>
          </w:divBdr>
        </w:div>
      </w:divsChild>
    </w:div>
    <w:div w:id="1741561658">
      <w:bodyDiv w:val="1"/>
      <w:marLeft w:val="0"/>
      <w:marRight w:val="0"/>
      <w:marTop w:val="0"/>
      <w:marBottom w:val="0"/>
      <w:divBdr>
        <w:top w:val="none" w:sz="0" w:space="0" w:color="auto"/>
        <w:left w:val="none" w:sz="0" w:space="0" w:color="auto"/>
        <w:bottom w:val="none" w:sz="0" w:space="0" w:color="auto"/>
        <w:right w:val="none" w:sz="0" w:space="0" w:color="auto"/>
      </w:divBdr>
      <w:divsChild>
        <w:div w:id="105317766">
          <w:marLeft w:val="0"/>
          <w:marRight w:val="0"/>
          <w:marTop w:val="180"/>
          <w:marBottom w:val="0"/>
          <w:divBdr>
            <w:top w:val="none" w:sz="0" w:space="0" w:color="auto"/>
            <w:left w:val="none" w:sz="0" w:space="0" w:color="auto"/>
            <w:bottom w:val="none" w:sz="0" w:space="0" w:color="auto"/>
            <w:right w:val="none" w:sz="0" w:space="0" w:color="auto"/>
          </w:divBdr>
        </w:div>
      </w:divsChild>
    </w:div>
    <w:div w:id="1810972459">
      <w:bodyDiv w:val="1"/>
      <w:marLeft w:val="0"/>
      <w:marRight w:val="0"/>
      <w:marTop w:val="0"/>
      <w:marBottom w:val="0"/>
      <w:divBdr>
        <w:top w:val="none" w:sz="0" w:space="0" w:color="auto"/>
        <w:left w:val="none" w:sz="0" w:space="0" w:color="auto"/>
        <w:bottom w:val="none" w:sz="0" w:space="0" w:color="auto"/>
        <w:right w:val="none" w:sz="0" w:space="0" w:color="auto"/>
      </w:divBdr>
    </w:div>
    <w:div w:id="1813014045">
      <w:bodyDiv w:val="1"/>
      <w:marLeft w:val="0"/>
      <w:marRight w:val="0"/>
      <w:marTop w:val="0"/>
      <w:marBottom w:val="0"/>
      <w:divBdr>
        <w:top w:val="none" w:sz="0" w:space="0" w:color="auto"/>
        <w:left w:val="none" w:sz="0" w:space="0" w:color="auto"/>
        <w:bottom w:val="none" w:sz="0" w:space="0" w:color="auto"/>
        <w:right w:val="none" w:sz="0" w:space="0" w:color="auto"/>
      </w:divBdr>
      <w:divsChild>
        <w:div w:id="1504080876">
          <w:marLeft w:val="0"/>
          <w:marRight w:val="0"/>
          <w:marTop w:val="0"/>
          <w:marBottom w:val="0"/>
          <w:divBdr>
            <w:top w:val="none" w:sz="0" w:space="6" w:color="auto"/>
            <w:left w:val="none" w:sz="0" w:space="6" w:color="auto"/>
            <w:bottom w:val="none" w:sz="0" w:space="6" w:color="auto"/>
            <w:right w:val="none" w:sz="0" w:space="6" w:color="auto"/>
          </w:divBdr>
          <w:divsChild>
            <w:div w:id="1051029599">
              <w:marLeft w:val="0"/>
              <w:marRight w:val="0"/>
              <w:marTop w:val="0"/>
              <w:marBottom w:val="0"/>
              <w:divBdr>
                <w:top w:val="none" w:sz="0" w:space="0" w:color="auto"/>
                <w:left w:val="none" w:sz="0" w:space="0" w:color="auto"/>
                <w:bottom w:val="none" w:sz="0" w:space="0" w:color="auto"/>
                <w:right w:val="none" w:sz="0" w:space="0" w:color="auto"/>
              </w:divBdr>
            </w:div>
            <w:div w:id="377045626">
              <w:marLeft w:val="0"/>
              <w:marRight w:val="0"/>
              <w:marTop w:val="0"/>
              <w:marBottom w:val="0"/>
              <w:divBdr>
                <w:top w:val="none" w:sz="0" w:space="0" w:color="auto"/>
                <w:left w:val="none" w:sz="0" w:space="0" w:color="auto"/>
                <w:bottom w:val="none" w:sz="0" w:space="0" w:color="auto"/>
                <w:right w:val="none" w:sz="0" w:space="0" w:color="auto"/>
              </w:divBdr>
            </w:div>
          </w:divsChild>
        </w:div>
        <w:div w:id="2119834128">
          <w:marLeft w:val="0"/>
          <w:marRight w:val="0"/>
          <w:marTop w:val="0"/>
          <w:marBottom w:val="0"/>
          <w:divBdr>
            <w:top w:val="none" w:sz="0" w:space="6" w:color="auto"/>
            <w:left w:val="none" w:sz="0" w:space="6" w:color="auto"/>
            <w:bottom w:val="none" w:sz="0" w:space="6" w:color="auto"/>
            <w:right w:val="none" w:sz="0" w:space="6" w:color="auto"/>
          </w:divBdr>
          <w:divsChild>
            <w:div w:id="1559973603">
              <w:marLeft w:val="1377"/>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image" Target="media/image22.emf"/><Relationship Id="rId42" Type="http://schemas.openxmlformats.org/officeDocument/2006/relationships/image" Target="media/image29.emf"/><Relationship Id="rId47" Type="http://schemas.openxmlformats.org/officeDocument/2006/relationships/image" Target="media/image33.jpeg"/><Relationship Id="rId50" Type="http://schemas.openxmlformats.org/officeDocument/2006/relationships/chart" Target="charts/chart5.xml"/><Relationship Id="rId55" Type="http://schemas.openxmlformats.org/officeDocument/2006/relationships/oleObject" Target="embeddings/oleObject1.bin"/><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diagramData" Target="diagrams/data1.xml"/><Relationship Id="rId41" Type="http://schemas.openxmlformats.org/officeDocument/2006/relationships/image" Target="media/image28.emf"/><Relationship Id="rId54" Type="http://schemas.openxmlformats.org/officeDocument/2006/relationships/image" Target="media/image34.emf"/><Relationship Id="rId62"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diagramColors" Target="diagrams/colors1.xml"/><Relationship Id="rId37" Type="http://schemas.openxmlformats.org/officeDocument/2006/relationships/chart" Target="charts/chart1.xml"/><Relationship Id="rId40" Type="http://schemas.openxmlformats.org/officeDocument/2006/relationships/image" Target="media/image27.jpeg"/><Relationship Id="rId45" Type="http://schemas.openxmlformats.org/officeDocument/2006/relationships/chart" Target="charts/chart2.xml"/><Relationship Id="rId53" Type="http://schemas.openxmlformats.org/officeDocument/2006/relationships/chart" Target="charts/chart8.xml"/><Relationship Id="rId58" Type="http://schemas.openxmlformats.org/officeDocument/2006/relationships/image" Target="media/image36.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4.jpeg"/><Relationship Id="rId49" Type="http://schemas.openxmlformats.org/officeDocument/2006/relationships/chart" Target="charts/chart4.xml"/><Relationship Id="rId57" Type="http://schemas.openxmlformats.org/officeDocument/2006/relationships/oleObject" Target="embeddings/oleObject2.bin"/><Relationship Id="rId61" Type="http://schemas.openxmlformats.org/officeDocument/2006/relationships/oleObject" Target="embeddings/oleObject4.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QuickStyle" Target="diagrams/quickStyle1.xml"/><Relationship Id="rId44" Type="http://schemas.openxmlformats.org/officeDocument/2006/relationships/image" Target="media/image31.emf"/><Relationship Id="rId52" Type="http://schemas.openxmlformats.org/officeDocument/2006/relationships/chart" Target="charts/chart7.xml"/><Relationship Id="rId60" Type="http://schemas.openxmlformats.org/officeDocument/2006/relationships/image" Target="media/image3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Layout" Target="diagrams/layout1.xml"/><Relationship Id="rId35" Type="http://schemas.openxmlformats.org/officeDocument/2006/relationships/image" Target="media/image23.jpeg"/><Relationship Id="rId43" Type="http://schemas.openxmlformats.org/officeDocument/2006/relationships/image" Target="media/image30.emf"/><Relationship Id="rId48" Type="http://schemas.openxmlformats.org/officeDocument/2006/relationships/chart" Target="charts/chart3.xml"/><Relationship Id="rId56" Type="http://schemas.openxmlformats.org/officeDocument/2006/relationships/image" Target="media/image35.emf"/><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microsoft.com/office/2007/relationships/diagramDrawing" Target="diagrams/drawing1.xml"/><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Laurinha\Desktop\TESE\Fen&#243;is\Fen&#243;is%20Tota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urinha\Desktop\TESE\HPLC\Quantifica&#231;&#227;o%20de%20HT%20triplicados\Tratamento%20de%20resultados%20dos%20triplic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urinha\Desktop\TESE\DPPH\DPPH%20Triplica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urinha\Desktop\TESE\Poder%20Redutor\Poder%20Redutor%20Tri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ura\Desktop\TESE\MDA-MB-231\Resultados%20Finais%20Tese\Ensaios%20HT%20-%20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ura\Desktop\TESE\MDA-MB-231\Resultados%20Finais%20Tese\Ensaios%20EB%20-%20F%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ura\Desktop\TESE\MDA-MB-231\Resultados%20Finais%20Tese\Ensaios%20EPC%20-%20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ura\Desktop\TESE\MDA-MB-231\Resultados%20Finais%20Tese\Ensaios%20ERC%20-%20F.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ura\Desktop\TESE\Leveduras\Ensaio%20tratado%2013%20s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6339449596135497"/>
          <c:y val="0.18158240820604141"/>
          <c:w val="0.69233583843022306"/>
          <c:h val="0.63306715635811939"/>
        </c:manualLayout>
      </c:layout>
      <c:barChart>
        <c:barDir val="col"/>
        <c:grouping val="clustered"/>
        <c:ser>
          <c:idx val="0"/>
          <c:order val="0"/>
          <c:tx>
            <c:strRef>
              <c:f>Folha1!$E$25</c:f>
              <c:strCache>
                <c:ptCount val="1"/>
                <c:pt idx="0">
                  <c:v>mg/mL</c:v>
                </c:pt>
              </c:strCache>
            </c:strRef>
          </c:tx>
          <c:spPr>
            <a:solidFill>
              <a:schemeClr val="tx2">
                <a:lumMod val="60000"/>
                <a:lumOff val="40000"/>
              </a:schemeClr>
            </a:solidFill>
            <a:effectLst>
              <a:outerShdw blurRad="50800" dist="38100" dir="2700000" algn="tl" rotWithShape="0">
                <a:prstClr val="black">
                  <a:alpha val="40000"/>
                </a:prstClr>
              </a:outerShdw>
            </a:effectLst>
            <a:scene3d>
              <a:camera prst="orthographicFront"/>
              <a:lightRig rig="glow" dir="t">
                <a:rot lat="0" lon="0" rev="4800000"/>
              </a:lightRig>
            </a:scene3d>
            <a:sp3d prstMaterial="matte">
              <a:bevelT w="127000" h="63500"/>
            </a:sp3d>
          </c:spPr>
          <c:dLbls>
            <c:dLbl>
              <c:idx val="0"/>
              <c:layout>
                <c:manualLayout>
                  <c:x val="0.46165527714502658"/>
                  <c:y val="0.47146712667983642"/>
                </c:manualLayout>
              </c:layout>
              <c:tx>
                <c:rich>
                  <a:bodyPr/>
                  <a:lstStyle/>
                  <a:p>
                    <a:r>
                      <a:rPr lang="en-US" sz="1050" dirty="0" smtClean="0">
                        <a:effectLst/>
                      </a:rPr>
                      <a:t>0</a:t>
                    </a:r>
                    <a:r>
                      <a:rPr lang="en-US" dirty="0" smtClean="0"/>
                      <a:t>,132</a:t>
                    </a:r>
                    <a:endParaRPr lang="en-US" dirty="0"/>
                  </a:p>
                </c:rich>
              </c:tx>
              <c:showVal val="1"/>
            </c:dLbl>
            <c:dLbl>
              <c:idx val="1"/>
              <c:layout>
                <c:manualLayout>
                  <c:x val="2.7743798539989254E-3"/>
                  <c:y val="0.10808491694722012"/>
                </c:manualLayout>
              </c:layout>
              <c:tx>
                <c:rich>
                  <a:bodyPr/>
                  <a:lstStyle/>
                  <a:p>
                    <a:r>
                      <a:rPr lang="en-US" sz="1050" dirty="0" smtClean="0">
                        <a:effectLst/>
                      </a:rPr>
                      <a:t>0</a:t>
                    </a:r>
                    <a:r>
                      <a:rPr lang="en-US" dirty="0" smtClean="0"/>
                      <a:t>,940</a:t>
                    </a:r>
                    <a:endParaRPr lang="en-US" dirty="0"/>
                  </a:p>
                </c:rich>
              </c:tx>
              <c:showVal val="1"/>
            </c:dLbl>
            <c:dLbl>
              <c:idx val="2"/>
              <c:layout>
                <c:manualLayout>
                  <c:x val="-0.46267309980329907"/>
                  <c:y val="-0.26894632870537821"/>
                </c:manualLayout>
              </c:layout>
              <c:tx>
                <c:rich>
                  <a:bodyPr/>
                  <a:lstStyle/>
                  <a:p>
                    <a:r>
                      <a:rPr lang="en-US" sz="1050" dirty="0" smtClean="0">
                        <a:effectLst/>
                      </a:rPr>
                      <a:t>0</a:t>
                    </a:r>
                    <a:r>
                      <a:rPr lang="en-US" dirty="0" smtClean="0"/>
                      <a:t>,733</a:t>
                    </a:r>
                    <a:endParaRPr lang="en-US" dirty="0"/>
                  </a:p>
                </c:rich>
              </c:tx>
              <c:showVal val="1"/>
            </c:dLbl>
            <c:txPr>
              <a:bodyPr/>
              <a:lstStyle/>
              <a:p>
                <a:pPr>
                  <a:defRPr sz="1050" b="1">
                    <a:effectLst/>
                  </a:defRPr>
                </a:pPr>
                <a:endParaRPr lang="pt-PT"/>
              </a:p>
            </c:txPr>
            <c:showVal val="1"/>
          </c:dLbls>
          <c:errBars>
            <c:errBarType val="both"/>
            <c:errValType val="cust"/>
            <c:plus>
              <c:numRef>
                <c:f>Folha1!$V$15:$V$17</c:f>
                <c:numCache>
                  <c:formatCode>General</c:formatCode>
                  <c:ptCount val="3"/>
                  <c:pt idx="0">
                    <c:v>7.654533729880592E-4</c:v>
                  </c:pt>
                  <c:pt idx="1">
                    <c:v>3.4878061440736636E-3</c:v>
                  </c:pt>
                  <c:pt idx="2">
                    <c:v>1.8067664795956475E-3</c:v>
                  </c:pt>
                </c:numCache>
              </c:numRef>
            </c:plus>
            <c:minus>
              <c:numRef>
                <c:f>Folha1!$V$15:$V$17</c:f>
                <c:numCache>
                  <c:formatCode>General</c:formatCode>
                  <c:ptCount val="3"/>
                  <c:pt idx="0">
                    <c:v>7.654533729880592E-4</c:v>
                  </c:pt>
                  <c:pt idx="1">
                    <c:v>3.4878061440736636E-3</c:v>
                  </c:pt>
                  <c:pt idx="2">
                    <c:v>1.8067664795956475E-3</c:v>
                  </c:pt>
                </c:numCache>
              </c:numRef>
            </c:minus>
          </c:errBars>
          <c:cat>
            <c:strRef>
              <c:f>Folha1!$D$26:$D$28</c:f>
              <c:strCache>
                <c:ptCount val="3"/>
                <c:pt idx="0">
                  <c:v>EB</c:v>
                </c:pt>
                <c:pt idx="1">
                  <c:v>ERC</c:v>
                </c:pt>
                <c:pt idx="2">
                  <c:v>EPC</c:v>
                </c:pt>
              </c:strCache>
            </c:strRef>
          </c:cat>
          <c:val>
            <c:numRef>
              <c:f>Folha1!$E$26:$E$28</c:f>
              <c:numCache>
                <c:formatCode>0.000</c:formatCode>
                <c:ptCount val="3"/>
                <c:pt idx="0">
                  <c:v>0.73312936683591567</c:v>
                </c:pt>
                <c:pt idx="1">
                  <c:v>0.93996489654607296</c:v>
                </c:pt>
                <c:pt idx="2">
                  <c:v>0.13184047216074299</c:v>
                </c:pt>
              </c:numCache>
            </c:numRef>
          </c:val>
        </c:ser>
        <c:axId val="71949312"/>
        <c:axId val="73369472"/>
      </c:barChart>
      <c:catAx>
        <c:axId val="71949312"/>
        <c:scaling>
          <c:orientation val="minMax"/>
        </c:scaling>
        <c:axPos val="b"/>
        <c:tickLblPos val="nextTo"/>
        <c:txPr>
          <a:bodyPr/>
          <a:lstStyle/>
          <a:p>
            <a:pPr>
              <a:defRPr sz="1400" b="1">
                <a:effectLst/>
              </a:defRPr>
            </a:pPr>
            <a:endParaRPr lang="pt-PT"/>
          </a:p>
        </c:txPr>
        <c:crossAx val="73369472"/>
        <c:crosses val="autoZero"/>
        <c:auto val="1"/>
        <c:lblAlgn val="ctr"/>
        <c:lblOffset val="100"/>
      </c:catAx>
      <c:valAx>
        <c:axId val="73369472"/>
        <c:scaling>
          <c:orientation val="minMax"/>
        </c:scaling>
        <c:axPos val="l"/>
        <c:title>
          <c:tx>
            <c:rich>
              <a:bodyPr rot="-5400000" vert="horz"/>
              <a:lstStyle/>
              <a:p>
                <a:pPr>
                  <a:defRPr sz="500"/>
                </a:pPr>
                <a:r>
                  <a:rPr lang="en-US" sz="1050" b="1" i="0" baseline="0"/>
                  <a:t>Fenóis totais (mg EAG/mL) </a:t>
                </a:r>
                <a:endParaRPr lang="pt-PT" sz="500"/>
              </a:p>
            </c:rich>
          </c:tx>
          <c:layout/>
        </c:title>
        <c:numFmt formatCode="0.000" sourceLinked="1"/>
        <c:tickLblPos val="nextTo"/>
        <c:crossAx val="7194931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style val="32"/>
  <c:chart>
    <c:plotArea>
      <c:layout>
        <c:manualLayout>
          <c:layoutTarget val="inner"/>
          <c:xMode val="edge"/>
          <c:yMode val="edge"/>
          <c:x val="0.2129466316710428"/>
          <c:y val="5.2804152713190555E-2"/>
          <c:w val="0.75649781277341077"/>
          <c:h val="0.81629687260123962"/>
        </c:manualLayout>
      </c:layout>
      <c:barChart>
        <c:barDir val="col"/>
        <c:grouping val="clustered"/>
        <c:ser>
          <c:idx val="0"/>
          <c:order val="0"/>
          <c:spPr>
            <a:solidFill>
              <a:srgbClr val="EE6C00"/>
            </a:solidFill>
          </c:spPr>
          <c:errBars>
            <c:errBarType val="both"/>
            <c:errValType val="cust"/>
            <c:plus>
              <c:numRef>
                <c:f>Folha1!$K$32:$K$34</c:f>
                <c:numCache>
                  <c:formatCode>General</c:formatCode>
                  <c:ptCount val="3"/>
                  <c:pt idx="0">
                    <c:v>4.9937564591531602E-3</c:v>
                  </c:pt>
                  <c:pt idx="1">
                    <c:v>8.8196299860028547E-3</c:v>
                  </c:pt>
                  <c:pt idx="2">
                    <c:v>6.7457751469593365E-4</c:v>
                  </c:pt>
                </c:numCache>
              </c:numRef>
            </c:plus>
            <c:minus>
              <c:numRef>
                <c:f>Folha1!$K$32:$K$34</c:f>
                <c:numCache>
                  <c:formatCode>General</c:formatCode>
                  <c:ptCount val="3"/>
                  <c:pt idx="0">
                    <c:v>4.9937564591531602E-3</c:v>
                  </c:pt>
                  <c:pt idx="1">
                    <c:v>8.8196299860028547E-3</c:v>
                  </c:pt>
                  <c:pt idx="2">
                    <c:v>6.7457751469593365E-4</c:v>
                  </c:pt>
                </c:numCache>
              </c:numRef>
            </c:minus>
          </c:errBars>
          <c:cat>
            <c:strRef>
              <c:f>Folha1!$I$32:$I$34</c:f>
              <c:strCache>
                <c:ptCount val="3"/>
                <c:pt idx="0">
                  <c:v>EB</c:v>
                </c:pt>
                <c:pt idx="1">
                  <c:v>ERC</c:v>
                </c:pt>
                <c:pt idx="2">
                  <c:v>EPC</c:v>
                </c:pt>
              </c:strCache>
            </c:strRef>
          </c:cat>
          <c:val>
            <c:numRef>
              <c:f>Folha1!$J$32:$J$34</c:f>
              <c:numCache>
                <c:formatCode>General</c:formatCode>
                <c:ptCount val="3"/>
                <c:pt idx="0">
                  <c:v>0.24673573333333448</c:v>
                </c:pt>
                <c:pt idx="1">
                  <c:v>0.27091210000000032</c:v>
                </c:pt>
                <c:pt idx="2">
                  <c:v>6.9999066666666693E-2</c:v>
                </c:pt>
              </c:numCache>
            </c:numRef>
          </c:val>
        </c:ser>
        <c:axId val="73624192"/>
        <c:axId val="73646464"/>
      </c:barChart>
      <c:catAx>
        <c:axId val="73624192"/>
        <c:scaling>
          <c:orientation val="minMax"/>
        </c:scaling>
        <c:axPos val="b"/>
        <c:tickLblPos val="nextTo"/>
        <c:txPr>
          <a:bodyPr/>
          <a:lstStyle/>
          <a:p>
            <a:pPr>
              <a:defRPr sz="1200" b="1"/>
            </a:pPr>
            <a:endParaRPr lang="pt-PT"/>
          </a:p>
        </c:txPr>
        <c:crossAx val="73646464"/>
        <c:crosses val="autoZero"/>
        <c:auto val="1"/>
        <c:lblAlgn val="ctr"/>
        <c:lblOffset val="100"/>
      </c:catAx>
      <c:valAx>
        <c:axId val="73646464"/>
        <c:scaling>
          <c:orientation val="minMax"/>
        </c:scaling>
        <c:axPos val="l"/>
        <c:title>
          <c:tx>
            <c:rich>
              <a:bodyPr rot="-5400000" vert="horz"/>
              <a:lstStyle/>
              <a:p>
                <a:pPr>
                  <a:defRPr sz="1050"/>
                </a:pPr>
                <a:r>
                  <a:rPr lang="en-US" sz="1050" b="1" i="0" baseline="0" dirty="0" err="1" smtClean="0"/>
                  <a:t>Hidroxitirosol</a:t>
                </a:r>
                <a:r>
                  <a:rPr lang="en-US" sz="1050" b="1" i="0" baseline="0" dirty="0" smtClean="0"/>
                  <a:t> </a:t>
                </a:r>
                <a:r>
                  <a:rPr lang="en-US" sz="1050" b="1" i="0" baseline="0" dirty="0"/>
                  <a:t>(mg/</a:t>
                </a:r>
                <a:r>
                  <a:rPr lang="en-US" sz="1050" b="1" i="0" baseline="0" dirty="0" err="1"/>
                  <a:t>mL</a:t>
                </a:r>
                <a:r>
                  <a:rPr lang="en-US" sz="1050" b="1" i="0" baseline="0" dirty="0"/>
                  <a:t>)</a:t>
                </a:r>
              </a:p>
            </c:rich>
          </c:tx>
          <c:layout>
            <c:manualLayout>
              <c:xMode val="edge"/>
              <c:yMode val="edge"/>
              <c:x val="4.1476070003884889E-2"/>
              <c:y val="0.13188018628590648"/>
            </c:manualLayout>
          </c:layout>
        </c:title>
        <c:numFmt formatCode="General" sourceLinked="1"/>
        <c:tickLblPos val="nextTo"/>
        <c:txPr>
          <a:bodyPr/>
          <a:lstStyle/>
          <a:p>
            <a:pPr>
              <a:defRPr sz="1000"/>
            </a:pPr>
            <a:endParaRPr lang="pt-PT"/>
          </a:p>
        </c:txPr>
        <c:crossAx val="73624192"/>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style val="32"/>
  <c:chart>
    <c:autoTitleDeleted val="1"/>
    <c:plotArea>
      <c:layout>
        <c:manualLayout>
          <c:layoutTarget val="inner"/>
          <c:xMode val="edge"/>
          <c:yMode val="edge"/>
          <c:x val="0.13717864961202988"/>
          <c:y val="2.8449975221628843E-2"/>
          <c:w val="0.74004263659182634"/>
          <c:h val="0.73824826092542661"/>
        </c:manualLayout>
      </c:layout>
      <c:barChart>
        <c:barDir val="col"/>
        <c:grouping val="clustered"/>
        <c:ser>
          <c:idx val="0"/>
          <c:order val="0"/>
          <c:tx>
            <c:strRef>
              <c:f>Grafico!$I$1</c:f>
              <c:strCache>
                <c:ptCount val="1"/>
                <c:pt idx="0">
                  <c:v>IC50 ug/mL extr.</c:v>
                </c:pt>
              </c:strCache>
            </c:strRef>
          </c:tx>
          <c:spPr>
            <a:solidFill>
              <a:srgbClr val="A9F303"/>
            </a:solidFill>
          </c:spPr>
          <c:errBars>
            <c:errBarType val="both"/>
            <c:errValType val="cust"/>
            <c:plus>
              <c:numRef>
                <c:f>Grafico!$J$2:$J$7</c:f>
                <c:numCache>
                  <c:formatCode>General</c:formatCode>
                  <c:ptCount val="6"/>
                  <c:pt idx="0">
                    <c:v>0.56258465543138192</c:v>
                  </c:pt>
                  <c:pt idx="1">
                    <c:v>0.16927930744604539</c:v>
                  </c:pt>
                  <c:pt idx="2">
                    <c:v>0.19585283590832889</c:v>
                  </c:pt>
                  <c:pt idx="3">
                    <c:v>6.9514986393819422E-2</c:v>
                  </c:pt>
                  <c:pt idx="4">
                    <c:v>8.5049005481153701E-3</c:v>
                  </c:pt>
                  <c:pt idx="5">
                    <c:v>4.8003472096650554E-2</c:v>
                  </c:pt>
                </c:numCache>
              </c:numRef>
            </c:plus>
            <c:minus>
              <c:numRef>
                <c:f>Grafico!$J$2:$J$7</c:f>
                <c:numCache>
                  <c:formatCode>General</c:formatCode>
                  <c:ptCount val="6"/>
                  <c:pt idx="0">
                    <c:v>0.56258465543138192</c:v>
                  </c:pt>
                  <c:pt idx="1">
                    <c:v>0.16927930744604539</c:v>
                  </c:pt>
                  <c:pt idx="2">
                    <c:v>0.19585283590832889</c:v>
                  </c:pt>
                  <c:pt idx="3">
                    <c:v>6.9514986393819422E-2</c:v>
                  </c:pt>
                  <c:pt idx="4">
                    <c:v>8.5049005481153701E-3</c:v>
                  </c:pt>
                  <c:pt idx="5">
                    <c:v>4.8003472096650554E-2</c:v>
                  </c:pt>
                </c:numCache>
              </c:numRef>
            </c:minus>
          </c:errBars>
          <c:cat>
            <c:strRef>
              <c:f>Grafico!$H$2:$H$7</c:f>
              <c:strCache>
                <c:ptCount val="6"/>
                <c:pt idx="0">
                  <c:v>EB</c:v>
                </c:pt>
                <c:pt idx="1">
                  <c:v>ERC</c:v>
                </c:pt>
                <c:pt idx="2">
                  <c:v>EPC</c:v>
                </c:pt>
                <c:pt idx="3">
                  <c:v>α-Tocoferol</c:v>
                </c:pt>
                <c:pt idx="4">
                  <c:v>BHA</c:v>
                </c:pt>
                <c:pt idx="5">
                  <c:v>HT</c:v>
                </c:pt>
              </c:strCache>
            </c:strRef>
          </c:cat>
          <c:val>
            <c:numRef>
              <c:f>Grafico!$I$2:$I$7</c:f>
              <c:numCache>
                <c:formatCode>General</c:formatCode>
                <c:ptCount val="6"/>
                <c:pt idx="0">
                  <c:v>31.678995433789954</c:v>
                </c:pt>
                <c:pt idx="1">
                  <c:v>17.45263829787228</c:v>
                </c:pt>
                <c:pt idx="2">
                  <c:v>8.9916666666666725</c:v>
                </c:pt>
                <c:pt idx="3">
                  <c:v>3.7</c:v>
                </c:pt>
                <c:pt idx="4">
                  <c:v>1.6500000000000001</c:v>
                </c:pt>
                <c:pt idx="5">
                  <c:v>1.214999999999997</c:v>
                </c:pt>
              </c:numCache>
            </c:numRef>
          </c:val>
        </c:ser>
        <c:axId val="73656192"/>
        <c:axId val="73657728"/>
      </c:barChart>
      <c:catAx>
        <c:axId val="73656192"/>
        <c:scaling>
          <c:orientation val="minMax"/>
        </c:scaling>
        <c:axPos val="b"/>
        <c:tickLblPos val="nextTo"/>
        <c:crossAx val="73657728"/>
        <c:crosses val="autoZero"/>
        <c:auto val="1"/>
        <c:lblAlgn val="ctr"/>
        <c:lblOffset val="100"/>
      </c:catAx>
      <c:valAx>
        <c:axId val="73657728"/>
        <c:scaling>
          <c:orientation val="minMax"/>
        </c:scaling>
        <c:axPos val="l"/>
        <c:title>
          <c:tx>
            <c:rich>
              <a:bodyPr rot="-5400000" vert="horz"/>
              <a:lstStyle/>
              <a:p>
                <a:pPr>
                  <a:defRPr/>
                </a:pPr>
                <a:r>
                  <a:rPr lang="pt-PT"/>
                  <a:t>IC</a:t>
                </a:r>
                <a:r>
                  <a:rPr lang="pt-PT" baseline="-25000"/>
                  <a:t>50</a:t>
                </a:r>
                <a:r>
                  <a:rPr lang="pt-PT"/>
                  <a:t> (ug/mL extracto)</a:t>
                </a:r>
              </a:p>
            </c:rich>
          </c:tx>
          <c:layout/>
        </c:title>
        <c:numFmt formatCode="General" sourceLinked="1"/>
        <c:tickLblPos val="nextTo"/>
        <c:crossAx val="73656192"/>
        <c:crosses val="autoZero"/>
        <c:crossBetween val="between"/>
      </c:valAx>
    </c:plotArea>
    <c:legend>
      <c:legendPos val="r"/>
      <c:layout>
        <c:manualLayout>
          <c:xMode val="edge"/>
          <c:yMode val="edge"/>
          <c:x val="0.31826932113835132"/>
          <c:y val="9.4212139566470288E-2"/>
          <c:w val="0.24504945615422613"/>
          <c:h val="8.4302626507350945E-2"/>
        </c:manualLayout>
      </c:layout>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style val="32"/>
  <c:chart>
    <c:autoTitleDeleted val="1"/>
    <c:plotArea>
      <c:layout>
        <c:manualLayout>
          <c:layoutTarget val="inner"/>
          <c:xMode val="edge"/>
          <c:yMode val="edge"/>
          <c:x val="0.12271058891076116"/>
          <c:y val="5.0170208176032786E-2"/>
          <c:w val="0.70029855643044814"/>
          <c:h val="0.71814820407723012"/>
        </c:manualLayout>
      </c:layout>
      <c:barChart>
        <c:barDir val="col"/>
        <c:grouping val="clustered"/>
        <c:ser>
          <c:idx val="0"/>
          <c:order val="0"/>
          <c:tx>
            <c:strRef>
              <c:f>Graficos!$H$1</c:f>
              <c:strCache>
                <c:ptCount val="1"/>
                <c:pt idx="0">
                  <c:v>EC50 (µg/mL extracto)</c:v>
                </c:pt>
              </c:strCache>
            </c:strRef>
          </c:tx>
          <c:spPr>
            <a:solidFill>
              <a:srgbClr val="002060"/>
            </a:solidFill>
          </c:spPr>
          <c:errBars>
            <c:errBarType val="both"/>
            <c:errValType val="cust"/>
            <c:plus>
              <c:numRef>
                <c:f>Graficos!$I$1:$I$7</c:f>
                <c:numCache>
                  <c:formatCode>General</c:formatCode>
                  <c:ptCount val="7"/>
                  <c:pt idx="0">
                    <c:v>0</c:v>
                  </c:pt>
                  <c:pt idx="1">
                    <c:v>0.75777937159213382</c:v>
                  </c:pt>
                  <c:pt idx="2">
                    <c:v>0.74373416769757295</c:v>
                  </c:pt>
                  <c:pt idx="3">
                    <c:v>0.96744641622051009</c:v>
                  </c:pt>
                  <c:pt idx="4">
                    <c:v>0.65913249277933161</c:v>
                  </c:pt>
                  <c:pt idx="5">
                    <c:v>0.29098467505721759</c:v>
                  </c:pt>
                  <c:pt idx="6">
                    <c:v>0.11207597627722209</c:v>
                  </c:pt>
                </c:numCache>
              </c:numRef>
            </c:plus>
            <c:minus>
              <c:numRef>
                <c:f>Graficos!$I$1:$I$7</c:f>
                <c:numCache>
                  <c:formatCode>General</c:formatCode>
                  <c:ptCount val="7"/>
                  <c:pt idx="0">
                    <c:v>0</c:v>
                  </c:pt>
                  <c:pt idx="1">
                    <c:v>0.75777937159213382</c:v>
                  </c:pt>
                  <c:pt idx="2">
                    <c:v>0.74373416769757295</c:v>
                  </c:pt>
                  <c:pt idx="3">
                    <c:v>0.96744641622051009</c:v>
                  </c:pt>
                  <c:pt idx="4">
                    <c:v>0.65913249277933161</c:v>
                  </c:pt>
                  <c:pt idx="5">
                    <c:v>0.29098467505721759</c:v>
                  </c:pt>
                  <c:pt idx="6">
                    <c:v>0.11207597627722209</c:v>
                  </c:pt>
                </c:numCache>
              </c:numRef>
            </c:minus>
          </c:errBars>
          <c:cat>
            <c:strRef>
              <c:f>Graficos!$G$2:$G$7</c:f>
              <c:strCache>
                <c:ptCount val="6"/>
                <c:pt idx="0">
                  <c:v>EB</c:v>
                </c:pt>
                <c:pt idx="1">
                  <c:v>ERC</c:v>
                </c:pt>
                <c:pt idx="2">
                  <c:v>EPC</c:v>
                </c:pt>
                <c:pt idx="3">
                  <c:v>α-Tocoferol</c:v>
                </c:pt>
                <c:pt idx="4">
                  <c:v>BHA </c:v>
                </c:pt>
                <c:pt idx="5">
                  <c:v>HT</c:v>
                </c:pt>
              </c:strCache>
            </c:strRef>
          </c:cat>
          <c:val>
            <c:numRef>
              <c:f>Graficos!$H$2:$H$7</c:f>
              <c:numCache>
                <c:formatCode>General</c:formatCode>
                <c:ptCount val="6"/>
                <c:pt idx="0">
                  <c:v>51.438308467026275</c:v>
                </c:pt>
                <c:pt idx="1">
                  <c:v>32.199768653659575</c:v>
                </c:pt>
                <c:pt idx="2">
                  <c:v>12.075994124715002</c:v>
                </c:pt>
                <c:pt idx="3">
                  <c:v>9.0183193500440009</c:v>
                </c:pt>
                <c:pt idx="4">
                  <c:v>4.5462879643464253</c:v>
                </c:pt>
                <c:pt idx="5" formatCode="0.000">
                  <c:v>1.5020715721494158</c:v>
                </c:pt>
              </c:numCache>
            </c:numRef>
          </c:val>
        </c:ser>
        <c:axId val="74101888"/>
        <c:axId val="74103424"/>
      </c:barChart>
      <c:catAx>
        <c:axId val="74101888"/>
        <c:scaling>
          <c:orientation val="minMax"/>
        </c:scaling>
        <c:axPos val="b"/>
        <c:tickLblPos val="nextTo"/>
        <c:txPr>
          <a:bodyPr/>
          <a:lstStyle/>
          <a:p>
            <a:pPr>
              <a:defRPr sz="1000"/>
            </a:pPr>
            <a:endParaRPr lang="pt-PT"/>
          </a:p>
        </c:txPr>
        <c:crossAx val="74103424"/>
        <c:crosses val="autoZero"/>
        <c:auto val="1"/>
        <c:lblAlgn val="ctr"/>
        <c:lblOffset val="100"/>
      </c:catAx>
      <c:valAx>
        <c:axId val="74103424"/>
        <c:scaling>
          <c:orientation val="minMax"/>
        </c:scaling>
        <c:axPos val="l"/>
        <c:title>
          <c:tx>
            <c:rich>
              <a:bodyPr rot="-5400000" vert="horz"/>
              <a:lstStyle/>
              <a:p>
                <a:pPr>
                  <a:defRPr/>
                </a:pPr>
                <a:r>
                  <a:rPr lang="en-US"/>
                  <a:t>EC</a:t>
                </a:r>
                <a:r>
                  <a:rPr lang="en-US" baseline="-25000"/>
                  <a:t>50</a:t>
                </a:r>
                <a:r>
                  <a:rPr lang="en-US"/>
                  <a:t> (</a:t>
                </a:r>
                <a:r>
                  <a:rPr lang="el-GR"/>
                  <a:t>μ</a:t>
                </a:r>
                <a:r>
                  <a:rPr lang="en-US"/>
                  <a:t>g/mL extracto)</a:t>
                </a:r>
              </a:p>
            </c:rich>
          </c:tx>
          <c:layout/>
        </c:title>
        <c:numFmt formatCode="General" sourceLinked="1"/>
        <c:tickLblPos val="nextTo"/>
        <c:crossAx val="74101888"/>
        <c:crosses val="autoZero"/>
        <c:crossBetween val="between"/>
      </c:valAx>
    </c:plotArea>
    <c:legend>
      <c:legendPos val="r"/>
      <c:layout>
        <c:manualLayout>
          <c:xMode val="edge"/>
          <c:yMode val="edge"/>
          <c:x val="0.307384145341209"/>
          <c:y val="6.247438248301151E-4"/>
          <c:w val="0.28115752132546024"/>
          <c:h val="8.3717191601050026E-2"/>
        </c:manualLayout>
      </c:layout>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2515795237825467"/>
          <c:y val="0.14854783502939486"/>
          <c:w val="0.73678562661682312"/>
          <c:h val="0.61834016361990063"/>
        </c:manualLayout>
      </c:layout>
      <c:barChart>
        <c:barDir val="col"/>
        <c:grouping val="clustered"/>
        <c:ser>
          <c:idx val="1"/>
          <c:order val="0"/>
          <c:tx>
            <c:strRef>
              <c:f>'8 setem'!$J$3</c:f>
              <c:strCache>
                <c:ptCount val="1"/>
                <c:pt idx="0">
                  <c:v>% Viabilidade</c:v>
                </c:pt>
              </c:strCache>
            </c:strRef>
          </c:tx>
          <c:spPr>
            <a:solidFill>
              <a:schemeClr val="accent6">
                <a:lumMod val="75000"/>
              </a:schemeClr>
            </a:solidFill>
            <a:effectLst>
              <a:outerShdw blurRad="50800" dist="38100" dir="2700000" algn="tl" rotWithShape="0">
                <a:prstClr val="black">
                  <a:alpha val="40000"/>
                </a:prstClr>
              </a:outerShdw>
            </a:effectLst>
          </c:spPr>
          <c:dLbls>
            <c:showVal val="1"/>
          </c:dLbls>
          <c:errBars>
            <c:errBarType val="both"/>
            <c:errValType val="cust"/>
            <c:plus>
              <c:numRef>
                <c:f>'8 setem'!$E$2:$E$16</c:f>
                <c:numCache>
                  <c:formatCode>General</c:formatCode>
                  <c:ptCount val="15"/>
                  <c:pt idx="0">
                    <c:v>0</c:v>
                  </c:pt>
                  <c:pt idx="1">
                    <c:v>10.014620675636289</c:v>
                  </c:pt>
                  <c:pt idx="2">
                    <c:v>10.051985102072678</c:v>
                  </c:pt>
                  <c:pt idx="3">
                    <c:v>11.440777850393216</c:v>
                  </c:pt>
                  <c:pt idx="4">
                    <c:v>10.46471858237204</c:v>
                  </c:pt>
                  <c:pt idx="5">
                    <c:v>4.4656377351073733</c:v>
                  </c:pt>
                  <c:pt idx="6">
                    <c:v>5.1779216452055845</c:v>
                  </c:pt>
                  <c:pt idx="7">
                    <c:v>3.9457615219680382</c:v>
                  </c:pt>
                  <c:pt idx="8">
                    <c:v>11.2796523702384</c:v>
                  </c:pt>
                  <c:pt idx="9">
                    <c:v>8.4314225898102517</c:v>
                  </c:pt>
                  <c:pt idx="10">
                    <c:v>1.7805023055481579</c:v>
                  </c:pt>
                  <c:pt idx="11">
                    <c:v>5.3718133587288319</c:v>
                  </c:pt>
                  <c:pt idx="12">
                    <c:v>6.4244077048680142</c:v>
                  </c:pt>
                  <c:pt idx="13">
                    <c:v>1.8269194116024428</c:v>
                  </c:pt>
                  <c:pt idx="14">
                    <c:v>4.8144444755626052</c:v>
                  </c:pt>
                </c:numCache>
              </c:numRef>
            </c:plus>
            <c:minus>
              <c:numRef>
                <c:f>'8 setem'!$E$2:$E$16</c:f>
                <c:numCache>
                  <c:formatCode>General</c:formatCode>
                  <c:ptCount val="15"/>
                  <c:pt idx="0">
                    <c:v>0</c:v>
                  </c:pt>
                  <c:pt idx="1">
                    <c:v>10.014620675636289</c:v>
                  </c:pt>
                  <c:pt idx="2">
                    <c:v>10.051985102072678</c:v>
                  </c:pt>
                  <c:pt idx="3">
                    <c:v>11.440777850393216</c:v>
                  </c:pt>
                  <c:pt idx="4">
                    <c:v>10.46471858237204</c:v>
                  </c:pt>
                  <c:pt idx="5">
                    <c:v>4.4656377351073733</c:v>
                  </c:pt>
                  <c:pt idx="6">
                    <c:v>5.1779216452055845</c:v>
                  </c:pt>
                  <c:pt idx="7">
                    <c:v>3.9457615219680382</c:v>
                  </c:pt>
                  <c:pt idx="8">
                    <c:v>11.2796523702384</c:v>
                  </c:pt>
                  <c:pt idx="9">
                    <c:v>8.4314225898102517</c:v>
                  </c:pt>
                  <c:pt idx="10">
                    <c:v>1.7805023055481579</c:v>
                  </c:pt>
                  <c:pt idx="11">
                    <c:v>5.3718133587288319</c:v>
                  </c:pt>
                  <c:pt idx="12">
                    <c:v>6.4244077048680142</c:v>
                  </c:pt>
                  <c:pt idx="13">
                    <c:v>1.8269194116024428</c:v>
                  </c:pt>
                  <c:pt idx="14">
                    <c:v>4.8144444755626052</c:v>
                  </c:pt>
                </c:numCache>
              </c:numRef>
            </c:minus>
          </c:errBars>
          <c:cat>
            <c:strRef>
              <c:f>'8 setem'!$I$4:$I$18</c:f>
              <c:strCache>
                <c:ptCount val="15"/>
                <c:pt idx="0">
                  <c:v>Controlo</c:v>
                </c:pt>
                <c:pt idx="1">
                  <c:v>6</c:v>
                </c:pt>
                <c:pt idx="2">
                  <c:v>16</c:v>
                </c:pt>
                <c:pt idx="3">
                  <c:v>32</c:v>
                </c:pt>
                <c:pt idx="4">
                  <c:v>65</c:v>
                </c:pt>
                <c:pt idx="5">
                  <c:v>324</c:v>
                </c:pt>
                <c:pt idx="6">
                  <c:v>487</c:v>
                </c:pt>
                <c:pt idx="7">
                  <c:v>649</c:v>
                </c:pt>
                <c:pt idx="8">
                  <c:v>1297</c:v>
                </c:pt>
                <c:pt idx="9">
                  <c:v>1946</c:v>
                </c:pt>
                <c:pt idx="10">
                  <c:v>2595</c:v>
                </c:pt>
                <c:pt idx="11">
                  <c:v>3243</c:v>
                </c:pt>
                <c:pt idx="12">
                  <c:v>3892</c:v>
                </c:pt>
                <c:pt idx="13">
                  <c:v>4865</c:v>
                </c:pt>
                <c:pt idx="14">
                  <c:v>6487</c:v>
                </c:pt>
              </c:strCache>
            </c:strRef>
          </c:cat>
          <c:val>
            <c:numRef>
              <c:f>'8 setem'!$J$4:$J$18</c:f>
              <c:numCache>
                <c:formatCode>0.0</c:formatCode>
                <c:ptCount val="15"/>
                <c:pt idx="0" formatCode="General">
                  <c:v>100</c:v>
                </c:pt>
                <c:pt idx="1">
                  <c:v>79.163890761258742</c:v>
                </c:pt>
                <c:pt idx="2">
                  <c:v>80.590647939902027</c:v>
                </c:pt>
                <c:pt idx="3">
                  <c:v>76.898973396222218</c:v>
                </c:pt>
                <c:pt idx="4">
                  <c:v>87.43661126666403</c:v>
                </c:pt>
                <c:pt idx="5">
                  <c:v>69.116052918310572</c:v>
                </c:pt>
                <c:pt idx="6">
                  <c:v>49.063653249937211</c:v>
                </c:pt>
                <c:pt idx="7">
                  <c:v>41.397302345172363</c:v>
                </c:pt>
                <c:pt idx="8">
                  <c:v>13.080449557277575</c:v>
                </c:pt>
                <c:pt idx="9">
                  <c:v>11.437360555291235</c:v>
                </c:pt>
                <c:pt idx="10">
                  <c:v>7.8566171821603499</c:v>
                </c:pt>
                <c:pt idx="11">
                  <c:v>18.125272586671276</c:v>
                </c:pt>
                <c:pt idx="12">
                  <c:v>14.434977833355498</c:v>
                </c:pt>
                <c:pt idx="13">
                  <c:v>9.7109390291079567</c:v>
                </c:pt>
                <c:pt idx="14">
                  <c:v>15.456420173080282</c:v>
                </c:pt>
              </c:numCache>
            </c:numRef>
          </c:val>
        </c:ser>
        <c:axId val="73473024"/>
        <c:axId val="73487488"/>
      </c:barChart>
      <c:catAx>
        <c:axId val="73473024"/>
        <c:scaling>
          <c:orientation val="minMax"/>
        </c:scaling>
        <c:axPos val="b"/>
        <c:title>
          <c:tx>
            <c:rich>
              <a:bodyPr/>
              <a:lstStyle/>
              <a:p>
                <a:pPr>
                  <a:defRPr/>
                </a:pPr>
                <a:r>
                  <a:rPr lang="en-US"/>
                  <a:t>Hidroxitirosol (µM)</a:t>
                </a:r>
              </a:p>
            </c:rich>
          </c:tx>
        </c:title>
        <c:numFmt formatCode="0" sourceLinked="1"/>
        <c:tickLblPos val="nextTo"/>
        <c:txPr>
          <a:bodyPr rot="-2700000" vert="horz"/>
          <a:lstStyle/>
          <a:p>
            <a:pPr>
              <a:defRPr sz="800"/>
            </a:pPr>
            <a:endParaRPr lang="pt-PT"/>
          </a:p>
        </c:txPr>
        <c:crossAx val="73487488"/>
        <c:crosses val="autoZero"/>
        <c:auto val="1"/>
        <c:lblAlgn val="ctr"/>
        <c:lblOffset val="100"/>
      </c:catAx>
      <c:valAx>
        <c:axId val="73487488"/>
        <c:scaling>
          <c:orientation val="minMax"/>
        </c:scaling>
        <c:axPos val="l"/>
        <c:title>
          <c:tx>
            <c:rich>
              <a:bodyPr rot="-5400000" vert="horz"/>
              <a:lstStyle/>
              <a:p>
                <a:pPr>
                  <a:defRPr/>
                </a:pPr>
                <a:r>
                  <a:rPr lang="en-US"/>
                  <a:t>% Viabilidade Celular</a:t>
                </a:r>
              </a:p>
            </c:rich>
          </c:tx>
        </c:title>
        <c:numFmt formatCode="General" sourceLinked="1"/>
        <c:tickLblPos val="nextTo"/>
        <c:crossAx val="73473024"/>
        <c:crosses val="autoZero"/>
        <c:crossBetween val="between"/>
      </c:valAx>
    </c:plotArea>
    <c:legend>
      <c:legendPos val="r"/>
      <c:layout>
        <c:manualLayout>
          <c:xMode val="edge"/>
          <c:yMode val="edge"/>
          <c:x val="0.68688362695670235"/>
          <c:y val="0.32439949593457107"/>
          <c:w val="0.17162956249173889"/>
          <c:h val="7.0498687664042034E-2"/>
        </c:manualLayout>
      </c:layout>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3346910170260201"/>
          <c:y val="0.10533573928259013"/>
          <c:w val="0.67838910188582435"/>
          <c:h val="0.69095691163604545"/>
        </c:manualLayout>
      </c:layout>
      <c:barChart>
        <c:barDir val="col"/>
        <c:grouping val="clustered"/>
        <c:ser>
          <c:idx val="1"/>
          <c:order val="0"/>
          <c:tx>
            <c:strRef>
              <c:f>'4 Agosto'!$H$3</c:f>
              <c:strCache>
                <c:ptCount val="1"/>
                <c:pt idx="0">
                  <c:v>% viabilidade</c:v>
                </c:pt>
              </c:strCache>
            </c:strRef>
          </c:tx>
          <c:spPr>
            <a:solidFill>
              <a:srgbClr val="00B050"/>
            </a:solidFill>
            <a:effectLst>
              <a:outerShdw blurRad="50800" dist="38100" dir="2700000" algn="tl" rotWithShape="0">
                <a:prstClr val="black">
                  <a:alpha val="40000"/>
                </a:prstClr>
              </a:outerShdw>
            </a:effectLst>
          </c:spPr>
          <c:dLbls>
            <c:showVal val="1"/>
          </c:dLbls>
          <c:errBars>
            <c:errBarType val="both"/>
            <c:errValType val="cust"/>
            <c:plus>
              <c:numRef>
                <c:f>'4 Agosto'!$D$3:$D$11</c:f>
                <c:numCache>
                  <c:formatCode>General</c:formatCode>
                  <c:ptCount val="9"/>
                  <c:pt idx="0">
                    <c:v>0</c:v>
                  </c:pt>
                  <c:pt idx="1">
                    <c:v>9.4683163614199586</c:v>
                  </c:pt>
                  <c:pt idx="2">
                    <c:v>14.629945503011768</c:v>
                  </c:pt>
                  <c:pt idx="3">
                    <c:v>7.8120147742584845</c:v>
                  </c:pt>
                  <c:pt idx="4">
                    <c:v>2.1306455118635967</c:v>
                  </c:pt>
                  <c:pt idx="5">
                    <c:v>2.8084196736582525</c:v>
                  </c:pt>
                  <c:pt idx="6">
                    <c:v>0.8616531621842578</c:v>
                  </c:pt>
                  <c:pt idx="7">
                    <c:v>1.7989564346037838</c:v>
                  </c:pt>
                  <c:pt idx="8">
                    <c:v>2.8584481016138445</c:v>
                  </c:pt>
                </c:numCache>
              </c:numRef>
            </c:plus>
            <c:minus>
              <c:numRef>
                <c:f>'4 Agosto'!$D$3:$D$11</c:f>
                <c:numCache>
                  <c:formatCode>General</c:formatCode>
                  <c:ptCount val="9"/>
                  <c:pt idx="0">
                    <c:v>0</c:v>
                  </c:pt>
                  <c:pt idx="1">
                    <c:v>9.4683163614199586</c:v>
                  </c:pt>
                  <c:pt idx="2">
                    <c:v>14.629945503011768</c:v>
                  </c:pt>
                  <c:pt idx="3">
                    <c:v>7.8120147742584845</c:v>
                  </c:pt>
                  <c:pt idx="4">
                    <c:v>2.1306455118635967</c:v>
                  </c:pt>
                  <c:pt idx="5">
                    <c:v>2.8084196736582525</c:v>
                  </c:pt>
                  <c:pt idx="6">
                    <c:v>0.8616531621842578</c:v>
                  </c:pt>
                  <c:pt idx="7">
                    <c:v>1.7989564346037838</c:v>
                  </c:pt>
                  <c:pt idx="8">
                    <c:v>2.8584481016138445</c:v>
                  </c:pt>
                </c:numCache>
              </c:numRef>
            </c:minus>
          </c:errBars>
          <c:cat>
            <c:strRef>
              <c:f>'4 Agosto'!$J$22:$J$30</c:f>
              <c:strCache>
                <c:ptCount val="9"/>
                <c:pt idx="0">
                  <c:v>Controlo</c:v>
                </c:pt>
                <c:pt idx="1">
                  <c:v>8</c:v>
                </c:pt>
                <c:pt idx="2">
                  <c:v>40</c:v>
                </c:pt>
                <c:pt idx="3">
                  <c:v>120</c:v>
                </c:pt>
                <c:pt idx="4">
                  <c:v>239</c:v>
                </c:pt>
                <c:pt idx="5">
                  <c:v>478</c:v>
                </c:pt>
                <c:pt idx="6">
                  <c:v>718</c:v>
                </c:pt>
                <c:pt idx="7">
                  <c:v>957</c:v>
                </c:pt>
                <c:pt idx="8">
                  <c:v>1196</c:v>
                </c:pt>
              </c:strCache>
            </c:strRef>
          </c:cat>
          <c:val>
            <c:numRef>
              <c:f>'4 Agosto'!$H$4:$H$12</c:f>
              <c:numCache>
                <c:formatCode>0.00</c:formatCode>
                <c:ptCount val="9"/>
                <c:pt idx="0" formatCode="General">
                  <c:v>100</c:v>
                </c:pt>
                <c:pt idx="1">
                  <c:v>60.919063055509284</c:v>
                </c:pt>
                <c:pt idx="2">
                  <c:v>56.482470747694094</c:v>
                </c:pt>
                <c:pt idx="3">
                  <c:v>40.445009003446913</c:v>
                </c:pt>
                <c:pt idx="4">
                  <c:v>5.3718684918959045</c:v>
                </c:pt>
                <c:pt idx="5">
                  <c:v>8.6565523953127048</c:v>
                </c:pt>
                <c:pt idx="6">
                  <c:v>7.9589276688948773</c:v>
                </c:pt>
                <c:pt idx="7">
                  <c:v>4.5590297859811484</c:v>
                </c:pt>
                <c:pt idx="8">
                  <c:v>4.3599999999999985</c:v>
                </c:pt>
              </c:numCache>
            </c:numRef>
          </c:val>
        </c:ser>
        <c:axId val="73525120"/>
        <c:axId val="77004800"/>
      </c:barChart>
      <c:catAx>
        <c:axId val="73525120"/>
        <c:scaling>
          <c:orientation val="minMax"/>
        </c:scaling>
        <c:axPos val="b"/>
        <c:title>
          <c:tx>
            <c:rich>
              <a:bodyPr/>
              <a:lstStyle/>
              <a:p>
                <a:pPr>
                  <a:defRPr sz="900"/>
                </a:pPr>
                <a:r>
                  <a:rPr lang="en-US" sz="900"/>
                  <a:t>HT(</a:t>
                </a:r>
                <a:r>
                  <a:rPr lang="en-US" sz="900">
                    <a:latin typeface="Calibri"/>
                  </a:rPr>
                  <a:t>µM) no EB</a:t>
                </a:r>
                <a:endParaRPr lang="en-US" sz="900"/>
              </a:p>
            </c:rich>
          </c:tx>
          <c:layout>
            <c:manualLayout>
              <c:xMode val="edge"/>
              <c:yMode val="edge"/>
              <c:x val="0.82099407731102025"/>
              <c:y val="0.80184018664333945"/>
            </c:manualLayout>
          </c:layout>
        </c:title>
        <c:numFmt formatCode="0" sourceLinked="1"/>
        <c:tickLblPos val="nextTo"/>
        <c:txPr>
          <a:bodyPr rot="0" vert="horz"/>
          <a:lstStyle/>
          <a:p>
            <a:pPr>
              <a:defRPr sz="900"/>
            </a:pPr>
            <a:endParaRPr lang="pt-PT"/>
          </a:p>
        </c:txPr>
        <c:crossAx val="77004800"/>
        <c:crosses val="autoZero"/>
        <c:auto val="1"/>
        <c:lblAlgn val="ctr"/>
        <c:lblOffset val="100"/>
      </c:catAx>
      <c:valAx>
        <c:axId val="77004800"/>
        <c:scaling>
          <c:orientation val="minMax"/>
        </c:scaling>
        <c:axPos val="l"/>
        <c:title>
          <c:tx>
            <c:rich>
              <a:bodyPr rot="-5400000" vert="horz"/>
              <a:lstStyle/>
              <a:p>
                <a:pPr>
                  <a:defRPr/>
                </a:pPr>
                <a:r>
                  <a:rPr lang="en-US"/>
                  <a:t>% Viabilidade Celular</a:t>
                </a:r>
              </a:p>
            </c:rich>
          </c:tx>
        </c:title>
        <c:numFmt formatCode="General" sourceLinked="1"/>
        <c:tickLblPos val="nextTo"/>
        <c:crossAx val="73525120"/>
        <c:crosses val="autoZero"/>
        <c:crossBetween val="between"/>
      </c:valAx>
    </c:plotArea>
    <c:legend>
      <c:legendPos val="r"/>
      <c:layout>
        <c:manualLayout>
          <c:xMode val="edge"/>
          <c:yMode val="edge"/>
          <c:x val="0.66396852225932812"/>
          <c:y val="0.434993073782447"/>
          <c:w val="0.16383834219675444"/>
          <c:h val="8.3717191601050026E-2"/>
        </c:manualLayout>
      </c:layout>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1414090391359742"/>
          <c:y val="0.11922462817147871"/>
          <c:w val="0.7320951004623566"/>
          <c:h val="0.74634842519685063"/>
        </c:manualLayout>
      </c:layout>
      <c:barChart>
        <c:barDir val="col"/>
        <c:grouping val="clustered"/>
        <c:ser>
          <c:idx val="1"/>
          <c:order val="0"/>
          <c:tx>
            <c:strRef>
              <c:f>'22 julho'!$H$4</c:f>
              <c:strCache>
                <c:ptCount val="1"/>
                <c:pt idx="0">
                  <c:v>% Viabilidade</c:v>
                </c:pt>
              </c:strCache>
            </c:strRef>
          </c:tx>
          <c:spPr>
            <a:solidFill>
              <a:srgbClr val="009999"/>
            </a:solidFill>
            <a:effectLst>
              <a:outerShdw blurRad="50800" dist="38100" algn="l" rotWithShape="0">
                <a:prstClr val="black">
                  <a:alpha val="40000"/>
                </a:prstClr>
              </a:outerShdw>
            </a:effectLst>
          </c:spPr>
          <c:dLbls>
            <c:showVal val="1"/>
          </c:dLbls>
          <c:errBars>
            <c:errBarType val="both"/>
            <c:errValType val="cust"/>
            <c:plus>
              <c:numRef>
                <c:f>'22 julho'!$D$2:$D$10</c:f>
                <c:numCache>
                  <c:formatCode>General</c:formatCode>
                  <c:ptCount val="9"/>
                  <c:pt idx="0">
                    <c:v>0</c:v>
                  </c:pt>
                  <c:pt idx="1">
                    <c:v>8.242641707553318</c:v>
                  </c:pt>
                  <c:pt idx="2">
                    <c:v>10.474390190328684</c:v>
                  </c:pt>
                  <c:pt idx="3">
                    <c:v>5.3250326478946866</c:v>
                  </c:pt>
                  <c:pt idx="4">
                    <c:v>1.6079643104630978</c:v>
                  </c:pt>
                  <c:pt idx="5">
                    <c:v>2.1211325447385452</c:v>
                  </c:pt>
                  <c:pt idx="6">
                    <c:v>0.46479760867180475</c:v>
                  </c:pt>
                  <c:pt idx="7">
                    <c:v>1.80134543612231</c:v>
                  </c:pt>
                  <c:pt idx="8">
                    <c:v>2.3397839985675142</c:v>
                  </c:pt>
                </c:numCache>
              </c:numRef>
            </c:plus>
            <c:minus>
              <c:numRef>
                <c:f>'22 julho'!$D$2:$D$10</c:f>
                <c:numCache>
                  <c:formatCode>General</c:formatCode>
                  <c:ptCount val="9"/>
                  <c:pt idx="0">
                    <c:v>0</c:v>
                  </c:pt>
                  <c:pt idx="1">
                    <c:v>8.242641707553318</c:v>
                  </c:pt>
                  <c:pt idx="2">
                    <c:v>10.474390190328684</c:v>
                  </c:pt>
                  <c:pt idx="3">
                    <c:v>5.3250326478946866</c:v>
                  </c:pt>
                  <c:pt idx="4">
                    <c:v>1.6079643104630978</c:v>
                  </c:pt>
                  <c:pt idx="5">
                    <c:v>2.1211325447385452</c:v>
                  </c:pt>
                  <c:pt idx="6">
                    <c:v>0.46479760867180475</c:v>
                  </c:pt>
                  <c:pt idx="7">
                    <c:v>1.80134543612231</c:v>
                  </c:pt>
                  <c:pt idx="8">
                    <c:v>2.3397839985675142</c:v>
                  </c:pt>
                </c:numCache>
              </c:numRef>
            </c:minus>
          </c:errBars>
          <c:cat>
            <c:strRef>
              <c:f>'22 julho'!$O$18:$O$26</c:f>
              <c:strCache>
                <c:ptCount val="9"/>
                <c:pt idx="0">
                  <c:v>Controlo</c:v>
                </c:pt>
                <c:pt idx="1">
                  <c:v>3</c:v>
                </c:pt>
                <c:pt idx="2">
                  <c:v>16</c:v>
                </c:pt>
                <c:pt idx="3">
                  <c:v>47</c:v>
                </c:pt>
                <c:pt idx="4">
                  <c:v>94</c:v>
                </c:pt>
                <c:pt idx="5">
                  <c:v>187</c:v>
                </c:pt>
                <c:pt idx="6">
                  <c:v>281</c:v>
                </c:pt>
                <c:pt idx="7">
                  <c:v>374</c:v>
                </c:pt>
                <c:pt idx="8">
                  <c:v>468</c:v>
                </c:pt>
              </c:strCache>
            </c:strRef>
          </c:cat>
          <c:val>
            <c:numRef>
              <c:f>'22 julho'!$H$5:$H$13</c:f>
              <c:numCache>
                <c:formatCode>0.00</c:formatCode>
                <c:ptCount val="9"/>
                <c:pt idx="0" formatCode="General">
                  <c:v>100</c:v>
                </c:pt>
                <c:pt idx="1">
                  <c:v>85.619469550574678</c:v>
                </c:pt>
                <c:pt idx="2">
                  <c:v>67.107310114252314</c:v>
                </c:pt>
                <c:pt idx="3">
                  <c:v>30.362232832736023</c:v>
                </c:pt>
                <c:pt idx="4">
                  <c:v>2.8970898567620802</c:v>
                </c:pt>
                <c:pt idx="5">
                  <c:v>6.3693273845404104</c:v>
                </c:pt>
                <c:pt idx="6">
                  <c:v>3.3030975836089844</c:v>
                </c:pt>
                <c:pt idx="7">
                  <c:v>1.4902854380831545</c:v>
                </c:pt>
                <c:pt idx="8">
                  <c:v>1.3191060912901638</c:v>
                </c:pt>
              </c:numCache>
            </c:numRef>
          </c:val>
        </c:ser>
        <c:axId val="77037952"/>
        <c:axId val="77039872"/>
      </c:barChart>
      <c:catAx>
        <c:axId val="77037952"/>
        <c:scaling>
          <c:orientation val="minMax"/>
        </c:scaling>
        <c:axPos val="b"/>
        <c:title>
          <c:tx>
            <c:rich>
              <a:bodyPr/>
              <a:lstStyle/>
              <a:p>
                <a:pPr>
                  <a:defRPr sz="900"/>
                </a:pPr>
                <a:r>
                  <a:rPr lang="en-US" sz="900"/>
                  <a:t>HT(</a:t>
                </a:r>
                <a:r>
                  <a:rPr lang="en-US" sz="900">
                    <a:latin typeface="Calibri"/>
                  </a:rPr>
                  <a:t>µM) no EPC</a:t>
                </a:r>
                <a:endParaRPr lang="en-US" sz="900"/>
              </a:p>
            </c:rich>
          </c:tx>
          <c:layout>
            <c:manualLayout>
              <c:xMode val="edge"/>
              <c:yMode val="edge"/>
              <c:x val="0.84176262701296056"/>
              <c:y val="0.77520669291339006"/>
            </c:manualLayout>
          </c:layout>
        </c:title>
        <c:numFmt formatCode="0" sourceLinked="1"/>
        <c:tickLblPos val="nextTo"/>
        <c:txPr>
          <a:bodyPr rot="0" vert="horz"/>
          <a:lstStyle/>
          <a:p>
            <a:pPr>
              <a:defRPr sz="1000"/>
            </a:pPr>
            <a:endParaRPr lang="pt-PT"/>
          </a:p>
        </c:txPr>
        <c:crossAx val="77039872"/>
        <c:crosses val="autoZero"/>
        <c:auto val="1"/>
        <c:lblAlgn val="ctr"/>
        <c:lblOffset val="100"/>
      </c:catAx>
      <c:valAx>
        <c:axId val="77039872"/>
        <c:scaling>
          <c:orientation val="minMax"/>
        </c:scaling>
        <c:axPos val="l"/>
        <c:title>
          <c:tx>
            <c:rich>
              <a:bodyPr rot="-5400000" vert="horz"/>
              <a:lstStyle/>
              <a:p>
                <a:pPr>
                  <a:defRPr/>
                </a:pPr>
                <a:r>
                  <a:rPr lang="en-US"/>
                  <a:t>% Viabilidade Celular</a:t>
                </a:r>
              </a:p>
            </c:rich>
          </c:tx>
        </c:title>
        <c:numFmt formatCode="General" sourceLinked="1"/>
        <c:tickLblPos val="nextTo"/>
        <c:crossAx val="77037952"/>
        <c:crosses val="autoZero"/>
        <c:crossBetween val="between"/>
      </c:valAx>
    </c:plotArea>
    <c:legend>
      <c:legendPos val="r"/>
      <c:layout>
        <c:manualLayout>
          <c:xMode val="edge"/>
          <c:yMode val="edge"/>
          <c:x val="0.70367174943612365"/>
          <c:y val="0.43036344415281608"/>
          <c:w val="0.16368102357702721"/>
          <c:h val="8.3717191601050026E-2"/>
        </c:manualLayout>
      </c:layout>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5393093104741257"/>
          <c:y val="0.12773632267929141"/>
          <c:w val="0.70448142258080182"/>
          <c:h val="0.57304780827630264"/>
        </c:manualLayout>
      </c:layout>
      <c:barChart>
        <c:barDir val="col"/>
        <c:grouping val="clustered"/>
        <c:ser>
          <c:idx val="1"/>
          <c:order val="0"/>
          <c:tx>
            <c:strRef>
              <c:f>'21 julho'!$H$1</c:f>
              <c:strCache>
                <c:ptCount val="1"/>
                <c:pt idx="0">
                  <c:v>% Viabilidade</c:v>
                </c:pt>
              </c:strCache>
            </c:strRef>
          </c:tx>
          <c:spPr>
            <a:solidFill>
              <a:srgbClr val="00CC99"/>
            </a:solidFill>
            <a:effectLst>
              <a:outerShdw blurRad="50800" dist="38100" algn="l" rotWithShape="0">
                <a:prstClr val="black">
                  <a:alpha val="40000"/>
                </a:prstClr>
              </a:outerShdw>
            </a:effectLst>
          </c:spPr>
          <c:dLbls>
            <c:showVal val="1"/>
          </c:dLbls>
          <c:errBars>
            <c:errBarType val="both"/>
            <c:errValType val="cust"/>
            <c:plus>
              <c:numRef>
                <c:f>'21 julho'!$D$4:$D$12</c:f>
                <c:numCache>
                  <c:formatCode>General</c:formatCode>
                  <c:ptCount val="9"/>
                  <c:pt idx="0">
                    <c:v>0</c:v>
                  </c:pt>
                  <c:pt idx="1">
                    <c:v>14.368295117491197</c:v>
                  </c:pt>
                  <c:pt idx="2">
                    <c:v>14.488313923655548</c:v>
                  </c:pt>
                  <c:pt idx="3">
                    <c:v>15.091770883164148</c:v>
                  </c:pt>
                  <c:pt idx="4">
                    <c:v>6.6782040262501372</c:v>
                  </c:pt>
                  <c:pt idx="5">
                    <c:v>5.2257551658423393</c:v>
                  </c:pt>
                  <c:pt idx="6">
                    <c:v>2.1278709965053082</c:v>
                  </c:pt>
                  <c:pt idx="7">
                    <c:v>5.4660042481551345</c:v>
                  </c:pt>
                  <c:pt idx="8">
                    <c:v>4.1807648261121955</c:v>
                  </c:pt>
                </c:numCache>
              </c:numRef>
            </c:plus>
            <c:minus>
              <c:numRef>
                <c:f>'21 julho'!$D$4:$D$12</c:f>
                <c:numCache>
                  <c:formatCode>General</c:formatCode>
                  <c:ptCount val="9"/>
                  <c:pt idx="0">
                    <c:v>0</c:v>
                  </c:pt>
                  <c:pt idx="1">
                    <c:v>14.368295117491197</c:v>
                  </c:pt>
                  <c:pt idx="2">
                    <c:v>14.488313923655548</c:v>
                  </c:pt>
                  <c:pt idx="3">
                    <c:v>15.091770883164148</c:v>
                  </c:pt>
                  <c:pt idx="4">
                    <c:v>6.6782040262501372</c:v>
                  </c:pt>
                  <c:pt idx="5">
                    <c:v>5.2257551658423393</c:v>
                  </c:pt>
                  <c:pt idx="6">
                    <c:v>2.1278709965053082</c:v>
                  </c:pt>
                  <c:pt idx="7">
                    <c:v>5.4660042481551345</c:v>
                  </c:pt>
                  <c:pt idx="8">
                    <c:v>4.1807648261121955</c:v>
                  </c:pt>
                </c:numCache>
              </c:numRef>
            </c:minus>
          </c:errBars>
          <c:cat>
            <c:strRef>
              <c:f>'21 julho'!$I$21:$I$29</c:f>
              <c:strCache>
                <c:ptCount val="9"/>
                <c:pt idx="0">
                  <c:v>Controlo</c:v>
                </c:pt>
                <c:pt idx="1">
                  <c:v>8</c:v>
                </c:pt>
                <c:pt idx="2">
                  <c:v>40</c:v>
                </c:pt>
                <c:pt idx="3">
                  <c:v>121</c:v>
                </c:pt>
                <c:pt idx="4">
                  <c:v>241</c:v>
                </c:pt>
                <c:pt idx="5">
                  <c:v>483</c:v>
                </c:pt>
                <c:pt idx="6">
                  <c:v>724</c:v>
                </c:pt>
                <c:pt idx="7">
                  <c:v>966</c:v>
                </c:pt>
                <c:pt idx="8">
                  <c:v>1207</c:v>
                </c:pt>
              </c:strCache>
            </c:strRef>
          </c:cat>
          <c:val>
            <c:numRef>
              <c:f>'21 julho'!$H$2:$H$10</c:f>
              <c:numCache>
                <c:formatCode>0.00</c:formatCode>
                <c:ptCount val="9"/>
                <c:pt idx="0" formatCode="General">
                  <c:v>100</c:v>
                </c:pt>
                <c:pt idx="1">
                  <c:v>106.03149794965532</c:v>
                </c:pt>
                <c:pt idx="2">
                  <c:v>92.477423388762716</c:v>
                </c:pt>
                <c:pt idx="3">
                  <c:v>28.368251947085824</c:v>
                </c:pt>
                <c:pt idx="4">
                  <c:v>10.819366572421552</c:v>
                </c:pt>
                <c:pt idx="5">
                  <c:v>7.6321747801898141</c:v>
                </c:pt>
                <c:pt idx="6">
                  <c:v>11.702924793311098</c:v>
                </c:pt>
                <c:pt idx="7">
                  <c:v>12.047592642035147</c:v>
                </c:pt>
                <c:pt idx="8">
                  <c:v>6.8243070245699045</c:v>
                </c:pt>
              </c:numCache>
            </c:numRef>
          </c:val>
        </c:ser>
        <c:axId val="77064832"/>
        <c:axId val="77079296"/>
      </c:barChart>
      <c:catAx>
        <c:axId val="77064832"/>
        <c:scaling>
          <c:orientation val="minMax"/>
        </c:scaling>
        <c:axPos val="b"/>
        <c:title>
          <c:tx>
            <c:rich>
              <a:bodyPr/>
              <a:lstStyle/>
              <a:p>
                <a:pPr>
                  <a:defRPr sz="900"/>
                </a:pPr>
                <a:r>
                  <a:rPr lang="en-US" sz="900"/>
                  <a:t>HT(</a:t>
                </a:r>
                <a:r>
                  <a:rPr lang="el-GR" sz="900"/>
                  <a:t>μ</a:t>
                </a:r>
                <a:r>
                  <a:rPr lang="en-US" sz="900"/>
                  <a:t>M) no ERC</a:t>
                </a:r>
              </a:p>
            </c:rich>
          </c:tx>
          <c:layout>
            <c:manualLayout>
              <c:xMode val="edge"/>
              <c:yMode val="edge"/>
              <c:x val="0.84779178464760874"/>
              <c:y val="0.73422817474918756"/>
            </c:manualLayout>
          </c:layout>
        </c:title>
        <c:numFmt formatCode="0" sourceLinked="1"/>
        <c:tickLblPos val="nextTo"/>
        <c:txPr>
          <a:bodyPr rot="0" vert="horz"/>
          <a:lstStyle/>
          <a:p>
            <a:pPr>
              <a:defRPr/>
            </a:pPr>
            <a:endParaRPr lang="pt-PT"/>
          </a:p>
        </c:txPr>
        <c:crossAx val="77079296"/>
        <c:crosses val="autoZero"/>
        <c:auto val="1"/>
        <c:lblAlgn val="ctr"/>
        <c:lblOffset val="100"/>
      </c:catAx>
      <c:valAx>
        <c:axId val="77079296"/>
        <c:scaling>
          <c:orientation val="minMax"/>
        </c:scaling>
        <c:axPos val="l"/>
        <c:title>
          <c:tx>
            <c:rich>
              <a:bodyPr rot="-5400000" vert="horz"/>
              <a:lstStyle/>
              <a:p>
                <a:pPr>
                  <a:defRPr/>
                </a:pPr>
                <a:r>
                  <a:rPr lang="en-US"/>
                  <a:t>% Viabilidade Celular</a:t>
                </a:r>
              </a:p>
            </c:rich>
          </c:tx>
        </c:title>
        <c:numFmt formatCode="General" sourceLinked="1"/>
        <c:tickLblPos val="nextTo"/>
        <c:crossAx val="77064832"/>
        <c:crosses val="autoZero"/>
        <c:crossBetween val="between"/>
      </c:valAx>
    </c:plotArea>
    <c:legend>
      <c:legendPos val="r"/>
      <c:layout>
        <c:manualLayout>
          <c:xMode val="edge"/>
          <c:yMode val="edge"/>
          <c:x val="0.70930754345362002"/>
          <c:y val="0.39941226972797061"/>
          <c:w val="0.19395535923863175"/>
          <c:h val="7.5110751342998133E-2"/>
        </c:manualLayout>
      </c:layout>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0.13422193055206899"/>
          <c:y val="0.25207742447524201"/>
          <c:w val="0.77397926756486024"/>
          <c:h val="0.58526735061197199"/>
        </c:manualLayout>
      </c:layout>
      <c:scatterChart>
        <c:scatterStyle val="smoothMarker"/>
        <c:ser>
          <c:idx val="0"/>
          <c:order val="0"/>
          <c:tx>
            <c:strRef>
              <c:f>Sheet1!$C$10</c:f>
              <c:strCache>
                <c:ptCount val="1"/>
                <c:pt idx="0">
                  <c:v>Control+</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Sheet1!$C$2:$C$21</c:f>
              <c:numCache>
                <c:formatCode>0.000</c:formatCode>
                <c:ptCount val="20"/>
                <c:pt idx="0">
                  <c:v>0.18800000000000017</c:v>
                </c:pt>
                <c:pt idx="1">
                  <c:v>2.125</c:v>
                </c:pt>
                <c:pt idx="2">
                  <c:v>4.6800000000000006</c:v>
                </c:pt>
                <c:pt idx="3">
                  <c:v>5.85</c:v>
                </c:pt>
                <c:pt idx="4">
                  <c:v>8.23</c:v>
                </c:pt>
                <c:pt idx="5">
                  <c:v>6.8000000000000007</c:v>
                </c:pt>
                <c:pt idx="8">
                  <c:v>0</c:v>
                </c:pt>
                <c:pt idx="9">
                  <c:v>0</c:v>
                </c:pt>
                <c:pt idx="10">
                  <c:v>11.303191489361701</c:v>
                </c:pt>
                <c:pt idx="11">
                  <c:v>24.893617021276597</c:v>
                </c:pt>
                <c:pt idx="12">
                  <c:v>29.25</c:v>
                </c:pt>
                <c:pt idx="13">
                  <c:v>43.776595744680925</c:v>
                </c:pt>
                <c:pt idx="14">
                  <c:v>36.170212765957451</c:v>
                </c:pt>
                <c:pt idx="19">
                  <c:v>8.89</c:v>
                </c:pt>
              </c:numCache>
            </c:numRef>
          </c:yVal>
          <c:smooth val="1"/>
        </c:ser>
        <c:ser>
          <c:idx val="1"/>
          <c:order val="1"/>
          <c:tx>
            <c:strRef>
              <c:f>Sheet1!$D$10</c:f>
              <c:strCache>
                <c:ptCount val="1"/>
                <c:pt idx="0">
                  <c:v>Control -</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Sheet1!$D$2:$D$21</c:f>
              <c:numCache>
                <c:formatCode>0.000</c:formatCode>
                <c:ptCount val="20"/>
                <c:pt idx="0">
                  <c:v>0.19400000000000001</c:v>
                </c:pt>
                <c:pt idx="1">
                  <c:v>0.34500000000000008</c:v>
                </c:pt>
                <c:pt idx="2">
                  <c:v>0.68</c:v>
                </c:pt>
                <c:pt idx="3">
                  <c:v>0.34</c:v>
                </c:pt>
                <c:pt idx="4">
                  <c:v>3.21</c:v>
                </c:pt>
                <c:pt idx="5">
                  <c:v>3</c:v>
                </c:pt>
                <c:pt idx="8">
                  <c:v>0</c:v>
                </c:pt>
                <c:pt idx="9">
                  <c:v>0</c:v>
                </c:pt>
                <c:pt idx="10">
                  <c:v>1.7783505154639181</c:v>
                </c:pt>
                <c:pt idx="11">
                  <c:v>3.5051546391752577</c:v>
                </c:pt>
                <c:pt idx="12">
                  <c:v>1.7525773195876289</c:v>
                </c:pt>
                <c:pt idx="13">
                  <c:v>16.546391752577296</c:v>
                </c:pt>
                <c:pt idx="14">
                  <c:v>15.463917525773196</c:v>
                </c:pt>
                <c:pt idx="19">
                  <c:v>6.0299999999999985</c:v>
                </c:pt>
              </c:numCache>
            </c:numRef>
          </c:yVal>
          <c:smooth val="1"/>
        </c:ser>
        <c:ser>
          <c:idx val="2"/>
          <c:order val="2"/>
          <c:tx>
            <c:strRef>
              <c:f>Sheet1!$E$10</c:f>
              <c:strCache>
                <c:ptCount val="1"/>
                <c:pt idx="0">
                  <c:v>Control EB</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Sheet1!$E$2:$E$21</c:f>
              <c:numCache>
                <c:formatCode>0.000</c:formatCode>
                <c:ptCount val="20"/>
                <c:pt idx="0">
                  <c:v>0.23300000000000001</c:v>
                </c:pt>
                <c:pt idx="1">
                  <c:v>2.3899999999999997</c:v>
                </c:pt>
                <c:pt idx="2">
                  <c:v>5.01</c:v>
                </c:pt>
                <c:pt idx="3">
                  <c:v>6.7700000000000014</c:v>
                </c:pt>
                <c:pt idx="4">
                  <c:v>8.2199999999999989</c:v>
                </c:pt>
                <c:pt idx="5">
                  <c:v>7.05</c:v>
                </c:pt>
                <c:pt idx="8">
                  <c:v>0</c:v>
                </c:pt>
                <c:pt idx="9">
                  <c:v>0</c:v>
                </c:pt>
                <c:pt idx="10">
                  <c:v>10.257510729613735</c:v>
                </c:pt>
                <c:pt idx="11">
                  <c:v>21.502145922746788</c:v>
                </c:pt>
                <c:pt idx="12">
                  <c:v>29.055793991416319</c:v>
                </c:pt>
                <c:pt idx="13">
                  <c:v>35.27896995708155</c:v>
                </c:pt>
                <c:pt idx="14">
                  <c:v>30.257510729613745</c:v>
                </c:pt>
                <c:pt idx="19">
                  <c:v>8.56</c:v>
                </c:pt>
              </c:numCache>
            </c:numRef>
          </c:yVal>
          <c:smooth val="1"/>
        </c:ser>
        <c:ser>
          <c:idx val="3"/>
          <c:order val="3"/>
          <c:tx>
            <c:strRef>
              <c:f>Sheet1!$F$10</c:f>
              <c:strCache>
                <c:ptCount val="1"/>
                <c:pt idx="0">
                  <c:v>EB</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Sheet1!$F$2:$F$21</c:f>
              <c:numCache>
                <c:formatCode>0.000</c:formatCode>
                <c:ptCount val="20"/>
                <c:pt idx="0">
                  <c:v>0.18927500000000017</c:v>
                </c:pt>
                <c:pt idx="1">
                  <c:v>0.34500000000000008</c:v>
                </c:pt>
                <c:pt idx="2">
                  <c:v>0.8</c:v>
                </c:pt>
                <c:pt idx="3">
                  <c:v>0.60000000000000064</c:v>
                </c:pt>
                <c:pt idx="4">
                  <c:v>3.3699999999999997</c:v>
                </c:pt>
                <c:pt idx="5">
                  <c:v>3.3499999999999988</c:v>
                </c:pt>
                <c:pt idx="8">
                  <c:v>0</c:v>
                </c:pt>
                <c:pt idx="9">
                  <c:v>0</c:v>
                </c:pt>
                <c:pt idx="10">
                  <c:v>1.8227446836613395</c:v>
                </c:pt>
                <c:pt idx="11">
                  <c:v>4.2266543389248454</c:v>
                </c:pt>
                <c:pt idx="12">
                  <c:v>3.1699907541936363</c:v>
                </c:pt>
                <c:pt idx="13">
                  <c:v>17.804781402720909</c:v>
                </c:pt>
                <c:pt idx="14">
                  <c:v>17.69911504424779</c:v>
                </c:pt>
                <c:pt idx="19">
                  <c:v>6.02</c:v>
                </c:pt>
              </c:numCache>
            </c:numRef>
          </c:yVal>
          <c:smooth val="1"/>
        </c:ser>
        <c:ser>
          <c:idx val="4"/>
          <c:order val="4"/>
          <c:tx>
            <c:strRef>
              <c:f>Sheet1!$G$10</c:f>
              <c:strCache>
                <c:ptCount val="1"/>
                <c:pt idx="0">
                  <c:v>Control EPC</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Sheet1!$G$2:$G$21</c:f>
              <c:numCache>
                <c:formatCode>0.000</c:formatCode>
                <c:ptCount val="20"/>
                <c:pt idx="0">
                  <c:v>0.23</c:v>
                </c:pt>
                <c:pt idx="1">
                  <c:v>2.3449999999999998</c:v>
                </c:pt>
                <c:pt idx="2">
                  <c:v>4.624999999999992</c:v>
                </c:pt>
                <c:pt idx="3">
                  <c:v>5.75</c:v>
                </c:pt>
                <c:pt idx="4">
                  <c:v>7.4700000000000024</c:v>
                </c:pt>
                <c:pt idx="5">
                  <c:v>6.09</c:v>
                </c:pt>
                <c:pt idx="8">
                  <c:v>0</c:v>
                </c:pt>
                <c:pt idx="9">
                  <c:v>0</c:v>
                </c:pt>
                <c:pt idx="10">
                  <c:v>10.19565217391305</c:v>
                </c:pt>
                <c:pt idx="11">
                  <c:v>20.1086956521739</c:v>
                </c:pt>
                <c:pt idx="12">
                  <c:v>25.000000000000007</c:v>
                </c:pt>
                <c:pt idx="13">
                  <c:v>32.478260869565226</c:v>
                </c:pt>
                <c:pt idx="14">
                  <c:v>26.478260869565194</c:v>
                </c:pt>
                <c:pt idx="19">
                  <c:v>7.8100000000000005</c:v>
                </c:pt>
              </c:numCache>
            </c:numRef>
          </c:yVal>
          <c:smooth val="1"/>
        </c:ser>
        <c:ser>
          <c:idx val="5"/>
          <c:order val="5"/>
          <c:tx>
            <c:strRef>
              <c:f>Sheet1!$H$10</c:f>
              <c:strCache>
                <c:ptCount val="1"/>
                <c:pt idx="0">
                  <c:v>EPC</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Sheet1!$H$2:$H$21</c:f>
              <c:numCache>
                <c:formatCode>0.000</c:formatCode>
                <c:ptCount val="20"/>
                <c:pt idx="0">
                  <c:v>0.21500000000000019</c:v>
                </c:pt>
                <c:pt idx="1">
                  <c:v>0.27500000000000002</c:v>
                </c:pt>
                <c:pt idx="2">
                  <c:v>0.70500000000000063</c:v>
                </c:pt>
                <c:pt idx="3">
                  <c:v>0.21000000000000019</c:v>
                </c:pt>
                <c:pt idx="4">
                  <c:v>2.8699999999999997</c:v>
                </c:pt>
                <c:pt idx="5">
                  <c:v>2.3200000000000003</c:v>
                </c:pt>
                <c:pt idx="8">
                  <c:v>0</c:v>
                </c:pt>
                <c:pt idx="9">
                  <c:v>0</c:v>
                </c:pt>
                <c:pt idx="10">
                  <c:v>1.2790697674418599</c:v>
                </c:pt>
                <c:pt idx="11">
                  <c:v>3.2790697674418601</c:v>
                </c:pt>
                <c:pt idx="12">
                  <c:v>0.97674418604651236</c:v>
                </c:pt>
                <c:pt idx="13">
                  <c:v>13.348837209302324</c:v>
                </c:pt>
                <c:pt idx="14">
                  <c:v>10.790697674418604</c:v>
                </c:pt>
                <c:pt idx="19">
                  <c:v>5.44</c:v>
                </c:pt>
              </c:numCache>
            </c:numRef>
          </c:yVal>
          <c:smooth val="1"/>
        </c:ser>
        <c:ser>
          <c:idx val="6"/>
          <c:order val="6"/>
          <c:tx>
            <c:strRef>
              <c:f>Sheet1!$I$10</c:f>
              <c:strCache>
                <c:ptCount val="1"/>
                <c:pt idx="0">
                  <c:v>Control ERC</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Sheet1!$I$2:$I$21</c:f>
              <c:numCache>
                <c:formatCode>0.000</c:formatCode>
                <c:ptCount val="20"/>
                <c:pt idx="0">
                  <c:v>0.21200000000000019</c:v>
                </c:pt>
                <c:pt idx="1">
                  <c:v>2.14</c:v>
                </c:pt>
                <c:pt idx="2">
                  <c:v>5.0449999999999955</c:v>
                </c:pt>
                <c:pt idx="3">
                  <c:v>6.59</c:v>
                </c:pt>
                <c:pt idx="4">
                  <c:v>8.129999999999999</c:v>
                </c:pt>
                <c:pt idx="5">
                  <c:v>6.6599999999999975</c:v>
                </c:pt>
                <c:pt idx="8">
                  <c:v>0</c:v>
                </c:pt>
                <c:pt idx="9">
                  <c:v>0</c:v>
                </c:pt>
                <c:pt idx="10">
                  <c:v>10.09433962264151</c:v>
                </c:pt>
                <c:pt idx="11">
                  <c:v>23.797169811320728</c:v>
                </c:pt>
                <c:pt idx="12">
                  <c:v>31.084905660377352</c:v>
                </c:pt>
                <c:pt idx="13">
                  <c:v>38.349056603773519</c:v>
                </c:pt>
                <c:pt idx="14">
                  <c:v>31.415094339622627</c:v>
                </c:pt>
                <c:pt idx="19">
                  <c:v>8.57</c:v>
                </c:pt>
              </c:numCache>
            </c:numRef>
          </c:yVal>
          <c:smooth val="1"/>
        </c:ser>
        <c:ser>
          <c:idx val="7"/>
          <c:order val="7"/>
          <c:tx>
            <c:strRef>
              <c:f>Sheet1!$J$10</c:f>
              <c:strCache>
                <c:ptCount val="1"/>
                <c:pt idx="0">
                  <c:v>ERC</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Sheet1!$J$2:$J$21</c:f>
              <c:numCache>
                <c:formatCode>0.000</c:formatCode>
                <c:ptCount val="20"/>
                <c:pt idx="0">
                  <c:v>0.24500000000000013</c:v>
                </c:pt>
                <c:pt idx="1">
                  <c:v>0.37000000000000033</c:v>
                </c:pt>
                <c:pt idx="2">
                  <c:v>1.0249999999999986</c:v>
                </c:pt>
                <c:pt idx="3">
                  <c:v>1.1600000000000001</c:v>
                </c:pt>
                <c:pt idx="4">
                  <c:v>4.0600000000000005</c:v>
                </c:pt>
                <c:pt idx="5">
                  <c:v>3.6399999999999997</c:v>
                </c:pt>
                <c:pt idx="8">
                  <c:v>0</c:v>
                </c:pt>
                <c:pt idx="9">
                  <c:v>0</c:v>
                </c:pt>
                <c:pt idx="10">
                  <c:v>1.5102040816326534</c:v>
                </c:pt>
                <c:pt idx="11">
                  <c:v>4.183673469387756</c:v>
                </c:pt>
                <c:pt idx="12">
                  <c:v>4.7346938775510221</c:v>
                </c:pt>
                <c:pt idx="13">
                  <c:v>16.571428571428577</c:v>
                </c:pt>
                <c:pt idx="14">
                  <c:v>14.857142857142875</c:v>
                </c:pt>
                <c:pt idx="19">
                  <c:v>6.8999999999999995</c:v>
                </c:pt>
              </c:numCache>
            </c:numRef>
          </c:yVal>
          <c:smooth val="1"/>
        </c:ser>
        <c:ser>
          <c:idx val="8"/>
          <c:order val="8"/>
          <c:tx>
            <c:strRef>
              <c:f>Sheet1!$K$10</c:f>
              <c:strCache>
                <c:ptCount val="1"/>
                <c:pt idx="0">
                  <c:v>Control HT</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Sheet1!$K$2:$K$21</c:f>
              <c:numCache>
                <c:formatCode>0.000</c:formatCode>
                <c:ptCount val="20"/>
                <c:pt idx="0">
                  <c:v>0.23200000000000001</c:v>
                </c:pt>
                <c:pt idx="1">
                  <c:v>2.3249999999999997</c:v>
                </c:pt>
                <c:pt idx="2">
                  <c:v>4.7649999999999944</c:v>
                </c:pt>
                <c:pt idx="3">
                  <c:v>6.2</c:v>
                </c:pt>
                <c:pt idx="4">
                  <c:v>7.78</c:v>
                </c:pt>
                <c:pt idx="5">
                  <c:v>6.67</c:v>
                </c:pt>
                <c:pt idx="8">
                  <c:v>0</c:v>
                </c:pt>
                <c:pt idx="9">
                  <c:v>0</c:v>
                </c:pt>
                <c:pt idx="10">
                  <c:v>10.021551724137931</c:v>
                </c:pt>
                <c:pt idx="11">
                  <c:v>20.538793103448281</c:v>
                </c:pt>
                <c:pt idx="12">
                  <c:v>26.724137931034488</c:v>
                </c:pt>
                <c:pt idx="13">
                  <c:v>33.534482758620705</c:v>
                </c:pt>
                <c:pt idx="14">
                  <c:v>28.750000000000007</c:v>
                </c:pt>
                <c:pt idx="19">
                  <c:v>8.33</c:v>
                </c:pt>
              </c:numCache>
            </c:numRef>
          </c:yVal>
          <c:smooth val="1"/>
        </c:ser>
        <c:ser>
          <c:idx val="9"/>
          <c:order val="9"/>
          <c:tx>
            <c:strRef>
              <c:f>Sheet1!$L$10</c:f>
              <c:strCache>
                <c:ptCount val="1"/>
                <c:pt idx="0">
                  <c:v>HT</c:v>
                </c:pt>
              </c:strCache>
            </c:strRef>
          </c:tx>
          <c:marker>
            <c:symbol val="none"/>
          </c:marker>
          <c:xVal>
            <c:numRef>
              <c:f>Sheet1!$B$11:$B$23</c:f>
              <c:numCache>
                <c:formatCode>0.000</c:formatCode>
                <c:ptCount val="13"/>
                <c:pt idx="0" formatCode="General">
                  <c:v>0</c:v>
                </c:pt>
                <c:pt idx="1">
                  <c:v>3</c:v>
                </c:pt>
                <c:pt idx="2">
                  <c:v>5</c:v>
                </c:pt>
                <c:pt idx="3">
                  <c:v>7</c:v>
                </c:pt>
                <c:pt idx="4">
                  <c:v>8</c:v>
                </c:pt>
                <c:pt idx="5">
                  <c:v>9</c:v>
                </c:pt>
                <c:pt idx="10">
                  <c:v>10</c:v>
                </c:pt>
                <c:pt idx="12">
                  <c:v>10</c:v>
                </c:pt>
              </c:numCache>
            </c:numRef>
          </c:xVal>
          <c:yVal>
            <c:numRef>
              <c:f>Sheet1!$L$2:$L$21</c:f>
              <c:numCache>
                <c:formatCode>0.000</c:formatCode>
                <c:ptCount val="20"/>
                <c:pt idx="0">
                  <c:v>0.23700000000000004</c:v>
                </c:pt>
                <c:pt idx="1">
                  <c:v>0.36000000000000032</c:v>
                </c:pt>
                <c:pt idx="2">
                  <c:v>0.88</c:v>
                </c:pt>
                <c:pt idx="3">
                  <c:v>1.07</c:v>
                </c:pt>
                <c:pt idx="4">
                  <c:v>3.9299999999999997</c:v>
                </c:pt>
                <c:pt idx="5">
                  <c:v>3.8200000000000003</c:v>
                </c:pt>
                <c:pt idx="8">
                  <c:v>0</c:v>
                </c:pt>
                <c:pt idx="9">
                  <c:v>0</c:v>
                </c:pt>
                <c:pt idx="10">
                  <c:v>1.5189873417721522</c:v>
                </c:pt>
                <c:pt idx="11">
                  <c:v>3.713080168776377</c:v>
                </c:pt>
                <c:pt idx="12">
                  <c:v>4.5147679324894474</c:v>
                </c:pt>
                <c:pt idx="13">
                  <c:v>16.582278481012665</c:v>
                </c:pt>
                <c:pt idx="14">
                  <c:v>16.118143459915618</c:v>
                </c:pt>
                <c:pt idx="19">
                  <c:v>6.28</c:v>
                </c:pt>
              </c:numCache>
            </c:numRef>
          </c:yVal>
          <c:smooth val="1"/>
        </c:ser>
        <c:axId val="74787072"/>
        <c:axId val="74784768"/>
      </c:scatterChart>
      <c:valAx>
        <c:axId val="74784768"/>
        <c:scaling>
          <c:orientation val="minMax"/>
          <c:max val="10"/>
        </c:scaling>
        <c:axPos val="l"/>
        <c:title>
          <c:tx>
            <c:rich>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000000"/>
                    </a:solidFill>
                    <a:latin typeface="Calibri"/>
                  </a:defRPr>
                </a:pPr>
                <a:r>
                  <a:rPr lang="pt-PT" sz="900" b="1" i="0" u="none" strike="noStrike" kern="1200" cap="none" spc="0" baseline="0">
                    <a:solidFill>
                      <a:srgbClr val="000000"/>
                    </a:solidFill>
                    <a:uFillTx/>
                    <a:latin typeface="Calibri"/>
                    <a:ea typeface="+mn-ea"/>
                    <a:cs typeface="+mn-cs"/>
                  </a:rPr>
                  <a:t>Absorvância  (640 nm)</a:t>
                </a:r>
              </a:p>
            </c:rich>
          </c:tx>
          <c:layout>
            <c:manualLayout>
              <c:xMode val="edge"/>
              <c:yMode val="edge"/>
              <c:x val="5.1821289709968405E-3"/>
              <c:y val="0.26794956194560227"/>
            </c:manualLayout>
          </c:layout>
          <c:spPr>
            <a:noFill/>
            <a:ln>
              <a:noFill/>
            </a:ln>
          </c:spPr>
        </c:title>
        <c:numFmt formatCode="0.000" sourceLinked="1"/>
        <c:majorTickMark val="in"/>
        <c:tickLblPos val="nextTo"/>
        <c:spPr>
          <a:noFill/>
          <a:ln w="9528">
            <a:solidFill>
              <a:srgbClr val="000000"/>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sz="800" b="0" i="0" u="none" strike="noStrike" kern="1200" baseline="0">
                <a:solidFill>
                  <a:srgbClr val="000000"/>
                </a:solidFill>
                <a:latin typeface="Calibri"/>
              </a:defRPr>
            </a:pPr>
            <a:endParaRPr lang="pt-PT"/>
          </a:p>
        </c:txPr>
        <c:crossAx val="74787072"/>
        <c:crossesAt val="0"/>
        <c:crossBetween val="midCat"/>
      </c:valAx>
      <c:valAx>
        <c:axId val="74787072"/>
        <c:scaling>
          <c:orientation val="minMax"/>
          <c:max val="9"/>
          <c:min val="0"/>
        </c:scaling>
        <c:axPos val="b"/>
        <c:title>
          <c:tx>
            <c:rich>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000000"/>
                    </a:solidFill>
                    <a:latin typeface="Calibri"/>
                  </a:defRPr>
                </a:pPr>
                <a:r>
                  <a:rPr lang="pt-PT" sz="900" b="1" i="0" u="none" strike="noStrike" kern="1200" cap="none" spc="0" baseline="0">
                    <a:solidFill>
                      <a:srgbClr val="000000"/>
                    </a:solidFill>
                    <a:uFillTx/>
                    <a:latin typeface="Calibri"/>
                    <a:ea typeface="+mn-ea"/>
                    <a:cs typeface="+mn-cs"/>
                  </a:rPr>
                  <a:t>Tempo (h)</a:t>
                </a:r>
              </a:p>
            </c:rich>
          </c:tx>
          <c:layout>
            <c:manualLayout>
              <c:xMode val="edge"/>
              <c:yMode val="edge"/>
              <c:x val="0.44934277898215924"/>
              <c:y val="0.94271501374301891"/>
            </c:manualLayout>
          </c:layout>
          <c:spPr>
            <a:noFill/>
            <a:ln>
              <a:noFill/>
            </a:ln>
          </c:spPr>
        </c:title>
        <c:numFmt formatCode="General" sourceLinked="1"/>
        <c:tickLblPos val="nextTo"/>
        <c:spPr>
          <a:noFill/>
          <a:ln w="9528">
            <a:solidFill>
              <a:srgbClr val="000000"/>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sz="800" b="0" i="0" u="none" strike="noStrike" kern="1200" baseline="0">
                <a:solidFill>
                  <a:srgbClr val="000000"/>
                </a:solidFill>
                <a:latin typeface="Calibri"/>
              </a:defRPr>
            </a:pPr>
            <a:endParaRPr lang="pt-PT"/>
          </a:p>
        </c:txPr>
        <c:crossAx val="74784768"/>
        <c:crossesAt val="0"/>
        <c:crossBetween val="midCat"/>
      </c:valAx>
      <c:spPr>
        <a:noFill/>
        <a:ln w="25400">
          <a:noFill/>
        </a:ln>
      </c:spPr>
    </c:plotArea>
    <c:legend>
      <c:legendPos val="t"/>
      <c:layout>
        <c:manualLayout>
          <c:xMode val="edge"/>
          <c:yMode val="edge"/>
          <c:x val="0"/>
          <c:y val="3.2241514945717011E-2"/>
          <c:w val="0.97563559028484637"/>
          <c:h val="0.12164997043029244"/>
        </c:manualLayout>
      </c:layout>
      <c:spPr>
        <a:solidFill>
          <a:srgbClr val="D9D9D9"/>
        </a:solidFill>
        <a:ln w="9528">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sz="800" b="0" i="0" u="none" strike="noStrike" kern="1200" baseline="0">
              <a:solidFill>
                <a:srgbClr val="000000"/>
              </a:solidFill>
              <a:latin typeface="Calibri"/>
            </a:defRPr>
          </a:pPr>
          <a:endParaRPr lang="pt-PT"/>
        </a:p>
      </c:txPr>
    </c:legend>
    <c:plotVisOnly val="1"/>
  </c:chart>
  <c:spPr>
    <a:solidFill>
      <a:srgbClr val="FFFFFF"/>
    </a:solidFill>
    <a:ln w="0">
      <a:noFill/>
      <a:prstDash val="solid"/>
      <a:round/>
    </a:ln>
  </c:spPr>
  <c:txPr>
    <a:bodyPr lIns="0" tIns="0" rIns="0" bIns="0"/>
    <a:lstStyle/>
    <a:p>
      <a:pPr marL="0" marR="0" indent="0" algn="ctr" defTabSz="914400" fontAlgn="auto" hangingPunct="1">
        <a:lnSpc>
          <a:spcPct val="100000"/>
        </a:lnSpc>
        <a:spcBef>
          <a:spcPts val="0"/>
        </a:spcBef>
        <a:spcAft>
          <a:spcPts val="0"/>
        </a:spcAft>
        <a:tabLst/>
        <a:defRPr lang="pt-PT" sz="1000" b="0" i="0" u="none" strike="noStrike" kern="1200" baseline="0">
          <a:solidFill>
            <a:srgbClr val="000000"/>
          </a:solidFill>
          <a:latin typeface="Calibri"/>
        </a:defRPr>
      </a:pPr>
      <a:endParaRPr lang="pt-PT"/>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511C45-A9F2-414F-9448-3998841273FA}"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pt-PT"/>
        </a:p>
      </dgm:t>
    </dgm:pt>
    <dgm:pt modelId="{CD86AA73-14C1-449F-B9DF-98FF4CDE2C1E}">
      <dgm:prSet phldrT="[Texto]" custT="1"/>
      <dgm:spPr>
        <a:scene3d>
          <a:camera prst="orthographicFront"/>
          <a:lightRig rig="threePt" dir="t"/>
        </a:scene3d>
        <a:sp3d>
          <a:bevelT w="152400" h="50800" prst="softRound"/>
        </a:sp3d>
      </dgm:spPr>
      <dgm:t>
        <a:bodyPr/>
        <a:lstStyle/>
        <a:p>
          <a:r>
            <a:rPr lang="pt-PT" sz="2000" b="1" dirty="0" smtClean="0">
              <a:solidFill>
                <a:srgbClr val="5A064E"/>
              </a:solidFill>
              <a:effectLst>
                <a:outerShdw blurRad="38100" dist="38100" dir="2700000" algn="tl">
                  <a:srgbClr val="000000">
                    <a:alpha val="43137"/>
                  </a:srgbClr>
                </a:outerShdw>
              </a:effectLst>
            </a:rPr>
            <a:t>EXTRACTO PERMEADO</a:t>
          </a:r>
          <a:endParaRPr lang="pt-PT" sz="2000" b="1" dirty="0">
            <a:solidFill>
              <a:srgbClr val="5A064E"/>
            </a:solidFill>
            <a:effectLst>
              <a:outerShdw blurRad="38100" dist="38100" dir="2700000" algn="tl">
                <a:srgbClr val="000000">
                  <a:alpha val="43137"/>
                </a:srgbClr>
              </a:outerShdw>
            </a:effectLst>
          </a:endParaRPr>
        </a:p>
      </dgm:t>
    </dgm:pt>
    <dgm:pt modelId="{A34996C6-2A52-4FD9-9B5F-122DFD652EAB}" type="parTrans" cxnId="{4DA10538-AA5B-4539-98FE-9262265CCDBB}">
      <dgm:prSet/>
      <dgm:spPr/>
      <dgm:t>
        <a:bodyPr/>
        <a:lstStyle/>
        <a:p>
          <a:endParaRPr lang="pt-PT"/>
        </a:p>
      </dgm:t>
    </dgm:pt>
    <dgm:pt modelId="{A518705F-D140-4E92-9DE9-9292075D0FD4}" type="sibTrans" cxnId="{4DA10538-AA5B-4539-98FE-9262265CCDBB}">
      <dgm:prSet/>
      <dgm:spPr/>
      <dgm:t>
        <a:bodyPr/>
        <a:lstStyle/>
        <a:p>
          <a:endParaRPr lang="pt-PT"/>
        </a:p>
      </dgm:t>
    </dgm:pt>
    <dgm:pt modelId="{488159DB-7B45-48ED-B9C2-9E5FCE523E22}">
      <dgm:prSet phldrT="[Texto]"/>
      <dgm:spPr>
        <a:solidFill>
          <a:srgbClr val="E1E9F7">
            <a:alpha val="90000"/>
          </a:srgbClr>
        </a:solidFill>
        <a:scene3d>
          <a:camera prst="orthographicFront"/>
          <a:lightRig rig="threePt" dir="t"/>
        </a:scene3d>
        <a:sp3d>
          <a:bevelT w="152400" h="50800" prst="softRound"/>
        </a:sp3d>
      </dgm:spPr>
      <dgm:t>
        <a:bodyPr/>
        <a:lstStyle/>
        <a:p>
          <a:r>
            <a:rPr lang="pt-PT" b="0" dirty="0" err="1" smtClean="0">
              <a:effectLst>
                <a:outerShdw blurRad="38100" dist="38100" dir="2700000" algn="tl">
                  <a:srgbClr val="000000">
                    <a:alpha val="43137"/>
                  </a:srgbClr>
                </a:outerShdw>
              </a:effectLst>
            </a:rPr>
            <a:t>Ext</a:t>
          </a:r>
          <a:r>
            <a:rPr lang="pt-PT" b="0" dirty="0" smtClean="0">
              <a:effectLst>
                <a:outerShdw blurRad="38100" dist="38100" dir="2700000" algn="tl">
                  <a:srgbClr val="000000">
                    <a:alpha val="43137"/>
                  </a:srgbClr>
                </a:outerShdw>
              </a:effectLst>
            </a:rPr>
            <a:t>. Permeado (</a:t>
          </a:r>
          <a:r>
            <a:rPr lang="pt-PT" b="0" dirty="0" err="1" smtClean="0">
              <a:effectLst>
                <a:outerShdw blurRad="38100" dist="38100" dir="2700000" algn="tl">
                  <a:srgbClr val="000000">
                    <a:alpha val="43137"/>
                  </a:srgbClr>
                </a:outerShdw>
              </a:effectLst>
            </a:rPr>
            <a:t>Permeado</a:t>
          </a:r>
          <a:r>
            <a:rPr lang="pt-PT" b="0" dirty="0" smtClean="0">
              <a:effectLst>
                <a:outerShdw blurRad="38100" dist="38100" dir="2700000" algn="tl">
                  <a:srgbClr val="000000">
                    <a:alpha val="43137"/>
                  </a:srgbClr>
                </a:outerShdw>
              </a:effectLst>
            </a:rPr>
            <a:t>)</a:t>
          </a:r>
        </a:p>
      </dgm:t>
    </dgm:pt>
    <dgm:pt modelId="{3C6F6EFB-E266-4D4A-B5D1-B2A2FF7FC809}" type="parTrans" cxnId="{BE00CBD6-94BA-476E-85CD-72150F0E9B8E}">
      <dgm:prSet/>
      <dgm:spPr>
        <a:scene3d>
          <a:camera prst="orthographicFront"/>
          <a:lightRig rig="threePt" dir="t"/>
        </a:scene3d>
        <a:sp3d>
          <a:bevelT w="152400" h="50800" prst="softRound"/>
        </a:sp3d>
      </dgm:spPr>
      <dgm:t>
        <a:bodyPr/>
        <a:lstStyle/>
        <a:p>
          <a:endParaRPr lang="pt-PT"/>
        </a:p>
      </dgm:t>
    </dgm:pt>
    <dgm:pt modelId="{B63D5692-5996-441C-BD9D-C20C4953CDD8}" type="sibTrans" cxnId="{BE00CBD6-94BA-476E-85CD-72150F0E9B8E}">
      <dgm:prSet/>
      <dgm:spPr/>
      <dgm:t>
        <a:bodyPr/>
        <a:lstStyle/>
        <a:p>
          <a:endParaRPr lang="pt-PT"/>
        </a:p>
      </dgm:t>
    </dgm:pt>
    <dgm:pt modelId="{04C0961A-E7A9-40D6-B387-B36C4B3EB352}">
      <dgm:prSet phldrT="[Texto]"/>
      <dgm:spPr>
        <a:solidFill>
          <a:srgbClr val="E1E9F7">
            <a:alpha val="90000"/>
          </a:srgbClr>
        </a:solidFill>
        <a:scene3d>
          <a:camera prst="orthographicFront"/>
          <a:lightRig rig="threePt" dir="t"/>
        </a:scene3d>
        <a:sp3d>
          <a:bevelT w="152400" h="50800" prst="softRound"/>
        </a:sp3d>
      </dgm:spPr>
      <dgm:t>
        <a:bodyPr/>
        <a:lstStyle/>
        <a:p>
          <a:r>
            <a:rPr lang="pt-PT" dirty="0" err="1" smtClean="0">
              <a:effectLst>
                <a:outerShdw blurRad="38100" dist="38100" dir="2700000" algn="tl">
                  <a:srgbClr val="000000">
                    <a:alpha val="43137"/>
                  </a:srgbClr>
                </a:outerShdw>
              </a:effectLst>
            </a:rPr>
            <a:t>Ext</a:t>
          </a:r>
          <a:r>
            <a:rPr lang="pt-PT" dirty="0" smtClean="0">
              <a:effectLst>
                <a:outerShdw blurRad="38100" dist="38100" dir="2700000" algn="tl">
                  <a:srgbClr val="000000">
                    <a:alpha val="43137"/>
                  </a:srgbClr>
                </a:outerShdw>
              </a:effectLst>
            </a:rPr>
            <a:t>. Permeado (Retido)</a:t>
          </a:r>
          <a:endParaRPr lang="pt-PT" dirty="0">
            <a:effectLst>
              <a:outerShdw blurRad="38100" dist="38100" dir="2700000" algn="tl">
                <a:srgbClr val="000000">
                  <a:alpha val="43137"/>
                </a:srgbClr>
              </a:outerShdw>
            </a:effectLst>
          </a:endParaRPr>
        </a:p>
      </dgm:t>
    </dgm:pt>
    <dgm:pt modelId="{B1AA3585-B795-4B07-A802-C3806682E6A8}" type="parTrans" cxnId="{4F48831D-2245-46D7-BA79-568E4489B354}">
      <dgm:prSet/>
      <dgm:spPr>
        <a:scene3d>
          <a:camera prst="orthographicFront"/>
          <a:lightRig rig="threePt" dir="t"/>
        </a:scene3d>
        <a:sp3d>
          <a:bevelT w="152400" h="50800" prst="softRound"/>
        </a:sp3d>
      </dgm:spPr>
      <dgm:t>
        <a:bodyPr/>
        <a:lstStyle/>
        <a:p>
          <a:endParaRPr lang="pt-PT"/>
        </a:p>
      </dgm:t>
    </dgm:pt>
    <dgm:pt modelId="{156E5803-F74A-44C6-9D32-5B7AD21B1E95}" type="sibTrans" cxnId="{4F48831D-2245-46D7-BA79-568E4489B354}">
      <dgm:prSet/>
      <dgm:spPr/>
      <dgm:t>
        <a:bodyPr/>
        <a:lstStyle/>
        <a:p>
          <a:endParaRPr lang="pt-PT"/>
        </a:p>
      </dgm:t>
    </dgm:pt>
    <dgm:pt modelId="{AAAD6C7C-526F-4A6B-B364-2E1CCC475BBD}">
      <dgm:prSet phldrT="[Texto]" custT="1"/>
      <dgm:spPr>
        <a:scene3d>
          <a:camera prst="orthographicFront"/>
          <a:lightRig rig="threePt" dir="t"/>
        </a:scene3d>
        <a:sp3d>
          <a:bevelT w="152400" h="50800" prst="softRound"/>
        </a:sp3d>
      </dgm:spPr>
      <dgm:t>
        <a:bodyPr/>
        <a:lstStyle/>
        <a:p>
          <a:r>
            <a:rPr lang="pt-PT" sz="2000" b="1" dirty="0" smtClean="0">
              <a:solidFill>
                <a:schemeClr val="tx2">
                  <a:lumMod val="50000"/>
                </a:schemeClr>
              </a:solidFill>
              <a:effectLst>
                <a:outerShdw blurRad="38100" dist="38100" dir="2700000" algn="tl">
                  <a:srgbClr val="000000">
                    <a:alpha val="43137"/>
                  </a:srgbClr>
                </a:outerShdw>
              </a:effectLst>
            </a:rPr>
            <a:t>EXTRACTO RETIDO</a:t>
          </a:r>
          <a:endParaRPr lang="pt-PT" sz="2000" b="1" dirty="0">
            <a:solidFill>
              <a:schemeClr val="tx2">
                <a:lumMod val="50000"/>
              </a:schemeClr>
            </a:solidFill>
            <a:effectLst>
              <a:outerShdw blurRad="38100" dist="38100" dir="2700000" algn="tl">
                <a:srgbClr val="000000">
                  <a:alpha val="43137"/>
                </a:srgbClr>
              </a:outerShdw>
            </a:effectLst>
          </a:endParaRPr>
        </a:p>
      </dgm:t>
    </dgm:pt>
    <dgm:pt modelId="{209F2D31-EFDA-4132-96F7-81B72CCFA5D3}" type="parTrans" cxnId="{D8225995-9EF2-476B-9C25-01BEC55D0336}">
      <dgm:prSet/>
      <dgm:spPr/>
      <dgm:t>
        <a:bodyPr/>
        <a:lstStyle/>
        <a:p>
          <a:endParaRPr lang="pt-PT"/>
        </a:p>
      </dgm:t>
    </dgm:pt>
    <dgm:pt modelId="{52934432-09C1-45DC-BDFD-7458D07AF57B}" type="sibTrans" cxnId="{D8225995-9EF2-476B-9C25-01BEC55D0336}">
      <dgm:prSet/>
      <dgm:spPr/>
      <dgm:t>
        <a:bodyPr/>
        <a:lstStyle/>
        <a:p>
          <a:endParaRPr lang="pt-PT"/>
        </a:p>
      </dgm:t>
    </dgm:pt>
    <dgm:pt modelId="{FB7B9056-F49C-4F41-AEE4-9A752FFF4593}">
      <dgm:prSet phldrT="[Texto]"/>
      <dgm:spPr>
        <a:solidFill>
          <a:srgbClr val="E1E9F7">
            <a:alpha val="90000"/>
          </a:srgbClr>
        </a:solidFill>
        <a:scene3d>
          <a:camera prst="orthographicFront"/>
          <a:lightRig rig="threePt" dir="t"/>
        </a:scene3d>
        <a:sp3d>
          <a:bevelT w="152400" h="50800" prst="softRound"/>
        </a:sp3d>
      </dgm:spPr>
      <dgm:t>
        <a:bodyPr/>
        <a:lstStyle/>
        <a:p>
          <a:r>
            <a:rPr lang="pt-PT" dirty="0" err="1" smtClean="0">
              <a:effectLst>
                <a:outerShdw blurRad="38100" dist="38100" dir="2700000" algn="tl">
                  <a:srgbClr val="000000">
                    <a:alpha val="43137"/>
                  </a:srgbClr>
                </a:outerShdw>
              </a:effectLst>
            </a:rPr>
            <a:t>Ext</a:t>
          </a:r>
          <a:r>
            <a:rPr lang="pt-PT" dirty="0" smtClean="0">
              <a:effectLst>
                <a:outerShdw blurRad="38100" dist="38100" dir="2700000" algn="tl">
                  <a:srgbClr val="000000">
                    <a:alpha val="43137"/>
                  </a:srgbClr>
                </a:outerShdw>
              </a:effectLst>
            </a:rPr>
            <a:t>. Retido (Permeado)</a:t>
          </a:r>
          <a:endParaRPr lang="pt-PT" dirty="0">
            <a:effectLst>
              <a:outerShdw blurRad="38100" dist="38100" dir="2700000" algn="tl">
                <a:srgbClr val="000000">
                  <a:alpha val="43137"/>
                </a:srgbClr>
              </a:outerShdw>
            </a:effectLst>
          </a:endParaRPr>
        </a:p>
      </dgm:t>
    </dgm:pt>
    <dgm:pt modelId="{5DCE9B65-2156-450B-9FB6-853882101320}" type="parTrans" cxnId="{342790BF-8461-4B75-9B48-25C623170512}">
      <dgm:prSet/>
      <dgm:spPr>
        <a:scene3d>
          <a:camera prst="orthographicFront"/>
          <a:lightRig rig="threePt" dir="t"/>
        </a:scene3d>
        <a:sp3d>
          <a:bevelT w="152400" h="50800" prst="softRound"/>
        </a:sp3d>
      </dgm:spPr>
      <dgm:t>
        <a:bodyPr/>
        <a:lstStyle/>
        <a:p>
          <a:endParaRPr lang="pt-PT"/>
        </a:p>
      </dgm:t>
    </dgm:pt>
    <dgm:pt modelId="{1DED80CE-8A86-4CE6-8FE6-98D78C56691E}" type="sibTrans" cxnId="{342790BF-8461-4B75-9B48-25C623170512}">
      <dgm:prSet/>
      <dgm:spPr/>
      <dgm:t>
        <a:bodyPr/>
        <a:lstStyle/>
        <a:p>
          <a:endParaRPr lang="pt-PT"/>
        </a:p>
      </dgm:t>
    </dgm:pt>
    <dgm:pt modelId="{BCFC4037-69E3-4DDD-9467-E6216636C070}">
      <dgm:prSet phldrT="[Texto]"/>
      <dgm:spPr>
        <a:solidFill>
          <a:srgbClr val="E1E9F7">
            <a:alpha val="90000"/>
          </a:srgbClr>
        </a:solidFill>
        <a:scene3d>
          <a:camera prst="orthographicFront"/>
          <a:lightRig rig="threePt" dir="t"/>
        </a:scene3d>
        <a:sp3d>
          <a:bevelT w="152400" h="50800" prst="softRound"/>
        </a:sp3d>
      </dgm:spPr>
      <dgm:t>
        <a:bodyPr/>
        <a:lstStyle/>
        <a:p>
          <a:r>
            <a:rPr lang="pt-PT" dirty="0" err="1" smtClean="0">
              <a:effectLst>
                <a:outerShdw blurRad="38100" dist="38100" dir="2700000" algn="tl">
                  <a:srgbClr val="000000">
                    <a:alpha val="43137"/>
                  </a:srgbClr>
                </a:outerShdw>
              </a:effectLst>
            </a:rPr>
            <a:t>Ext</a:t>
          </a:r>
          <a:r>
            <a:rPr lang="pt-PT" dirty="0" smtClean="0">
              <a:effectLst>
                <a:outerShdw blurRad="38100" dist="38100" dir="2700000" algn="tl">
                  <a:srgbClr val="000000">
                    <a:alpha val="43137"/>
                  </a:srgbClr>
                </a:outerShdw>
              </a:effectLst>
            </a:rPr>
            <a:t>. Retido (Retido)</a:t>
          </a:r>
          <a:endParaRPr lang="pt-PT" dirty="0">
            <a:effectLst>
              <a:outerShdw blurRad="38100" dist="38100" dir="2700000" algn="tl">
                <a:srgbClr val="000000">
                  <a:alpha val="43137"/>
                </a:srgbClr>
              </a:outerShdw>
            </a:effectLst>
          </a:endParaRPr>
        </a:p>
      </dgm:t>
    </dgm:pt>
    <dgm:pt modelId="{8D057501-E5CE-4175-B9FC-2EB62FE91667}" type="parTrans" cxnId="{9C99850C-4FD2-4107-A30B-839746424738}">
      <dgm:prSet/>
      <dgm:spPr>
        <a:scene3d>
          <a:camera prst="orthographicFront"/>
          <a:lightRig rig="threePt" dir="t"/>
        </a:scene3d>
        <a:sp3d>
          <a:bevelT w="152400" h="50800" prst="softRound"/>
        </a:sp3d>
      </dgm:spPr>
      <dgm:t>
        <a:bodyPr/>
        <a:lstStyle/>
        <a:p>
          <a:endParaRPr lang="pt-PT"/>
        </a:p>
      </dgm:t>
    </dgm:pt>
    <dgm:pt modelId="{9E4A3C89-2353-4873-97AE-E779D9CCF40A}" type="sibTrans" cxnId="{9C99850C-4FD2-4107-A30B-839746424738}">
      <dgm:prSet/>
      <dgm:spPr/>
      <dgm:t>
        <a:bodyPr/>
        <a:lstStyle/>
        <a:p>
          <a:endParaRPr lang="pt-PT"/>
        </a:p>
      </dgm:t>
    </dgm:pt>
    <dgm:pt modelId="{09BAA875-E0D5-4D4B-8483-00939B794117}" type="pres">
      <dgm:prSet presAssocID="{68511C45-A9F2-414F-9448-3998841273FA}" presName="diagram" presStyleCnt="0">
        <dgm:presLayoutVars>
          <dgm:chPref val="1"/>
          <dgm:dir/>
          <dgm:animOne val="branch"/>
          <dgm:animLvl val="lvl"/>
          <dgm:resizeHandles/>
        </dgm:presLayoutVars>
      </dgm:prSet>
      <dgm:spPr/>
      <dgm:t>
        <a:bodyPr/>
        <a:lstStyle/>
        <a:p>
          <a:endParaRPr lang="pt-PT"/>
        </a:p>
      </dgm:t>
    </dgm:pt>
    <dgm:pt modelId="{43E6DA63-C39E-414A-85E3-EFCC9E186A86}" type="pres">
      <dgm:prSet presAssocID="{CD86AA73-14C1-449F-B9DF-98FF4CDE2C1E}" presName="root" presStyleCnt="0"/>
      <dgm:spPr>
        <a:scene3d>
          <a:camera prst="orthographicFront"/>
          <a:lightRig rig="threePt" dir="t"/>
        </a:scene3d>
        <a:sp3d>
          <a:bevelT w="152400" h="50800" prst="softRound"/>
        </a:sp3d>
      </dgm:spPr>
    </dgm:pt>
    <dgm:pt modelId="{B7D5CB5F-9181-4200-929F-6D4EA04A707F}" type="pres">
      <dgm:prSet presAssocID="{CD86AA73-14C1-449F-B9DF-98FF4CDE2C1E}" presName="rootComposite" presStyleCnt="0"/>
      <dgm:spPr>
        <a:scene3d>
          <a:camera prst="orthographicFront"/>
          <a:lightRig rig="threePt" dir="t"/>
        </a:scene3d>
        <a:sp3d>
          <a:bevelT w="152400" h="50800" prst="softRound"/>
        </a:sp3d>
      </dgm:spPr>
    </dgm:pt>
    <dgm:pt modelId="{3E36A930-FD49-40FB-AD06-660E0C79F9E6}" type="pres">
      <dgm:prSet presAssocID="{CD86AA73-14C1-449F-B9DF-98FF4CDE2C1E}" presName="rootText" presStyleLbl="node1" presStyleIdx="0" presStyleCnt="2"/>
      <dgm:spPr/>
      <dgm:t>
        <a:bodyPr/>
        <a:lstStyle/>
        <a:p>
          <a:endParaRPr lang="pt-PT"/>
        </a:p>
      </dgm:t>
    </dgm:pt>
    <dgm:pt modelId="{0003F79C-97EC-47FF-8A9C-8D689FECFD6A}" type="pres">
      <dgm:prSet presAssocID="{CD86AA73-14C1-449F-B9DF-98FF4CDE2C1E}" presName="rootConnector" presStyleLbl="node1" presStyleIdx="0" presStyleCnt="2"/>
      <dgm:spPr/>
      <dgm:t>
        <a:bodyPr/>
        <a:lstStyle/>
        <a:p>
          <a:endParaRPr lang="pt-PT"/>
        </a:p>
      </dgm:t>
    </dgm:pt>
    <dgm:pt modelId="{F29A39F8-2F99-4CA7-92C8-37BEFB61C618}" type="pres">
      <dgm:prSet presAssocID="{CD86AA73-14C1-449F-B9DF-98FF4CDE2C1E}" presName="childShape" presStyleCnt="0"/>
      <dgm:spPr>
        <a:scene3d>
          <a:camera prst="orthographicFront"/>
          <a:lightRig rig="threePt" dir="t"/>
        </a:scene3d>
        <a:sp3d>
          <a:bevelT w="152400" h="50800" prst="softRound"/>
        </a:sp3d>
      </dgm:spPr>
    </dgm:pt>
    <dgm:pt modelId="{7329FE45-2499-452B-AE06-7B8E46415C41}" type="pres">
      <dgm:prSet presAssocID="{3C6F6EFB-E266-4D4A-B5D1-B2A2FF7FC809}" presName="Name13" presStyleLbl="parChTrans1D2" presStyleIdx="0" presStyleCnt="4"/>
      <dgm:spPr/>
      <dgm:t>
        <a:bodyPr/>
        <a:lstStyle/>
        <a:p>
          <a:endParaRPr lang="pt-PT"/>
        </a:p>
      </dgm:t>
    </dgm:pt>
    <dgm:pt modelId="{B811239D-0A4B-4A4D-92A2-71CFABC845DC}" type="pres">
      <dgm:prSet presAssocID="{488159DB-7B45-48ED-B9C2-9E5FCE523E22}" presName="childText" presStyleLbl="bgAcc1" presStyleIdx="0" presStyleCnt="4">
        <dgm:presLayoutVars>
          <dgm:bulletEnabled val="1"/>
        </dgm:presLayoutVars>
      </dgm:prSet>
      <dgm:spPr/>
      <dgm:t>
        <a:bodyPr/>
        <a:lstStyle/>
        <a:p>
          <a:endParaRPr lang="pt-PT"/>
        </a:p>
      </dgm:t>
    </dgm:pt>
    <dgm:pt modelId="{CDE0CC4A-6E6A-48D8-8B43-18A59194B698}" type="pres">
      <dgm:prSet presAssocID="{B1AA3585-B795-4B07-A802-C3806682E6A8}" presName="Name13" presStyleLbl="parChTrans1D2" presStyleIdx="1" presStyleCnt="4"/>
      <dgm:spPr/>
      <dgm:t>
        <a:bodyPr/>
        <a:lstStyle/>
        <a:p>
          <a:endParaRPr lang="pt-PT"/>
        </a:p>
      </dgm:t>
    </dgm:pt>
    <dgm:pt modelId="{AB082404-8292-4F7B-A24B-401D75FCA451}" type="pres">
      <dgm:prSet presAssocID="{04C0961A-E7A9-40D6-B387-B36C4B3EB352}" presName="childText" presStyleLbl="bgAcc1" presStyleIdx="1" presStyleCnt="4">
        <dgm:presLayoutVars>
          <dgm:bulletEnabled val="1"/>
        </dgm:presLayoutVars>
      </dgm:prSet>
      <dgm:spPr/>
      <dgm:t>
        <a:bodyPr/>
        <a:lstStyle/>
        <a:p>
          <a:endParaRPr lang="pt-PT"/>
        </a:p>
      </dgm:t>
    </dgm:pt>
    <dgm:pt modelId="{41291E02-B5D7-49D6-B00C-12E4464EE12A}" type="pres">
      <dgm:prSet presAssocID="{AAAD6C7C-526F-4A6B-B364-2E1CCC475BBD}" presName="root" presStyleCnt="0"/>
      <dgm:spPr>
        <a:scene3d>
          <a:camera prst="orthographicFront"/>
          <a:lightRig rig="threePt" dir="t"/>
        </a:scene3d>
        <a:sp3d>
          <a:bevelT w="152400" h="50800" prst="softRound"/>
        </a:sp3d>
      </dgm:spPr>
    </dgm:pt>
    <dgm:pt modelId="{BE7149A6-7DBB-4A91-8FE4-B2461D9AE4A2}" type="pres">
      <dgm:prSet presAssocID="{AAAD6C7C-526F-4A6B-B364-2E1CCC475BBD}" presName="rootComposite" presStyleCnt="0"/>
      <dgm:spPr>
        <a:scene3d>
          <a:camera prst="orthographicFront"/>
          <a:lightRig rig="threePt" dir="t"/>
        </a:scene3d>
        <a:sp3d>
          <a:bevelT w="152400" h="50800" prst="softRound"/>
        </a:sp3d>
      </dgm:spPr>
    </dgm:pt>
    <dgm:pt modelId="{92BB4524-8950-4CF9-97AF-DC4100BBC646}" type="pres">
      <dgm:prSet presAssocID="{AAAD6C7C-526F-4A6B-B364-2E1CCC475BBD}" presName="rootText" presStyleLbl="node1" presStyleIdx="1" presStyleCnt="2"/>
      <dgm:spPr/>
      <dgm:t>
        <a:bodyPr/>
        <a:lstStyle/>
        <a:p>
          <a:endParaRPr lang="pt-PT"/>
        </a:p>
      </dgm:t>
    </dgm:pt>
    <dgm:pt modelId="{CC4D46DA-91D7-4F85-A747-22225B088CCA}" type="pres">
      <dgm:prSet presAssocID="{AAAD6C7C-526F-4A6B-B364-2E1CCC475BBD}" presName="rootConnector" presStyleLbl="node1" presStyleIdx="1" presStyleCnt="2"/>
      <dgm:spPr/>
      <dgm:t>
        <a:bodyPr/>
        <a:lstStyle/>
        <a:p>
          <a:endParaRPr lang="pt-PT"/>
        </a:p>
      </dgm:t>
    </dgm:pt>
    <dgm:pt modelId="{10C058EA-316E-42EC-961B-6E894D3212F5}" type="pres">
      <dgm:prSet presAssocID="{AAAD6C7C-526F-4A6B-B364-2E1CCC475BBD}" presName="childShape" presStyleCnt="0"/>
      <dgm:spPr>
        <a:scene3d>
          <a:camera prst="orthographicFront"/>
          <a:lightRig rig="threePt" dir="t"/>
        </a:scene3d>
        <a:sp3d>
          <a:bevelT w="152400" h="50800" prst="softRound"/>
        </a:sp3d>
      </dgm:spPr>
    </dgm:pt>
    <dgm:pt modelId="{9B8C815D-DFD7-4975-AFFA-DB901B452DA4}" type="pres">
      <dgm:prSet presAssocID="{5DCE9B65-2156-450B-9FB6-853882101320}" presName="Name13" presStyleLbl="parChTrans1D2" presStyleIdx="2" presStyleCnt="4"/>
      <dgm:spPr/>
      <dgm:t>
        <a:bodyPr/>
        <a:lstStyle/>
        <a:p>
          <a:endParaRPr lang="pt-PT"/>
        </a:p>
      </dgm:t>
    </dgm:pt>
    <dgm:pt modelId="{F70AB28A-EB30-4571-A95E-04FBF53EA7D7}" type="pres">
      <dgm:prSet presAssocID="{FB7B9056-F49C-4F41-AEE4-9A752FFF4593}" presName="childText" presStyleLbl="bgAcc1" presStyleIdx="2" presStyleCnt="4">
        <dgm:presLayoutVars>
          <dgm:bulletEnabled val="1"/>
        </dgm:presLayoutVars>
      </dgm:prSet>
      <dgm:spPr/>
      <dgm:t>
        <a:bodyPr/>
        <a:lstStyle/>
        <a:p>
          <a:endParaRPr lang="pt-PT"/>
        </a:p>
      </dgm:t>
    </dgm:pt>
    <dgm:pt modelId="{5BF5A604-B3C7-4BBF-B1B5-782EC47DD648}" type="pres">
      <dgm:prSet presAssocID="{8D057501-E5CE-4175-B9FC-2EB62FE91667}" presName="Name13" presStyleLbl="parChTrans1D2" presStyleIdx="3" presStyleCnt="4"/>
      <dgm:spPr/>
      <dgm:t>
        <a:bodyPr/>
        <a:lstStyle/>
        <a:p>
          <a:endParaRPr lang="pt-PT"/>
        </a:p>
      </dgm:t>
    </dgm:pt>
    <dgm:pt modelId="{EFE20CBF-C932-4CFF-97B8-CA0FC6A74EC2}" type="pres">
      <dgm:prSet presAssocID="{BCFC4037-69E3-4DDD-9467-E6216636C070}" presName="childText" presStyleLbl="bgAcc1" presStyleIdx="3" presStyleCnt="4">
        <dgm:presLayoutVars>
          <dgm:bulletEnabled val="1"/>
        </dgm:presLayoutVars>
      </dgm:prSet>
      <dgm:spPr/>
      <dgm:t>
        <a:bodyPr/>
        <a:lstStyle/>
        <a:p>
          <a:endParaRPr lang="pt-PT"/>
        </a:p>
      </dgm:t>
    </dgm:pt>
  </dgm:ptLst>
  <dgm:cxnLst>
    <dgm:cxn modelId="{40F83A52-542B-4FD6-A88C-323EF3658A90}" type="presOf" srcId="{FB7B9056-F49C-4F41-AEE4-9A752FFF4593}" destId="{F70AB28A-EB30-4571-A95E-04FBF53EA7D7}" srcOrd="0" destOrd="0" presId="urn:microsoft.com/office/officeart/2005/8/layout/hierarchy3"/>
    <dgm:cxn modelId="{4F48831D-2245-46D7-BA79-568E4489B354}" srcId="{CD86AA73-14C1-449F-B9DF-98FF4CDE2C1E}" destId="{04C0961A-E7A9-40D6-B387-B36C4B3EB352}" srcOrd="1" destOrd="0" parTransId="{B1AA3585-B795-4B07-A802-C3806682E6A8}" sibTransId="{156E5803-F74A-44C6-9D32-5B7AD21B1E95}"/>
    <dgm:cxn modelId="{342790BF-8461-4B75-9B48-25C623170512}" srcId="{AAAD6C7C-526F-4A6B-B364-2E1CCC475BBD}" destId="{FB7B9056-F49C-4F41-AEE4-9A752FFF4593}" srcOrd="0" destOrd="0" parTransId="{5DCE9B65-2156-450B-9FB6-853882101320}" sibTransId="{1DED80CE-8A86-4CE6-8FE6-98D78C56691E}"/>
    <dgm:cxn modelId="{8D95965A-2B2B-4597-A50A-5B76B0110DCA}" type="presOf" srcId="{488159DB-7B45-48ED-B9C2-9E5FCE523E22}" destId="{B811239D-0A4B-4A4D-92A2-71CFABC845DC}" srcOrd="0" destOrd="0" presId="urn:microsoft.com/office/officeart/2005/8/layout/hierarchy3"/>
    <dgm:cxn modelId="{4DA10538-AA5B-4539-98FE-9262265CCDBB}" srcId="{68511C45-A9F2-414F-9448-3998841273FA}" destId="{CD86AA73-14C1-449F-B9DF-98FF4CDE2C1E}" srcOrd="0" destOrd="0" parTransId="{A34996C6-2A52-4FD9-9B5F-122DFD652EAB}" sibTransId="{A518705F-D140-4E92-9DE9-9292075D0FD4}"/>
    <dgm:cxn modelId="{D54D9502-2AFC-4765-B9E5-9529A7B103B2}" type="presOf" srcId="{BCFC4037-69E3-4DDD-9467-E6216636C070}" destId="{EFE20CBF-C932-4CFF-97B8-CA0FC6A74EC2}" srcOrd="0" destOrd="0" presId="urn:microsoft.com/office/officeart/2005/8/layout/hierarchy3"/>
    <dgm:cxn modelId="{8AAB6C55-DE39-465C-9F36-264618DCEDF2}" type="presOf" srcId="{AAAD6C7C-526F-4A6B-B364-2E1CCC475BBD}" destId="{CC4D46DA-91D7-4F85-A747-22225B088CCA}" srcOrd="1" destOrd="0" presId="urn:microsoft.com/office/officeart/2005/8/layout/hierarchy3"/>
    <dgm:cxn modelId="{218FCDC1-6371-4DF1-941E-EEFD9D183EA8}" type="presOf" srcId="{AAAD6C7C-526F-4A6B-B364-2E1CCC475BBD}" destId="{92BB4524-8950-4CF9-97AF-DC4100BBC646}" srcOrd="0" destOrd="0" presId="urn:microsoft.com/office/officeart/2005/8/layout/hierarchy3"/>
    <dgm:cxn modelId="{66DD36B7-6D0C-4D59-9669-A0C36E7C3AED}" type="presOf" srcId="{8D057501-E5CE-4175-B9FC-2EB62FE91667}" destId="{5BF5A604-B3C7-4BBF-B1B5-782EC47DD648}" srcOrd="0" destOrd="0" presId="urn:microsoft.com/office/officeart/2005/8/layout/hierarchy3"/>
    <dgm:cxn modelId="{EC9BC491-0A90-4E6A-9974-C46A746FE458}" type="presOf" srcId="{B1AA3585-B795-4B07-A802-C3806682E6A8}" destId="{CDE0CC4A-6E6A-48D8-8B43-18A59194B698}" srcOrd="0" destOrd="0" presId="urn:microsoft.com/office/officeart/2005/8/layout/hierarchy3"/>
    <dgm:cxn modelId="{D8225995-9EF2-476B-9C25-01BEC55D0336}" srcId="{68511C45-A9F2-414F-9448-3998841273FA}" destId="{AAAD6C7C-526F-4A6B-B364-2E1CCC475BBD}" srcOrd="1" destOrd="0" parTransId="{209F2D31-EFDA-4132-96F7-81B72CCFA5D3}" sibTransId="{52934432-09C1-45DC-BDFD-7458D07AF57B}"/>
    <dgm:cxn modelId="{446956F4-440D-4102-A8F1-091F5A7B46C8}" type="presOf" srcId="{CD86AA73-14C1-449F-B9DF-98FF4CDE2C1E}" destId="{0003F79C-97EC-47FF-8A9C-8D689FECFD6A}" srcOrd="1" destOrd="0" presId="urn:microsoft.com/office/officeart/2005/8/layout/hierarchy3"/>
    <dgm:cxn modelId="{AFAF843B-AB07-432F-A792-9CB3C9B4444C}" type="presOf" srcId="{5DCE9B65-2156-450B-9FB6-853882101320}" destId="{9B8C815D-DFD7-4975-AFFA-DB901B452DA4}" srcOrd="0" destOrd="0" presId="urn:microsoft.com/office/officeart/2005/8/layout/hierarchy3"/>
    <dgm:cxn modelId="{6D32FC74-6A8C-495F-B46D-84B1351FC899}" type="presOf" srcId="{CD86AA73-14C1-449F-B9DF-98FF4CDE2C1E}" destId="{3E36A930-FD49-40FB-AD06-660E0C79F9E6}" srcOrd="0" destOrd="0" presId="urn:microsoft.com/office/officeart/2005/8/layout/hierarchy3"/>
    <dgm:cxn modelId="{9C99850C-4FD2-4107-A30B-839746424738}" srcId="{AAAD6C7C-526F-4A6B-B364-2E1CCC475BBD}" destId="{BCFC4037-69E3-4DDD-9467-E6216636C070}" srcOrd="1" destOrd="0" parTransId="{8D057501-E5CE-4175-B9FC-2EB62FE91667}" sibTransId="{9E4A3C89-2353-4873-97AE-E779D9CCF40A}"/>
    <dgm:cxn modelId="{E1AC3781-B3DF-4535-B80B-86B1BB1145FC}" type="presOf" srcId="{68511C45-A9F2-414F-9448-3998841273FA}" destId="{09BAA875-E0D5-4D4B-8483-00939B794117}" srcOrd="0" destOrd="0" presId="urn:microsoft.com/office/officeart/2005/8/layout/hierarchy3"/>
    <dgm:cxn modelId="{BE00CBD6-94BA-476E-85CD-72150F0E9B8E}" srcId="{CD86AA73-14C1-449F-B9DF-98FF4CDE2C1E}" destId="{488159DB-7B45-48ED-B9C2-9E5FCE523E22}" srcOrd="0" destOrd="0" parTransId="{3C6F6EFB-E266-4D4A-B5D1-B2A2FF7FC809}" sibTransId="{B63D5692-5996-441C-BD9D-C20C4953CDD8}"/>
    <dgm:cxn modelId="{EB877845-A1EE-4AB9-940A-43FE6C7A5F50}" type="presOf" srcId="{04C0961A-E7A9-40D6-B387-B36C4B3EB352}" destId="{AB082404-8292-4F7B-A24B-401D75FCA451}" srcOrd="0" destOrd="0" presId="urn:microsoft.com/office/officeart/2005/8/layout/hierarchy3"/>
    <dgm:cxn modelId="{1144A9AF-0BE0-45F8-A43E-FE0303CACF73}" type="presOf" srcId="{3C6F6EFB-E266-4D4A-B5D1-B2A2FF7FC809}" destId="{7329FE45-2499-452B-AE06-7B8E46415C41}" srcOrd="0" destOrd="0" presId="urn:microsoft.com/office/officeart/2005/8/layout/hierarchy3"/>
    <dgm:cxn modelId="{67516621-9840-437E-A157-FC75C84B0ACA}" type="presParOf" srcId="{09BAA875-E0D5-4D4B-8483-00939B794117}" destId="{43E6DA63-C39E-414A-85E3-EFCC9E186A86}" srcOrd="0" destOrd="0" presId="urn:microsoft.com/office/officeart/2005/8/layout/hierarchy3"/>
    <dgm:cxn modelId="{E70C3732-6597-477F-8304-7CAF2D43AB60}" type="presParOf" srcId="{43E6DA63-C39E-414A-85E3-EFCC9E186A86}" destId="{B7D5CB5F-9181-4200-929F-6D4EA04A707F}" srcOrd="0" destOrd="0" presId="urn:microsoft.com/office/officeart/2005/8/layout/hierarchy3"/>
    <dgm:cxn modelId="{7D2FCD88-7801-4189-A141-AB6611309E56}" type="presParOf" srcId="{B7D5CB5F-9181-4200-929F-6D4EA04A707F}" destId="{3E36A930-FD49-40FB-AD06-660E0C79F9E6}" srcOrd="0" destOrd="0" presId="urn:microsoft.com/office/officeart/2005/8/layout/hierarchy3"/>
    <dgm:cxn modelId="{D8C5CA95-8C78-4E07-99EF-1E4A03176C4A}" type="presParOf" srcId="{B7D5CB5F-9181-4200-929F-6D4EA04A707F}" destId="{0003F79C-97EC-47FF-8A9C-8D689FECFD6A}" srcOrd="1" destOrd="0" presId="urn:microsoft.com/office/officeart/2005/8/layout/hierarchy3"/>
    <dgm:cxn modelId="{5654D5C1-9C4E-4DEA-B5A5-669F63E03AEE}" type="presParOf" srcId="{43E6DA63-C39E-414A-85E3-EFCC9E186A86}" destId="{F29A39F8-2F99-4CA7-92C8-37BEFB61C618}" srcOrd="1" destOrd="0" presId="urn:microsoft.com/office/officeart/2005/8/layout/hierarchy3"/>
    <dgm:cxn modelId="{E9BA70BF-CABC-47D9-B450-D372F594611B}" type="presParOf" srcId="{F29A39F8-2F99-4CA7-92C8-37BEFB61C618}" destId="{7329FE45-2499-452B-AE06-7B8E46415C41}" srcOrd="0" destOrd="0" presId="urn:microsoft.com/office/officeart/2005/8/layout/hierarchy3"/>
    <dgm:cxn modelId="{0889F30F-B1E0-46E8-9162-8F285B8AA990}" type="presParOf" srcId="{F29A39F8-2F99-4CA7-92C8-37BEFB61C618}" destId="{B811239D-0A4B-4A4D-92A2-71CFABC845DC}" srcOrd="1" destOrd="0" presId="urn:microsoft.com/office/officeart/2005/8/layout/hierarchy3"/>
    <dgm:cxn modelId="{F782A02B-8EDA-423B-9301-54F64ACEC926}" type="presParOf" srcId="{F29A39F8-2F99-4CA7-92C8-37BEFB61C618}" destId="{CDE0CC4A-6E6A-48D8-8B43-18A59194B698}" srcOrd="2" destOrd="0" presId="urn:microsoft.com/office/officeart/2005/8/layout/hierarchy3"/>
    <dgm:cxn modelId="{C576841F-C322-40BD-A935-9CBAFC6AAC12}" type="presParOf" srcId="{F29A39F8-2F99-4CA7-92C8-37BEFB61C618}" destId="{AB082404-8292-4F7B-A24B-401D75FCA451}" srcOrd="3" destOrd="0" presId="urn:microsoft.com/office/officeart/2005/8/layout/hierarchy3"/>
    <dgm:cxn modelId="{407BED46-4F0F-4637-B7CB-9D8B49F41DE8}" type="presParOf" srcId="{09BAA875-E0D5-4D4B-8483-00939B794117}" destId="{41291E02-B5D7-49D6-B00C-12E4464EE12A}" srcOrd="1" destOrd="0" presId="urn:microsoft.com/office/officeart/2005/8/layout/hierarchy3"/>
    <dgm:cxn modelId="{355C18D1-9CCC-40B6-AF2F-B74EA96CA777}" type="presParOf" srcId="{41291E02-B5D7-49D6-B00C-12E4464EE12A}" destId="{BE7149A6-7DBB-4A91-8FE4-B2461D9AE4A2}" srcOrd="0" destOrd="0" presId="urn:microsoft.com/office/officeart/2005/8/layout/hierarchy3"/>
    <dgm:cxn modelId="{D5E2C138-2F31-4B5E-A32B-BB751D2B0613}" type="presParOf" srcId="{BE7149A6-7DBB-4A91-8FE4-B2461D9AE4A2}" destId="{92BB4524-8950-4CF9-97AF-DC4100BBC646}" srcOrd="0" destOrd="0" presId="urn:microsoft.com/office/officeart/2005/8/layout/hierarchy3"/>
    <dgm:cxn modelId="{04457DCE-647B-4543-9ED4-9D6399BFBBCD}" type="presParOf" srcId="{BE7149A6-7DBB-4A91-8FE4-B2461D9AE4A2}" destId="{CC4D46DA-91D7-4F85-A747-22225B088CCA}" srcOrd="1" destOrd="0" presId="urn:microsoft.com/office/officeart/2005/8/layout/hierarchy3"/>
    <dgm:cxn modelId="{C84761A5-78D1-45DC-BD7E-B83252CE05ED}" type="presParOf" srcId="{41291E02-B5D7-49D6-B00C-12E4464EE12A}" destId="{10C058EA-316E-42EC-961B-6E894D3212F5}" srcOrd="1" destOrd="0" presId="urn:microsoft.com/office/officeart/2005/8/layout/hierarchy3"/>
    <dgm:cxn modelId="{178CFE06-7407-4037-A47B-E8DAAE6E8397}" type="presParOf" srcId="{10C058EA-316E-42EC-961B-6E894D3212F5}" destId="{9B8C815D-DFD7-4975-AFFA-DB901B452DA4}" srcOrd="0" destOrd="0" presId="urn:microsoft.com/office/officeart/2005/8/layout/hierarchy3"/>
    <dgm:cxn modelId="{3E3504BB-3EF9-4814-AAC1-0B9A7CE28ADD}" type="presParOf" srcId="{10C058EA-316E-42EC-961B-6E894D3212F5}" destId="{F70AB28A-EB30-4571-A95E-04FBF53EA7D7}" srcOrd="1" destOrd="0" presId="urn:microsoft.com/office/officeart/2005/8/layout/hierarchy3"/>
    <dgm:cxn modelId="{679F3100-361A-4488-8E40-BAE37940C646}" type="presParOf" srcId="{10C058EA-316E-42EC-961B-6E894D3212F5}" destId="{5BF5A604-B3C7-4BBF-B1B5-782EC47DD648}" srcOrd="2" destOrd="0" presId="urn:microsoft.com/office/officeart/2005/8/layout/hierarchy3"/>
    <dgm:cxn modelId="{E86DBD8C-B300-4ECD-9CA6-ACA5E8332A26}" type="presParOf" srcId="{10C058EA-316E-42EC-961B-6E894D3212F5}" destId="{EFE20CBF-C932-4CFF-97B8-CA0FC6A74EC2}" srcOrd="3" destOrd="0" presId="urn:microsoft.com/office/officeart/2005/8/layout/hierarchy3"/>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36A930-FD49-40FB-AD06-660E0C79F9E6}">
      <dsp:nvSpPr>
        <dsp:cNvPr id="0" name=""/>
        <dsp:cNvSpPr/>
      </dsp:nvSpPr>
      <dsp:spPr>
        <a:xfrm>
          <a:off x="239508" y="1627"/>
          <a:ext cx="1888369" cy="94418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52400" h="50800" prst="softRound"/>
        </a:sp3d>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pt-PT" sz="2000" b="1" kern="1200" dirty="0" smtClean="0">
              <a:solidFill>
                <a:srgbClr val="5A064E"/>
              </a:solidFill>
              <a:effectLst>
                <a:outerShdw blurRad="38100" dist="38100" dir="2700000" algn="tl">
                  <a:srgbClr val="000000">
                    <a:alpha val="43137"/>
                  </a:srgbClr>
                </a:outerShdw>
              </a:effectLst>
            </a:rPr>
            <a:t>EXTRACTO PERMEADO</a:t>
          </a:r>
          <a:endParaRPr lang="pt-PT" sz="2000" b="1" kern="1200" dirty="0">
            <a:solidFill>
              <a:srgbClr val="5A064E"/>
            </a:solidFill>
            <a:effectLst>
              <a:outerShdw blurRad="38100" dist="38100" dir="2700000" algn="tl">
                <a:srgbClr val="000000">
                  <a:alpha val="43137"/>
                </a:srgbClr>
              </a:outerShdw>
            </a:effectLst>
          </a:endParaRPr>
        </a:p>
      </dsp:txBody>
      <dsp:txXfrm>
        <a:off x="239508" y="1627"/>
        <a:ext cx="1888369" cy="944184"/>
      </dsp:txXfrm>
    </dsp:sp>
    <dsp:sp modelId="{7329FE45-2499-452B-AE06-7B8E46415C41}">
      <dsp:nvSpPr>
        <dsp:cNvPr id="0" name=""/>
        <dsp:cNvSpPr/>
      </dsp:nvSpPr>
      <dsp:spPr>
        <a:xfrm>
          <a:off x="428345" y="945811"/>
          <a:ext cx="188836" cy="708138"/>
        </a:xfrm>
        <a:custGeom>
          <a:avLst/>
          <a:gdLst/>
          <a:ahLst/>
          <a:cxnLst/>
          <a:rect l="0" t="0" r="0" b="0"/>
          <a:pathLst>
            <a:path>
              <a:moveTo>
                <a:pt x="0" y="0"/>
              </a:moveTo>
              <a:lnTo>
                <a:pt x="0" y="708138"/>
              </a:lnTo>
              <a:lnTo>
                <a:pt x="188836" y="708138"/>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scene3d>
        <a:sp3d>
          <a:bevelT w="152400" h="50800" prst="softRound"/>
        </a:sp3d>
      </dsp:spPr>
      <dsp:style>
        <a:lnRef idx="2">
          <a:scrgbClr r="0" g="0" b="0"/>
        </a:lnRef>
        <a:fillRef idx="0">
          <a:scrgbClr r="0" g="0" b="0"/>
        </a:fillRef>
        <a:effectRef idx="0">
          <a:scrgbClr r="0" g="0" b="0"/>
        </a:effectRef>
        <a:fontRef idx="minor"/>
      </dsp:style>
    </dsp:sp>
    <dsp:sp modelId="{B811239D-0A4B-4A4D-92A2-71CFABC845DC}">
      <dsp:nvSpPr>
        <dsp:cNvPr id="0" name=""/>
        <dsp:cNvSpPr/>
      </dsp:nvSpPr>
      <dsp:spPr>
        <a:xfrm>
          <a:off x="617182" y="1181858"/>
          <a:ext cx="1510695" cy="944184"/>
        </a:xfrm>
        <a:prstGeom prst="roundRect">
          <a:avLst>
            <a:gd name="adj" fmla="val 10000"/>
          </a:avLst>
        </a:prstGeom>
        <a:solidFill>
          <a:srgbClr val="E1E9F7">
            <a:alpha val="90000"/>
          </a:srgbClr>
        </a:solidFill>
        <a:ln w="25400" cap="flat" cmpd="sng" algn="ctr">
          <a:solidFill>
            <a:schemeClr val="accent4">
              <a:hueOff val="0"/>
              <a:satOff val="0"/>
              <a:lumOff val="0"/>
              <a:alphaOff val="0"/>
            </a:schemeClr>
          </a:solidFill>
          <a:prstDash val="solid"/>
        </a:ln>
        <a:effectLst/>
        <a:scene3d>
          <a:camera prst="orthographicFront"/>
          <a:lightRig rig="threePt" dir="t"/>
        </a:scene3d>
        <a:sp3d>
          <a:bevelT w="152400" h="50800" prst="softRound"/>
        </a:sp3d>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pt-PT" sz="2000" b="0" kern="1200" dirty="0" err="1" smtClean="0">
              <a:effectLst>
                <a:outerShdw blurRad="38100" dist="38100" dir="2700000" algn="tl">
                  <a:srgbClr val="000000">
                    <a:alpha val="43137"/>
                  </a:srgbClr>
                </a:outerShdw>
              </a:effectLst>
            </a:rPr>
            <a:t>Ext</a:t>
          </a:r>
          <a:r>
            <a:rPr lang="pt-PT" sz="2000" b="0" kern="1200" dirty="0" smtClean="0">
              <a:effectLst>
                <a:outerShdw blurRad="38100" dist="38100" dir="2700000" algn="tl">
                  <a:srgbClr val="000000">
                    <a:alpha val="43137"/>
                  </a:srgbClr>
                </a:outerShdw>
              </a:effectLst>
            </a:rPr>
            <a:t>. Permeado (</a:t>
          </a:r>
          <a:r>
            <a:rPr lang="pt-PT" sz="2000" b="0" kern="1200" dirty="0" err="1" smtClean="0">
              <a:effectLst>
                <a:outerShdw blurRad="38100" dist="38100" dir="2700000" algn="tl">
                  <a:srgbClr val="000000">
                    <a:alpha val="43137"/>
                  </a:srgbClr>
                </a:outerShdw>
              </a:effectLst>
            </a:rPr>
            <a:t>Permeado</a:t>
          </a:r>
          <a:r>
            <a:rPr lang="pt-PT" sz="2000" b="0" kern="1200" dirty="0" smtClean="0">
              <a:effectLst>
                <a:outerShdw blurRad="38100" dist="38100" dir="2700000" algn="tl">
                  <a:srgbClr val="000000">
                    <a:alpha val="43137"/>
                  </a:srgbClr>
                </a:outerShdw>
              </a:effectLst>
            </a:rPr>
            <a:t>)</a:t>
          </a:r>
        </a:p>
      </dsp:txBody>
      <dsp:txXfrm>
        <a:off x="617182" y="1181858"/>
        <a:ext cx="1510695" cy="944184"/>
      </dsp:txXfrm>
    </dsp:sp>
    <dsp:sp modelId="{CDE0CC4A-6E6A-48D8-8B43-18A59194B698}">
      <dsp:nvSpPr>
        <dsp:cNvPr id="0" name=""/>
        <dsp:cNvSpPr/>
      </dsp:nvSpPr>
      <dsp:spPr>
        <a:xfrm>
          <a:off x="428345" y="945811"/>
          <a:ext cx="188836" cy="1888369"/>
        </a:xfrm>
        <a:custGeom>
          <a:avLst/>
          <a:gdLst/>
          <a:ahLst/>
          <a:cxnLst/>
          <a:rect l="0" t="0" r="0" b="0"/>
          <a:pathLst>
            <a:path>
              <a:moveTo>
                <a:pt x="0" y="0"/>
              </a:moveTo>
              <a:lnTo>
                <a:pt x="0" y="1888369"/>
              </a:lnTo>
              <a:lnTo>
                <a:pt x="188836" y="188836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scene3d>
        <a:sp3d>
          <a:bevelT w="152400" h="50800" prst="softRound"/>
        </a:sp3d>
      </dsp:spPr>
      <dsp:style>
        <a:lnRef idx="2">
          <a:scrgbClr r="0" g="0" b="0"/>
        </a:lnRef>
        <a:fillRef idx="0">
          <a:scrgbClr r="0" g="0" b="0"/>
        </a:fillRef>
        <a:effectRef idx="0">
          <a:scrgbClr r="0" g="0" b="0"/>
        </a:effectRef>
        <a:fontRef idx="minor"/>
      </dsp:style>
    </dsp:sp>
    <dsp:sp modelId="{AB082404-8292-4F7B-A24B-401D75FCA451}">
      <dsp:nvSpPr>
        <dsp:cNvPr id="0" name=""/>
        <dsp:cNvSpPr/>
      </dsp:nvSpPr>
      <dsp:spPr>
        <a:xfrm>
          <a:off x="617182" y="2362089"/>
          <a:ext cx="1510695" cy="944184"/>
        </a:xfrm>
        <a:prstGeom prst="roundRect">
          <a:avLst>
            <a:gd name="adj" fmla="val 10000"/>
          </a:avLst>
        </a:prstGeom>
        <a:solidFill>
          <a:srgbClr val="E1E9F7">
            <a:alpha val="90000"/>
          </a:srgbClr>
        </a:solidFill>
        <a:ln w="25400" cap="flat" cmpd="sng" algn="ctr">
          <a:solidFill>
            <a:schemeClr val="accent4">
              <a:hueOff val="-1488257"/>
              <a:satOff val="8966"/>
              <a:lumOff val="719"/>
              <a:alphaOff val="0"/>
            </a:schemeClr>
          </a:solidFill>
          <a:prstDash val="solid"/>
        </a:ln>
        <a:effectLst/>
        <a:scene3d>
          <a:camera prst="orthographicFront"/>
          <a:lightRig rig="threePt" dir="t"/>
        </a:scene3d>
        <a:sp3d>
          <a:bevelT w="152400" h="50800" prst="softRound"/>
        </a:sp3d>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pt-PT" sz="2000" kern="1200" dirty="0" err="1" smtClean="0">
              <a:effectLst>
                <a:outerShdw blurRad="38100" dist="38100" dir="2700000" algn="tl">
                  <a:srgbClr val="000000">
                    <a:alpha val="43137"/>
                  </a:srgbClr>
                </a:outerShdw>
              </a:effectLst>
            </a:rPr>
            <a:t>Ext</a:t>
          </a:r>
          <a:r>
            <a:rPr lang="pt-PT" sz="2000" kern="1200" dirty="0" smtClean="0">
              <a:effectLst>
                <a:outerShdw blurRad="38100" dist="38100" dir="2700000" algn="tl">
                  <a:srgbClr val="000000">
                    <a:alpha val="43137"/>
                  </a:srgbClr>
                </a:outerShdw>
              </a:effectLst>
            </a:rPr>
            <a:t>. Permeado (Retido)</a:t>
          </a:r>
          <a:endParaRPr lang="pt-PT" sz="2000" kern="1200" dirty="0">
            <a:effectLst>
              <a:outerShdw blurRad="38100" dist="38100" dir="2700000" algn="tl">
                <a:srgbClr val="000000">
                  <a:alpha val="43137"/>
                </a:srgbClr>
              </a:outerShdw>
            </a:effectLst>
          </a:endParaRPr>
        </a:p>
      </dsp:txBody>
      <dsp:txXfrm>
        <a:off x="617182" y="2362089"/>
        <a:ext cx="1510695" cy="944184"/>
      </dsp:txXfrm>
    </dsp:sp>
    <dsp:sp modelId="{92BB4524-8950-4CF9-97AF-DC4100BBC646}">
      <dsp:nvSpPr>
        <dsp:cNvPr id="0" name=""/>
        <dsp:cNvSpPr/>
      </dsp:nvSpPr>
      <dsp:spPr>
        <a:xfrm>
          <a:off x="2599970" y="1627"/>
          <a:ext cx="1888369" cy="944184"/>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52400" h="50800" prst="softRound"/>
        </a:sp3d>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pt-PT" sz="2000" b="1" kern="1200" dirty="0" smtClean="0">
              <a:solidFill>
                <a:schemeClr val="tx2">
                  <a:lumMod val="50000"/>
                </a:schemeClr>
              </a:solidFill>
              <a:effectLst>
                <a:outerShdw blurRad="38100" dist="38100" dir="2700000" algn="tl">
                  <a:srgbClr val="000000">
                    <a:alpha val="43137"/>
                  </a:srgbClr>
                </a:outerShdw>
              </a:effectLst>
            </a:rPr>
            <a:t>EXTRACTO RETIDO</a:t>
          </a:r>
          <a:endParaRPr lang="pt-PT" sz="2000" b="1" kern="1200" dirty="0">
            <a:solidFill>
              <a:schemeClr val="tx2">
                <a:lumMod val="50000"/>
              </a:schemeClr>
            </a:solidFill>
            <a:effectLst>
              <a:outerShdw blurRad="38100" dist="38100" dir="2700000" algn="tl">
                <a:srgbClr val="000000">
                  <a:alpha val="43137"/>
                </a:srgbClr>
              </a:outerShdw>
            </a:effectLst>
          </a:endParaRPr>
        </a:p>
      </dsp:txBody>
      <dsp:txXfrm>
        <a:off x="2599970" y="1627"/>
        <a:ext cx="1888369" cy="944184"/>
      </dsp:txXfrm>
    </dsp:sp>
    <dsp:sp modelId="{9B8C815D-DFD7-4975-AFFA-DB901B452DA4}">
      <dsp:nvSpPr>
        <dsp:cNvPr id="0" name=""/>
        <dsp:cNvSpPr/>
      </dsp:nvSpPr>
      <dsp:spPr>
        <a:xfrm>
          <a:off x="2788807" y="945811"/>
          <a:ext cx="188836" cy="708138"/>
        </a:xfrm>
        <a:custGeom>
          <a:avLst/>
          <a:gdLst/>
          <a:ahLst/>
          <a:cxnLst/>
          <a:rect l="0" t="0" r="0" b="0"/>
          <a:pathLst>
            <a:path>
              <a:moveTo>
                <a:pt x="0" y="0"/>
              </a:moveTo>
              <a:lnTo>
                <a:pt x="0" y="708138"/>
              </a:lnTo>
              <a:lnTo>
                <a:pt x="188836" y="708138"/>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scene3d>
        <a:sp3d>
          <a:bevelT w="152400" h="50800" prst="softRound"/>
        </a:sp3d>
      </dsp:spPr>
      <dsp:style>
        <a:lnRef idx="2">
          <a:scrgbClr r="0" g="0" b="0"/>
        </a:lnRef>
        <a:fillRef idx="0">
          <a:scrgbClr r="0" g="0" b="0"/>
        </a:fillRef>
        <a:effectRef idx="0">
          <a:scrgbClr r="0" g="0" b="0"/>
        </a:effectRef>
        <a:fontRef idx="minor"/>
      </dsp:style>
    </dsp:sp>
    <dsp:sp modelId="{F70AB28A-EB30-4571-A95E-04FBF53EA7D7}">
      <dsp:nvSpPr>
        <dsp:cNvPr id="0" name=""/>
        <dsp:cNvSpPr/>
      </dsp:nvSpPr>
      <dsp:spPr>
        <a:xfrm>
          <a:off x="2977644" y="1181858"/>
          <a:ext cx="1510695" cy="944184"/>
        </a:xfrm>
        <a:prstGeom prst="roundRect">
          <a:avLst>
            <a:gd name="adj" fmla="val 10000"/>
          </a:avLst>
        </a:prstGeom>
        <a:solidFill>
          <a:srgbClr val="E1E9F7">
            <a:alpha val="90000"/>
          </a:srgbClr>
        </a:solidFill>
        <a:ln w="25400" cap="flat" cmpd="sng" algn="ctr">
          <a:solidFill>
            <a:schemeClr val="accent4">
              <a:hueOff val="-2976513"/>
              <a:satOff val="17933"/>
              <a:lumOff val="1437"/>
              <a:alphaOff val="0"/>
            </a:schemeClr>
          </a:solidFill>
          <a:prstDash val="solid"/>
        </a:ln>
        <a:effectLst/>
        <a:scene3d>
          <a:camera prst="orthographicFront"/>
          <a:lightRig rig="threePt" dir="t"/>
        </a:scene3d>
        <a:sp3d>
          <a:bevelT w="152400" h="50800" prst="softRound"/>
        </a:sp3d>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pt-PT" sz="2000" kern="1200" dirty="0" err="1" smtClean="0">
              <a:effectLst>
                <a:outerShdw blurRad="38100" dist="38100" dir="2700000" algn="tl">
                  <a:srgbClr val="000000">
                    <a:alpha val="43137"/>
                  </a:srgbClr>
                </a:outerShdw>
              </a:effectLst>
            </a:rPr>
            <a:t>Ext</a:t>
          </a:r>
          <a:r>
            <a:rPr lang="pt-PT" sz="2000" kern="1200" dirty="0" smtClean="0">
              <a:effectLst>
                <a:outerShdw blurRad="38100" dist="38100" dir="2700000" algn="tl">
                  <a:srgbClr val="000000">
                    <a:alpha val="43137"/>
                  </a:srgbClr>
                </a:outerShdw>
              </a:effectLst>
            </a:rPr>
            <a:t>. Retido (Permeado)</a:t>
          </a:r>
          <a:endParaRPr lang="pt-PT" sz="2000" kern="1200" dirty="0">
            <a:effectLst>
              <a:outerShdw blurRad="38100" dist="38100" dir="2700000" algn="tl">
                <a:srgbClr val="000000">
                  <a:alpha val="43137"/>
                </a:srgbClr>
              </a:outerShdw>
            </a:effectLst>
          </a:endParaRPr>
        </a:p>
      </dsp:txBody>
      <dsp:txXfrm>
        <a:off x="2977644" y="1181858"/>
        <a:ext cx="1510695" cy="944184"/>
      </dsp:txXfrm>
    </dsp:sp>
    <dsp:sp modelId="{5BF5A604-B3C7-4BBF-B1B5-782EC47DD648}">
      <dsp:nvSpPr>
        <dsp:cNvPr id="0" name=""/>
        <dsp:cNvSpPr/>
      </dsp:nvSpPr>
      <dsp:spPr>
        <a:xfrm>
          <a:off x="2788807" y="945811"/>
          <a:ext cx="188836" cy="1888369"/>
        </a:xfrm>
        <a:custGeom>
          <a:avLst/>
          <a:gdLst/>
          <a:ahLst/>
          <a:cxnLst/>
          <a:rect l="0" t="0" r="0" b="0"/>
          <a:pathLst>
            <a:path>
              <a:moveTo>
                <a:pt x="0" y="0"/>
              </a:moveTo>
              <a:lnTo>
                <a:pt x="0" y="1888369"/>
              </a:lnTo>
              <a:lnTo>
                <a:pt x="188836" y="188836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scene3d>
        <a:sp3d>
          <a:bevelT w="152400" h="50800" prst="softRound"/>
        </a:sp3d>
      </dsp:spPr>
      <dsp:style>
        <a:lnRef idx="2">
          <a:scrgbClr r="0" g="0" b="0"/>
        </a:lnRef>
        <a:fillRef idx="0">
          <a:scrgbClr r="0" g="0" b="0"/>
        </a:fillRef>
        <a:effectRef idx="0">
          <a:scrgbClr r="0" g="0" b="0"/>
        </a:effectRef>
        <a:fontRef idx="minor"/>
      </dsp:style>
    </dsp:sp>
    <dsp:sp modelId="{EFE20CBF-C932-4CFF-97B8-CA0FC6A74EC2}">
      <dsp:nvSpPr>
        <dsp:cNvPr id="0" name=""/>
        <dsp:cNvSpPr/>
      </dsp:nvSpPr>
      <dsp:spPr>
        <a:xfrm>
          <a:off x="2977644" y="2362089"/>
          <a:ext cx="1510695" cy="944184"/>
        </a:xfrm>
        <a:prstGeom prst="roundRect">
          <a:avLst>
            <a:gd name="adj" fmla="val 10000"/>
          </a:avLst>
        </a:prstGeom>
        <a:solidFill>
          <a:srgbClr val="E1E9F7">
            <a:alpha val="90000"/>
          </a:srgbClr>
        </a:solidFill>
        <a:ln w="25400" cap="flat" cmpd="sng" algn="ctr">
          <a:solidFill>
            <a:schemeClr val="accent4">
              <a:hueOff val="-4464770"/>
              <a:satOff val="26899"/>
              <a:lumOff val="2156"/>
              <a:alphaOff val="0"/>
            </a:schemeClr>
          </a:solidFill>
          <a:prstDash val="solid"/>
        </a:ln>
        <a:effectLst/>
        <a:scene3d>
          <a:camera prst="orthographicFront"/>
          <a:lightRig rig="threePt" dir="t"/>
        </a:scene3d>
        <a:sp3d>
          <a:bevelT w="152400" h="50800" prst="softRound"/>
        </a:sp3d>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pt-PT" sz="2000" kern="1200" dirty="0" err="1" smtClean="0">
              <a:effectLst>
                <a:outerShdw blurRad="38100" dist="38100" dir="2700000" algn="tl">
                  <a:srgbClr val="000000">
                    <a:alpha val="43137"/>
                  </a:srgbClr>
                </a:outerShdw>
              </a:effectLst>
            </a:rPr>
            <a:t>Ext</a:t>
          </a:r>
          <a:r>
            <a:rPr lang="pt-PT" sz="2000" kern="1200" dirty="0" smtClean="0">
              <a:effectLst>
                <a:outerShdw blurRad="38100" dist="38100" dir="2700000" algn="tl">
                  <a:srgbClr val="000000">
                    <a:alpha val="43137"/>
                  </a:srgbClr>
                </a:outerShdw>
              </a:effectLst>
            </a:rPr>
            <a:t>. Retido (Retido)</a:t>
          </a:r>
          <a:endParaRPr lang="pt-PT" sz="2000" kern="1200" dirty="0">
            <a:effectLst>
              <a:outerShdw blurRad="38100" dist="38100" dir="2700000" algn="tl">
                <a:srgbClr val="000000">
                  <a:alpha val="43137"/>
                </a:srgbClr>
              </a:outerShdw>
            </a:effectLst>
          </a:endParaRPr>
        </a:p>
      </dsp:txBody>
      <dsp:txXfrm>
        <a:off x="2977644" y="2362089"/>
        <a:ext cx="1510695" cy="9441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A0A27-672E-4601-888F-221AC331F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27342</Words>
  <Characters>147651</Characters>
  <Application>Microsoft Office Word</Application>
  <DocSecurity>0</DocSecurity>
  <Lines>1230</Lines>
  <Paragraphs>349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174644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Laurinha</cp:lastModifiedBy>
  <cp:revision>2</cp:revision>
  <cp:lastPrinted>2011-10-09T15:34:00Z</cp:lastPrinted>
  <dcterms:created xsi:type="dcterms:W3CDTF">2012-02-26T15:01:00Z</dcterms:created>
  <dcterms:modified xsi:type="dcterms:W3CDTF">2012-02-26T15:01:00Z</dcterms:modified>
</cp:coreProperties>
</file>