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44" w:rsidRPr="00E226EC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rFonts w:ascii="AdvimpSR" w:hAnsi="AdvimpSR" w:cs="AdvimpSR"/>
          <w:b/>
          <w:sz w:val="24"/>
          <w:szCs w:val="24"/>
          <w:lang w:val="en-US"/>
        </w:rPr>
      </w:pPr>
      <w:r w:rsidRPr="00E226EC">
        <w:rPr>
          <w:rFonts w:ascii="AdvimpSR-i" w:hAnsi="AdvimpSR-i" w:cs="AdvimpSR-i"/>
          <w:b/>
          <w:sz w:val="24"/>
          <w:szCs w:val="24"/>
          <w:lang w:val="en-US"/>
        </w:rPr>
        <w:t xml:space="preserve">In vitro </w:t>
      </w:r>
      <w:r w:rsidRPr="00E226EC">
        <w:rPr>
          <w:rFonts w:ascii="AdvimpSR" w:hAnsi="AdvimpSR" w:cs="AdvimpSR"/>
          <w:b/>
          <w:sz w:val="24"/>
          <w:szCs w:val="24"/>
          <w:lang w:val="en-US"/>
        </w:rPr>
        <w:t xml:space="preserve">efficacy of nitro- and </w:t>
      </w:r>
      <w:proofErr w:type="spellStart"/>
      <w:r w:rsidRPr="00E226EC">
        <w:rPr>
          <w:rFonts w:ascii="AdvimpSR" w:hAnsi="AdvimpSR" w:cs="AdvimpSR"/>
          <w:b/>
          <w:sz w:val="24"/>
          <w:szCs w:val="24"/>
          <w:lang w:val="en-US"/>
        </w:rPr>
        <w:t>bromo-thiazolyl-salicylamide</w:t>
      </w:r>
      <w:proofErr w:type="spellEnd"/>
      <w:r w:rsidRPr="00E226EC">
        <w:rPr>
          <w:rFonts w:ascii="AdvimpSR" w:hAnsi="AdvimpSR" w:cs="AdvimpSR"/>
          <w:b/>
          <w:sz w:val="24"/>
          <w:szCs w:val="24"/>
          <w:lang w:val="en-US"/>
        </w:rPr>
        <w:t xml:space="preserve"> </w:t>
      </w:r>
      <w:r w:rsidRPr="00E226EC">
        <w:rPr>
          <w:rFonts w:ascii="AdvimpSR" w:hAnsi="AdvimpSR" w:cs="AdvimpSR"/>
          <w:b/>
          <w:sz w:val="24"/>
          <w:szCs w:val="24"/>
          <w:lang w:val="en-US"/>
        </w:rPr>
        <w:t>compounds (</w:t>
      </w:r>
      <w:proofErr w:type="spellStart"/>
      <w:r w:rsidRPr="00E226EC">
        <w:rPr>
          <w:rFonts w:ascii="AdvimpSR" w:hAnsi="AdvimpSR" w:cs="AdvimpSR"/>
          <w:b/>
          <w:sz w:val="24"/>
          <w:szCs w:val="24"/>
          <w:lang w:val="en-US"/>
        </w:rPr>
        <w:t>thiazolides</w:t>
      </w:r>
      <w:proofErr w:type="spellEnd"/>
      <w:r w:rsidRPr="00E226EC">
        <w:rPr>
          <w:rFonts w:ascii="AdvimpSR" w:hAnsi="AdvimpSR" w:cs="AdvimpSR"/>
          <w:b/>
          <w:sz w:val="24"/>
          <w:szCs w:val="24"/>
          <w:lang w:val="en-US"/>
        </w:rPr>
        <w:t xml:space="preserve">) against </w:t>
      </w:r>
      <w:proofErr w:type="spellStart"/>
      <w:r w:rsidRPr="00E226EC">
        <w:rPr>
          <w:rFonts w:ascii="AdvimpSR-i" w:hAnsi="AdvimpSR-i" w:cs="AdvimpSR-i"/>
          <w:b/>
          <w:sz w:val="24"/>
          <w:szCs w:val="24"/>
          <w:lang w:val="en-US"/>
        </w:rPr>
        <w:t>Besnoitia</w:t>
      </w:r>
      <w:proofErr w:type="spellEnd"/>
      <w:r w:rsidRPr="00E226EC">
        <w:rPr>
          <w:rFonts w:ascii="AdvimpSR-i" w:hAnsi="AdvimpSR-i" w:cs="AdvimpSR-i"/>
          <w:b/>
          <w:sz w:val="24"/>
          <w:szCs w:val="24"/>
          <w:lang w:val="en-US"/>
        </w:rPr>
        <w:t xml:space="preserve"> </w:t>
      </w:r>
      <w:proofErr w:type="spellStart"/>
      <w:r w:rsidRPr="00E226EC">
        <w:rPr>
          <w:rFonts w:ascii="AdvimpSR-i" w:hAnsi="AdvimpSR-i" w:cs="AdvimpSR-i"/>
          <w:b/>
          <w:sz w:val="24"/>
          <w:szCs w:val="24"/>
          <w:lang w:val="en-US"/>
        </w:rPr>
        <w:t>besnoiti</w:t>
      </w:r>
      <w:proofErr w:type="spellEnd"/>
      <w:r w:rsidRPr="00E226EC">
        <w:rPr>
          <w:rFonts w:ascii="AdvimpSR-i" w:hAnsi="AdvimpSR-i" w:cs="AdvimpSR-i"/>
          <w:b/>
          <w:sz w:val="24"/>
          <w:szCs w:val="24"/>
          <w:lang w:val="en-US"/>
        </w:rPr>
        <w:t xml:space="preserve"> </w:t>
      </w:r>
      <w:r w:rsidRPr="00E226EC">
        <w:rPr>
          <w:rFonts w:ascii="AdvimpSR" w:hAnsi="AdvimpSR" w:cs="AdvimpSR"/>
          <w:b/>
          <w:sz w:val="24"/>
          <w:szCs w:val="24"/>
          <w:lang w:val="en-US"/>
        </w:rPr>
        <w:t>infection in Vero cells</w:t>
      </w:r>
    </w:p>
    <w:p w:rsidR="00D27644" w:rsidRPr="00D27644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rFonts w:ascii="AdvimpSR" w:hAnsi="AdvimpSR" w:cs="AdvimpSR"/>
          <w:sz w:val="24"/>
          <w:szCs w:val="24"/>
          <w:lang w:val="en-US"/>
        </w:rPr>
      </w:pPr>
    </w:p>
    <w:p w:rsidR="00D27644" w:rsidRPr="00D27644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rFonts w:ascii="AdvimpSR" w:hAnsi="AdvimpSR" w:cs="AdvimpSR"/>
          <w:sz w:val="24"/>
          <w:szCs w:val="24"/>
          <w:lang w:val="en-US"/>
        </w:rPr>
      </w:pPr>
      <w:r w:rsidRPr="00D27644">
        <w:rPr>
          <w:rFonts w:ascii="AdvimpSR" w:hAnsi="AdvimpSR" w:cs="AdvimpSR"/>
          <w:sz w:val="24"/>
          <w:szCs w:val="24"/>
          <w:lang w:val="en-US"/>
        </w:rPr>
        <w:t>SUMMARY</w:t>
      </w:r>
    </w:p>
    <w:p w:rsidR="00D27644" w:rsidRPr="00D27644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rFonts w:ascii="AdvimpSR" w:hAnsi="AdvimpSR" w:cs="AdvimpSR"/>
          <w:sz w:val="24"/>
          <w:szCs w:val="24"/>
          <w:lang w:val="en-US"/>
        </w:rPr>
      </w:pP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Nitazoxanide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(NTZ) and its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deacetylated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metabolite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tizoxanide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(TIZ) exhibit considerable </w:t>
      </w:r>
      <w:r w:rsidRPr="00D27644">
        <w:rPr>
          <w:rFonts w:ascii="AdvimpSR-i" w:hAnsi="AdvimpSR-i" w:cs="AdvimpSR-i"/>
          <w:sz w:val="24"/>
          <w:szCs w:val="24"/>
          <w:lang w:val="en-US"/>
        </w:rPr>
        <w:t xml:space="preserve">in vitro </w:t>
      </w:r>
      <w:r w:rsidRPr="00D27644">
        <w:rPr>
          <w:rFonts w:ascii="AdvimpSR" w:hAnsi="AdvimpSR" w:cs="AdvimpSR"/>
          <w:sz w:val="24"/>
          <w:szCs w:val="24"/>
          <w:lang w:val="en-US"/>
        </w:rPr>
        <w:t>activity against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Besnoitia</w:t>
      </w:r>
      <w:proofErr w:type="spellEnd"/>
      <w:r w:rsidRPr="00D27644">
        <w:rPr>
          <w:rFonts w:ascii="AdvimpSR-i" w:hAnsi="AdvimpSR-i" w:cs="AdvimpSR-i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</w:t>
      </w:r>
      <w:proofErr w:type="spellEnd"/>
      <w:r w:rsidRPr="00D27644">
        <w:rPr>
          <w:rFonts w:ascii="AdvimpSR-i" w:hAnsi="AdvimpSR-i" w:cs="AdvimpSR-i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tachyzoites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grown in Vero cells. Real-time-PCR was used to assess </w:t>
      </w:r>
      <w:r w:rsidRPr="00D27644">
        <w:rPr>
          <w:rFonts w:ascii="AdvimpSR-i" w:hAnsi="AdvimpSR-i" w:cs="AdvimpSR-i"/>
          <w:sz w:val="24"/>
          <w:szCs w:val="24"/>
          <w:lang w:val="en-US"/>
        </w:rPr>
        <w:t xml:space="preserve">B.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</w:t>
      </w:r>
      <w:proofErr w:type="spellEnd"/>
      <w:r w:rsidRPr="00D27644">
        <w:rPr>
          <w:rFonts w:ascii="AdvimpSR-i" w:hAnsi="AdvimpSR-i" w:cs="AdvimpSR-i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tachyzoite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adhesion,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invasion, and intracellular proliferation </w:t>
      </w:r>
      <w:r w:rsidRPr="00D27644">
        <w:rPr>
          <w:rFonts w:ascii="AdvimpSR-i" w:hAnsi="AdvimpSR-i" w:cs="AdvimpSR-i"/>
          <w:sz w:val="24"/>
          <w:szCs w:val="24"/>
          <w:lang w:val="en-US"/>
        </w:rPr>
        <w:t>in vitro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. A number of NTZ-derivatives, including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Rm4822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and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Rm4803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, were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generated, in which the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thiazole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-ring-associated nitro-group</w:t>
      </w:r>
      <w:bookmarkStart w:id="0" w:name="_GoBack"/>
      <w:bookmarkEnd w:id="0"/>
      <w:r w:rsidRPr="00D27644">
        <w:rPr>
          <w:rFonts w:ascii="AdvimpSR" w:hAnsi="AdvimpSR" w:cs="AdvimpSR"/>
          <w:sz w:val="24"/>
          <w:szCs w:val="24"/>
          <w:lang w:val="en-US"/>
        </w:rPr>
        <w:t xml:space="preserve"> was replaced by a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bromo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-moiety. We here show that replacement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of the nitro-group on the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thiazole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ring with a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bromo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(as it occurs in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Rm4822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) does not impair the efficacy of the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drug, but methylation of the salicylate ring at the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ortho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-position in a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bromo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-derivative (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Rm4803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) results in complete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abrogation of the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antiparasitic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activity. Treatment of extracellular </w:t>
      </w:r>
      <w:r w:rsidRPr="00D27644">
        <w:rPr>
          <w:rFonts w:ascii="AdvimpSR-i" w:hAnsi="AdvimpSR-i" w:cs="AdvimpSR-i"/>
          <w:sz w:val="24"/>
          <w:szCs w:val="24"/>
          <w:lang w:val="en-US"/>
        </w:rPr>
        <w:t xml:space="preserve">B.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</w:t>
      </w:r>
      <w:proofErr w:type="spellEnd"/>
      <w:r w:rsidRPr="00D27644">
        <w:rPr>
          <w:rFonts w:ascii="AdvimpSR-i" w:hAnsi="AdvimpSR-i" w:cs="AdvimpSR-i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tachyzoites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with NTZ has an inhibitory effect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on host cell invasion, while treatments with TIZ,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Rm4822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do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not.TEMdemonstrates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that the effects of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Rm4822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treatment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>upon the parasites are similar to the damage induced by NTZ. This includes increased vacuolization of the parasite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cytoplasm, and loss of the structural integrity of the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parasitophorous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 vacuole and its membrane. Thus,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Rm4822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, due to the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>absence of a potentially mutagenic nitro-group, may represent an important potential addition to the anti-parasitic arsenal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  <w:r w:rsidRPr="00D27644">
        <w:rPr>
          <w:rFonts w:ascii="AdvimpSR" w:hAnsi="AdvimpSR" w:cs="AdvimpSR"/>
          <w:sz w:val="24"/>
          <w:szCs w:val="24"/>
          <w:lang w:val="en-US"/>
        </w:rPr>
        <w:t>for food animal production, especially in cattle.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 </w:t>
      </w:r>
    </w:p>
    <w:p w:rsidR="00D27644" w:rsidRPr="00D27644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rFonts w:ascii="AdvimpSR" w:hAnsi="AdvimpSR" w:cs="AdvimpSR"/>
          <w:sz w:val="24"/>
          <w:szCs w:val="24"/>
          <w:lang w:val="en-US"/>
        </w:rPr>
      </w:pPr>
    </w:p>
    <w:p w:rsidR="003304CC" w:rsidRPr="00D27644" w:rsidRDefault="00D27644" w:rsidP="00E226E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D27644">
        <w:rPr>
          <w:rFonts w:ascii="AdvimpSR" w:hAnsi="AdvimpSR" w:cs="AdvimpSR"/>
          <w:sz w:val="24"/>
          <w:szCs w:val="24"/>
          <w:lang w:val="en-US"/>
        </w:rPr>
        <w:t xml:space="preserve">Key words: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thiazolides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,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Besnoitia</w:t>
      </w:r>
      <w:proofErr w:type="spellEnd"/>
      <w:r w:rsidRPr="00D27644">
        <w:rPr>
          <w:rFonts w:ascii="AdvimpSR-i" w:hAnsi="AdvimpSR-i" w:cs="AdvimpSR-i"/>
          <w:sz w:val="24"/>
          <w:szCs w:val="24"/>
          <w:lang w:val="en-US"/>
        </w:rPr>
        <w:t xml:space="preserve"> </w:t>
      </w:r>
      <w:proofErr w:type="spellStart"/>
      <w:r w:rsidRPr="00D27644">
        <w:rPr>
          <w:rFonts w:ascii="AdvimpSR-i" w:hAnsi="AdvimpSR-i" w:cs="AdvimpSR-i"/>
          <w:sz w:val="24"/>
          <w:szCs w:val="24"/>
          <w:lang w:val="en-US"/>
        </w:rPr>
        <w:t>besnoiti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 xml:space="preserve">, </w:t>
      </w:r>
      <w:r w:rsidRPr="00D27644">
        <w:rPr>
          <w:rFonts w:ascii="AdvimpSR-i" w:hAnsi="AdvimpSR-i" w:cs="AdvimpSR-i"/>
          <w:sz w:val="24"/>
          <w:szCs w:val="24"/>
          <w:lang w:val="en-US"/>
        </w:rPr>
        <w:t xml:space="preserve">in vitro </w:t>
      </w:r>
      <w:r w:rsidRPr="00D27644">
        <w:rPr>
          <w:rFonts w:ascii="AdvimpSR" w:hAnsi="AdvimpSR" w:cs="AdvimpSR"/>
          <w:sz w:val="24"/>
          <w:szCs w:val="24"/>
          <w:lang w:val="en-US"/>
        </w:rPr>
        <w:t xml:space="preserve">drug treatment, </w:t>
      </w:r>
      <w:proofErr w:type="spellStart"/>
      <w:r w:rsidRPr="00D27644">
        <w:rPr>
          <w:rFonts w:ascii="AdvimpSR" w:hAnsi="AdvimpSR" w:cs="AdvimpSR"/>
          <w:sz w:val="24"/>
          <w:szCs w:val="24"/>
          <w:lang w:val="en-US"/>
        </w:rPr>
        <w:t>besnoitiosis</w:t>
      </w:r>
      <w:proofErr w:type="spellEnd"/>
      <w:r w:rsidRPr="00D27644">
        <w:rPr>
          <w:rFonts w:ascii="AdvimpSR" w:hAnsi="AdvimpSR" w:cs="AdvimpSR"/>
          <w:sz w:val="24"/>
          <w:szCs w:val="24"/>
          <w:lang w:val="en-US"/>
        </w:rPr>
        <w:t>.</w:t>
      </w:r>
    </w:p>
    <w:sectPr w:rsidR="003304CC" w:rsidRPr="00D27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impS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impSR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1C"/>
    <w:rsid w:val="003304CC"/>
    <w:rsid w:val="00CB601C"/>
    <w:rsid w:val="00D27644"/>
    <w:rsid w:val="00E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Cortes</dc:creator>
  <cp:keywords/>
  <dc:description/>
  <cp:lastModifiedBy>Helder Cortes</cp:lastModifiedBy>
  <cp:revision>3</cp:revision>
  <dcterms:created xsi:type="dcterms:W3CDTF">2012-01-16T22:39:00Z</dcterms:created>
  <dcterms:modified xsi:type="dcterms:W3CDTF">2012-01-16T22:41:00Z</dcterms:modified>
</cp:coreProperties>
</file>