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97" w:rsidRPr="0035397F" w:rsidRDefault="006B6897" w:rsidP="0007315C"/>
    <w:p w:rsidR="0035397F" w:rsidRDefault="0035397F" w:rsidP="0007315C">
      <w:r>
        <w:t xml:space="preserve">              </w:t>
      </w:r>
      <w:r w:rsidRPr="0035397F">
        <w:t xml:space="preserve">Leituras de José Rodrigues </w:t>
      </w:r>
      <w:proofErr w:type="gramStart"/>
      <w:r w:rsidRPr="0035397F">
        <w:t>Miguéis</w:t>
      </w:r>
      <w:proofErr w:type="gramEnd"/>
      <w:r w:rsidR="008F01AB">
        <w:t xml:space="preserve"> pelo Cinema e pela Crítica</w:t>
      </w:r>
      <w:r>
        <w:t>:</w:t>
      </w:r>
    </w:p>
    <w:p w:rsidR="0035397F" w:rsidRPr="0035397F" w:rsidRDefault="0035397F" w:rsidP="0007315C">
      <w:r>
        <w:t xml:space="preserve">                 – </w:t>
      </w:r>
      <w:r w:rsidRPr="0035397F">
        <w:t>Enquadramentos Históricos, Reavaliações e Transposições</w:t>
      </w:r>
    </w:p>
    <w:p w:rsidR="0035397F" w:rsidRDefault="008F01AB" w:rsidP="0007315C">
      <w:r>
        <w:t xml:space="preserve">                </w:t>
      </w:r>
    </w:p>
    <w:p w:rsidR="008F01AB" w:rsidRDefault="008F01AB" w:rsidP="0007315C">
      <w:r>
        <w:t xml:space="preserve">                </w:t>
      </w:r>
      <w:r w:rsidR="00CD42C4">
        <w:t xml:space="preserve"> </w:t>
      </w:r>
      <w:r>
        <w:t xml:space="preserve">                Carlos J. F. Jorge (Universidade de Évora)</w:t>
      </w:r>
    </w:p>
    <w:p w:rsidR="0035397F" w:rsidRDefault="0035397F" w:rsidP="0007315C"/>
    <w:p w:rsidR="0035397F" w:rsidRDefault="0035397F" w:rsidP="0007315C"/>
    <w:p w:rsidR="0035397F" w:rsidRDefault="0035397F" w:rsidP="0007315C"/>
    <w:p w:rsidR="0035397F" w:rsidRDefault="0035397F" w:rsidP="0007315C"/>
    <w:p w:rsidR="00203E17" w:rsidRDefault="0035397F" w:rsidP="0007315C">
      <w:r>
        <w:rPr>
          <w:b/>
          <w:sz w:val="28"/>
          <w:szCs w:val="28"/>
        </w:rPr>
        <w:t xml:space="preserve">     </w:t>
      </w:r>
      <w:r w:rsidRPr="0035397F">
        <w:t>Como</w:t>
      </w:r>
      <w:r w:rsidRPr="0035397F">
        <w:rPr>
          <w:b/>
        </w:rPr>
        <w:t xml:space="preserve"> </w:t>
      </w:r>
      <w:r w:rsidRPr="0035397F">
        <w:t>alguns outros</w:t>
      </w:r>
      <w:r>
        <w:t xml:space="preserve"> grandes </w:t>
      </w:r>
      <w:r w:rsidRPr="0035397F">
        <w:t>nomes</w:t>
      </w:r>
      <w:r>
        <w:t xml:space="preserve"> da nossa literatura</w:t>
      </w:r>
      <w:r w:rsidR="00306481">
        <w:t>,</w:t>
      </w:r>
      <w:r>
        <w:t xml:space="preserve"> nascidos entre finais do século</w:t>
      </w:r>
      <w:r w:rsidR="00223DEF">
        <w:t xml:space="preserve"> XIX e os primeiros anos do século passado, Miguéis é, muitas vezes, esquecido, nos panoramas histórico culturais que trabalham, quase sempre, numa busca de método e compreensão, por agrupamentos periodológicos, ou mal entendido (ou mesmo </w:t>
      </w:r>
      <w:proofErr w:type="spellStart"/>
      <w:r w:rsidR="00223DEF" w:rsidRPr="00223DEF">
        <w:rPr>
          <w:i/>
        </w:rPr>
        <w:t>mal-lido</w:t>
      </w:r>
      <w:proofErr w:type="spellEnd"/>
      <w:r w:rsidR="00223DEF">
        <w:t xml:space="preserve">, no sentido </w:t>
      </w:r>
      <w:proofErr w:type="spellStart"/>
      <w:r w:rsidR="00223DEF">
        <w:t>bloomiano</w:t>
      </w:r>
      <w:proofErr w:type="spellEnd"/>
      <w:r w:rsidR="00223DEF">
        <w:t xml:space="preserve"> do termo), na sua postura ideológica e crítica, segundo inserções e valorizações apologéticas que o lêem numa singularidade</w:t>
      </w:r>
      <w:r w:rsidR="00B63041">
        <w:t xml:space="preserve"> mitificante de excepcionalidade exemplar. Quanto a esses aspectos, podemos dizer que emparelha, quase completamente, com dois dos vultos mais da nossa literatura seus contemporâneos: Ferreira de Castro e Aquilino Ribeiro. O que os poderá unir, no sentido positivo, é um encontro nem sempre harmonioso</w:t>
      </w:r>
      <w:r w:rsidR="007155FA">
        <w:t>,</w:t>
      </w:r>
      <w:r w:rsidR="00B63041">
        <w:t xml:space="preserve"> em torno da </w:t>
      </w:r>
      <w:r w:rsidR="00B63041" w:rsidRPr="00B63041">
        <w:rPr>
          <w:i/>
        </w:rPr>
        <w:t>Seara Nova</w:t>
      </w:r>
      <w:r w:rsidR="00B63041">
        <w:t xml:space="preserve"> e, em sentido negativo, a tendência para se manterem esquivos a </w:t>
      </w:r>
      <w:r w:rsidR="001205CF" w:rsidRPr="001205CF">
        <w:rPr>
          <w:i/>
        </w:rPr>
        <w:t xml:space="preserve">grupos </w:t>
      </w:r>
      <w:r w:rsidR="001205CF">
        <w:t xml:space="preserve">e </w:t>
      </w:r>
      <w:r w:rsidR="001205CF" w:rsidRPr="001205CF">
        <w:rPr>
          <w:i/>
        </w:rPr>
        <w:t>movimentos</w:t>
      </w:r>
      <w:r w:rsidR="001205CF">
        <w:t xml:space="preserve">. Com eles emparceiram também, por esta última razão, outros nomes contemporâneos, como José Gomes Ferreira e Irene Lisboa, que gravitam, </w:t>
      </w:r>
      <w:proofErr w:type="spellStart"/>
      <w:r w:rsidR="001205CF" w:rsidRPr="001205CF">
        <w:rPr>
          <w:i/>
        </w:rPr>
        <w:t>desenquadradamente</w:t>
      </w:r>
      <w:proofErr w:type="spellEnd"/>
      <w:r w:rsidR="001205CF">
        <w:t xml:space="preserve">, em torno de </w:t>
      </w:r>
      <w:r w:rsidR="001205CF" w:rsidRPr="001205CF">
        <w:rPr>
          <w:i/>
        </w:rPr>
        <w:t>enquadramentos</w:t>
      </w:r>
      <w:r w:rsidR="001205CF">
        <w:t xml:space="preserve"> que marcaram a época – sobretudo o </w:t>
      </w:r>
      <w:r w:rsidR="001205CF" w:rsidRPr="001205CF">
        <w:rPr>
          <w:i/>
        </w:rPr>
        <w:t>segundo modernismo</w:t>
      </w:r>
      <w:r w:rsidR="001205CF">
        <w:t xml:space="preserve">, o da </w:t>
      </w:r>
      <w:r w:rsidR="001205CF">
        <w:rPr>
          <w:i/>
        </w:rPr>
        <w:t>Presença</w:t>
      </w:r>
      <w:r w:rsidR="001205CF">
        <w:t xml:space="preserve">, e o </w:t>
      </w:r>
      <w:r w:rsidR="001205CF" w:rsidRPr="001205CF">
        <w:rPr>
          <w:i/>
        </w:rPr>
        <w:t>neo-realismo</w:t>
      </w:r>
      <w:r w:rsidR="001205CF">
        <w:t xml:space="preserve">, mas também o </w:t>
      </w:r>
      <w:r w:rsidR="001205CF" w:rsidRPr="001205CF">
        <w:rPr>
          <w:i/>
        </w:rPr>
        <w:t>naturalismo</w:t>
      </w:r>
      <w:r w:rsidR="001205CF">
        <w:t xml:space="preserve">, o </w:t>
      </w:r>
      <w:r w:rsidR="001205CF" w:rsidRPr="001205CF">
        <w:rPr>
          <w:i/>
        </w:rPr>
        <w:t>primeiro modernismo</w:t>
      </w:r>
      <w:r w:rsidR="001205CF">
        <w:t xml:space="preserve"> e mesmo o </w:t>
      </w:r>
      <w:r w:rsidR="001205CF" w:rsidRPr="00203E17">
        <w:rPr>
          <w:i/>
        </w:rPr>
        <w:t>surrealismo</w:t>
      </w:r>
      <w:r w:rsidR="00203E17">
        <w:t>.</w:t>
      </w:r>
    </w:p>
    <w:p w:rsidR="008E046C" w:rsidRDefault="00203E17" w:rsidP="0007315C">
      <w:r>
        <w:t xml:space="preserve">    Na sexta edição da </w:t>
      </w:r>
      <w:r w:rsidRPr="00203E17">
        <w:rPr>
          <w:i/>
        </w:rPr>
        <w:t xml:space="preserve">História da Literatura Portuguesa </w:t>
      </w:r>
      <w:r>
        <w:t>de que é co-autor, juntamente com António José Saraiva, Óscar Lopes considera</w:t>
      </w:r>
      <w:r w:rsidR="00D27F43">
        <w:t xml:space="preserve"> Miguéis</w:t>
      </w:r>
      <w:r>
        <w:t xml:space="preserve"> o “ficcionista mais importante daquilo que designamos por realismo ético”</w:t>
      </w:r>
      <w:r w:rsidR="0098119D">
        <w:t xml:space="preserve"> (s/d [196-], 1058). Caracterizando e historiando esse</w:t>
      </w:r>
      <w:r>
        <w:t xml:space="preserve"> </w:t>
      </w:r>
      <w:r w:rsidR="0098119D">
        <w:t xml:space="preserve">tipo de realismo, diz o autor, no mesmo texto, que os autores que inclui nesse grupo deveriam, por nascimento, “aproximar-se da geração </w:t>
      </w:r>
      <w:proofErr w:type="spellStart"/>
      <w:r w:rsidR="0098119D" w:rsidRPr="0098119D">
        <w:rPr>
          <w:i/>
        </w:rPr>
        <w:t>presencista</w:t>
      </w:r>
      <w:proofErr w:type="spellEnd"/>
      <w:r w:rsidR="0098119D">
        <w:rPr>
          <w:i/>
        </w:rPr>
        <w:t xml:space="preserve"> </w:t>
      </w:r>
      <w:r w:rsidR="006C799D">
        <w:t>[…]; mas devido a condições óbvias que os isolaram ou inibir</w:t>
      </w:r>
      <w:r w:rsidR="007155FA">
        <w:t>am no decénio de 30, a sua obra</w:t>
      </w:r>
      <w:r w:rsidR="006C799D">
        <w:t xml:space="preserve"> mais significativa coincide com o advento do neo-realismo e está condicionada, se não directamente por ele, quando menos pelos factores históricos que </w:t>
      </w:r>
      <w:proofErr w:type="gramStart"/>
      <w:r w:rsidR="006C799D">
        <w:lastRenderedPageBreak/>
        <w:t>lhe(s</w:t>
      </w:r>
      <w:proofErr w:type="gramEnd"/>
      <w:r w:rsidR="006C799D">
        <w:t>) são comuns”(s/d</w:t>
      </w:r>
      <w:r w:rsidR="00A30449">
        <w:t>:</w:t>
      </w:r>
      <w:r w:rsidR="006C799D">
        <w:t xml:space="preserve"> 1057</w:t>
      </w:r>
      <w:r w:rsidR="00117452">
        <w:t>)</w:t>
      </w:r>
      <w:r w:rsidR="006C799D">
        <w:t>. Esta oscilação de pendores, entre um esteticismo modernista e uma moral de intervenção social</w:t>
      </w:r>
      <w:r w:rsidR="007155FA">
        <w:t>,</w:t>
      </w:r>
      <w:r w:rsidR="006C799D">
        <w:t xml:space="preserve"> tê-los-á levado a uma busca de unidade “entre certos valores</w:t>
      </w:r>
      <w:r w:rsidR="00117452">
        <w:t xml:space="preserve"> estéticos e certos valores éticos”, </w:t>
      </w:r>
      <w:r w:rsidR="00A30449">
        <w:t>atreves de</w:t>
      </w:r>
      <w:r w:rsidR="00117452">
        <w:t xml:space="preserve"> uma prática literária que Óscar Lopes designa por “realismo ético”, o qual se demarca de um “certo </w:t>
      </w:r>
      <w:proofErr w:type="spellStart"/>
      <w:r w:rsidR="00D27F43">
        <w:t>introspectivismo</w:t>
      </w:r>
      <w:proofErr w:type="spellEnd"/>
      <w:r w:rsidR="00D27F43">
        <w:t xml:space="preserve">, certo </w:t>
      </w:r>
      <w:proofErr w:type="spellStart"/>
      <w:r w:rsidR="00D27F43">
        <w:t>m</w:t>
      </w:r>
      <w:r w:rsidR="00117452">
        <w:t>etafisicismo</w:t>
      </w:r>
      <w:proofErr w:type="spellEnd"/>
      <w:r w:rsidR="00117452">
        <w:t xml:space="preserve"> grandiloquente </w:t>
      </w:r>
      <w:r w:rsidR="008E046C">
        <w:t>alternativos</w:t>
      </w:r>
      <w:r w:rsidR="00117452">
        <w:t xml:space="preserve"> em </w:t>
      </w:r>
      <w:r w:rsidR="00117452">
        <w:rPr>
          <w:i/>
        </w:rPr>
        <w:t>Presença</w:t>
      </w:r>
      <w:r w:rsidR="00117452">
        <w:t>”</w:t>
      </w:r>
      <w:r w:rsidR="00A30449">
        <w:t>,</w:t>
      </w:r>
      <w:r w:rsidR="00117452">
        <w:t xml:space="preserve"> por um lado “e, por outro lado</w:t>
      </w:r>
      <w:r w:rsidR="00A30449">
        <w:t>,</w:t>
      </w:r>
      <w:r w:rsidR="00117452">
        <w:t>” do “neo-realismo</w:t>
      </w:r>
      <w:r w:rsidR="00A30449">
        <w:t xml:space="preserve">, que encara as relações humanas como obedecendo a leis objectivas, consistindo a superação humana em delas se aperceber e tirar partido”, para se constituir como “um realismo social, em que o indivíduo figura, não como inatamente singular, nem como um modo transitório do Adão universal, mas como uma singularidade circunstancial e evolutiva” manifestando-se pela “afirmação de uma lei moral subjectiva e oposta à lei objectivamente </w:t>
      </w:r>
      <w:proofErr w:type="spellStart"/>
      <w:r w:rsidR="00A30449">
        <w:t>histórico-sociológica</w:t>
      </w:r>
      <w:proofErr w:type="spellEnd"/>
      <w:r w:rsidR="00A30449">
        <w:t>” (pp. 1057-1058)</w:t>
      </w:r>
      <w:r w:rsidR="008E046C">
        <w:t>.</w:t>
      </w:r>
    </w:p>
    <w:p w:rsidR="00B82DD9" w:rsidRDefault="008E046C" w:rsidP="0007315C">
      <w:r>
        <w:t xml:space="preserve">   </w:t>
      </w:r>
      <w:r w:rsidR="00117452">
        <w:t xml:space="preserve">  </w:t>
      </w:r>
      <w:r>
        <w:t xml:space="preserve">Repare-se que este é um texto escrito numa época em que era difícil falar de “certas coisas” em Portugal. Não era </w:t>
      </w:r>
      <w:r w:rsidR="00E95E29">
        <w:t>muito viável</w:t>
      </w:r>
      <w:r>
        <w:t xml:space="preserve"> um professor de liceu de então, que Óscar Lopes era, </w:t>
      </w:r>
      <w:r w:rsidR="0093263F">
        <w:t>elaborar</w:t>
      </w:r>
      <w:r>
        <w:t xml:space="preserve"> explicações muito extensas e completas sobre o que era o neo-realismo, como é que se poderia colocar no quadro da cultura e do conhecimento, do ponto de vista ideológico, aquilo a que ele chamava o “realismo ético”, pois teria de se evocar um paradigma marxista</w:t>
      </w:r>
      <w:r w:rsidR="00E95E29">
        <w:t>,</w:t>
      </w:r>
      <w:r w:rsidR="0093263F">
        <w:t xml:space="preserve"> para lhe poder contrapor um </w:t>
      </w:r>
      <w:proofErr w:type="spellStart"/>
      <w:r w:rsidR="0093263F">
        <w:t>kantismo</w:t>
      </w:r>
      <w:proofErr w:type="spellEnd"/>
      <w:r w:rsidR="0093263F">
        <w:t xml:space="preserve"> ou um </w:t>
      </w:r>
      <w:proofErr w:type="spellStart"/>
      <w:r w:rsidR="0093263F">
        <w:t>neo-kantismo</w:t>
      </w:r>
      <w:proofErr w:type="spellEnd"/>
      <w:r w:rsidR="0093263F">
        <w:t xml:space="preserve">, assim como explicar mais miudamente de que modo é que modernismo era psicologista e metafísico em oposição a perspectivas sobre o homem mais atentas às constantes materiais, e, em suma, os paradigmas </w:t>
      </w:r>
      <w:proofErr w:type="spellStart"/>
      <w:r w:rsidR="0093263F">
        <w:t>lukacsianos</w:t>
      </w:r>
      <w:proofErr w:type="spellEnd"/>
      <w:r w:rsidR="0093263F">
        <w:t xml:space="preserve"> do “modernismo” e do “realismo crítico” se opunham ou se articulavam com o de “realismo socialista”. Assim, o </w:t>
      </w:r>
      <w:proofErr w:type="spellStart"/>
      <w:r w:rsidR="0093263F">
        <w:t>ensombramento</w:t>
      </w:r>
      <w:proofErr w:type="spellEnd"/>
      <w:r w:rsidR="0093263F">
        <w:t xml:space="preserve"> de alguma dúvida</w:t>
      </w:r>
      <w:r w:rsidR="00AF2B45">
        <w:t xml:space="preserve"> quanto à dimensão axiológica</w:t>
      </w:r>
      <w:r w:rsidR="0093263F">
        <w:t xml:space="preserve"> recai sobre a</w:t>
      </w:r>
      <w:r w:rsidR="00AF2B45">
        <w:t>s</w:t>
      </w:r>
      <w:r w:rsidR="0093263F">
        <w:t xml:space="preserve"> sua</w:t>
      </w:r>
      <w:r w:rsidR="00AF2B45">
        <w:t>s</w:t>
      </w:r>
      <w:r w:rsidR="0093263F">
        <w:t xml:space="preserve"> primeira</w:t>
      </w:r>
      <w:r w:rsidR="00AF2B45">
        <w:t>s</w:t>
      </w:r>
      <w:r w:rsidR="0093263F">
        <w:t xml:space="preserve"> novela</w:t>
      </w:r>
      <w:r w:rsidR="00AF2B45">
        <w:t>s</w:t>
      </w:r>
      <w:r w:rsidR="0093263F">
        <w:t xml:space="preserve">, </w:t>
      </w:r>
      <w:r w:rsidR="00C31BC5">
        <w:rPr>
          <w:i/>
        </w:rPr>
        <w:t>Páscoa Feliz</w:t>
      </w:r>
      <w:r w:rsidR="00C31BC5">
        <w:t xml:space="preserve"> de 1932</w:t>
      </w:r>
      <w:r w:rsidR="00FB44FE">
        <w:t>,</w:t>
      </w:r>
      <w:r w:rsidR="00C31BC5">
        <w:t xml:space="preserve"> e</w:t>
      </w:r>
      <w:r w:rsidR="00C31BC5">
        <w:rPr>
          <w:i/>
        </w:rPr>
        <w:t xml:space="preserve"> </w:t>
      </w:r>
      <w:r w:rsidR="0093263F">
        <w:rPr>
          <w:i/>
        </w:rPr>
        <w:t>S</w:t>
      </w:r>
      <w:r w:rsidR="00AF2B45">
        <w:rPr>
          <w:i/>
        </w:rPr>
        <w:t xml:space="preserve">audades para </w:t>
      </w:r>
      <w:proofErr w:type="gramStart"/>
      <w:r w:rsidR="00AF2B45">
        <w:rPr>
          <w:i/>
        </w:rPr>
        <w:t xml:space="preserve">Dona  </w:t>
      </w:r>
      <w:proofErr w:type="spellStart"/>
      <w:r w:rsidR="00AF2B45">
        <w:rPr>
          <w:i/>
        </w:rPr>
        <w:t>Genciana</w:t>
      </w:r>
      <w:proofErr w:type="spellEnd"/>
      <w:proofErr w:type="gramEnd"/>
      <w:r w:rsidR="0093263F">
        <w:t xml:space="preserve"> </w:t>
      </w:r>
      <w:r w:rsidR="00AF2B45">
        <w:t xml:space="preserve">de 1957 (depois recolhido em </w:t>
      </w:r>
      <w:proofErr w:type="spellStart"/>
      <w:r w:rsidR="00AF2B45">
        <w:rPr>
          <w:i/>
        </w:rPr>
        <w:t>Léah</w:t>
      </w:r>
      <w:proofErr w:type="spellEnd"/>
      <w:r w:rsidR="00E95E29">
        <w:t xml:space="preserve"> </w:t>
      </w:r>
      <w:r w:rsidR="00AF2B45">
        <w:t xml:space="preserve">– 1958), produção que, no entender de Óscar Lopes, </w:t>
      </w:r>
      <w:r w:rsidR="00C31BC5">
        <w:t>“</w:t>
      </w:r>
      <w:r w:rsidR="00AF2B45">
        <w:t>pode lisonjear o culto, então literariamente em moda</w:t>
      </w:r>
      <w:r w:rsidR="00B82DD9">
        <w:t xml:space="preserve">, do acto gratuito </w:t>
      </w:r>
      <w:proofErr w:type="spellStart"/>
      <w:r w:rsidR="00B82DD9">
        <w:t>dostoievskiano</w:t>
      </w:r>
      <w:proofErr w:type="spellEnd"/>
      <w:r w:rsidR="00B82DD9">
        <w:t xml:space="preserve">, numa apetência de </w:t>
      </w:r>
      <w:proofErr w:type="spellStart"/>
      <w:r w:rsidR="00B82DD9">
        <w:t>crime-e-remorso</w:t>
      </w:r>
      <w:proofErr w:type="spellEnd"/>
      <w:r w:rsidR="00B82DD9">
        <w:t xml:space="preserve"> que por fim aliena o protagonista de uma verdadeira responsabilidade”</w:t>
      </w:r>
      <w:r w:rsidR="00AF2B45">
        <w:t xml:space="preserve"> (p.1059)</w:t>
      </w:r>
      <w:r w:rsidR="00B82DD9">
        <w:t>.</w:t>
      </w:r>
    </w:p>
    <w:p w:rsidR="00EC784E" w:rsidRDefault="00B82DD9" w:rsidP="0007315C">
      <w:r>
        <w:t xml:space="preserve">      De facto, tal apreciação parece aplicar-se perfeitamente a uma personagem como o narrador de </w:t>
      </w:r>
      <w:r>
        <w:rPr>
          <w:i/>
        </w:rPr>
        <w:t>Saudades…</w:t>
      </w:r>
      <w:r>
        <w:t xml:space="preserve">, quando reflecte: </w:t>
      </w:r>
    </w:p>
    <w:p w:rsidR="00EC784E" w:rsidRDefault="00EC784E" w:rsidP="0007315C"/>
    <w:p w:rsidR="00EC784E" w:rsidRPr="007155FA" w:rsidRDefault="00B82DD9" w:rsidP="007155FA">
      <w:pPr>
        <w:spacing w:line="240" w:lineRule="auto"/>
        <w:ind w:left="1644"/>
        <w:rPr>
          <w:sz w:val="20"/>
          <w:szCs w:val="20"/>
        </w:rPr>
      </w:pPr>
      <w:proofErr w:type="gramStart"/>
      <w:r w:rsidRPr="007155FA">
        <w:rPr>
          <w:sz w:val="20"/>
          <w:szCs w:val="20"/>
        </w:rPr>
        <w:t>“[…</w:t>
      </w:r>
      <w:proofErr w:type="gramEnd"/>
      <w:r w:rsidRPr="007155FA">
        <w:rPr>
          <w:sz w:val="20"/>
          <w:szCs w:val="20"/>
        </w:rPr>
        <w:t>] a vida nada me oferecia além do Protesto. À falta de melhor enveredei resolutamente pelos meandros da Acracia. (O termo soava-me melhor do que Anarquismo.) Destituído de qualquer esperança de destino pessoal</w:t>
      </w:r>
      <w:r w:rsidR="002F4656" w:rsidRPr="007155FA">
        <w:rPr>
          <w:sz w:val="20"/>
          <w:szCs w:val="20"/>
        </w:rPr>
        <w:t xml:space="preserve">, sonhava pulverizar o nada </w:t>
      </w:r>
      <w:r w:rsidR="00EC784E" w:rsidRPr="007155FA">
        <w:rPr>
          <w:sz w:val="20"/>
          <w:szCs w:val="20"/>
        </w:rPr>
        <w:t>em que vivia. […] Li</w:t>
      </w:r>
      <w:r w:rsidR="00C108D5" w:rsidRPr="007155FA">
        <w:rPr>
          <w:sz w:val="20"/>
          <w:szCs w:val="20"/>
        </w:rPr>
        <w:t xml:space="preserve"> com fervor </w:t>
      </w:r>
      <w:proofErr w:type="spellStart"/>
      <w:r w:rsidR="007155FA">
        <w:rPr>
          <w:sz w:val="20"/>
          <w:szCs w:val="20"/>
        </w:rPr>
        <w:t>Hamon</w:t>
      </w:r>
      <w:proofErr w:type="spellEnd"/>
      <w:r w:rsidR="007155FA">
        <w:rPr>
          <w:sz w:val="20"/>
          <w:szCs w:val="20"/>
        </w:rPr>
        <w:t>,</w:t>
      </w:r>
      <w:r w:rsidR="00C108D5" w:rsidRPr="007155FA">
        <w:rPr>
          <w:sz w:val="20"/>
          <w:szCs w:val="20"/>
        </w:rPr>
        <w:t xml:space="preserve"> </w:t>
      </w:r>
      <w:proofErr w:type="spellStart"/>
      <w:r w:rsidR="00C108D5" w:rsidRPr="007155FA">
        <w:rPr>
          <w:sz w:val="20"/>
          <w:szCs w:val="20"/>
        </w:rPr>
        <w:t>Jean</w:t>
      </w:r>
      <w:proofErr w:type="spellEnd"/>
      <w:r w:rsidR="00C108D5" w:rsidRPr="007155FA">
        <w:rPr>
          <w:sz w:val="20"/>
          <w:szCs w:val="20"/>
        </w:rPr>
        <w:t xml:space="preserve"> </w:t>
      </w:r>
      <w:proofErr w:type="gramStart"/>
      <w:r w:rsidR="00C108D5" w:rsidRPr="007155FA">
        <w:rPr>
          <w:sz w:val="20"/>
          <w:szCs w:val="20"/>
        </w:rPr>
        <w:t xml:space="preserve">Grave,  </w:t>
      </w:r>
      <w:proofErr w:type="spellStart"/>
      <w:r w:rsidR="00C108D5" w:rsidRPr="007155FA">
        <w:rPr>
          <w:sz w:val="20"/>
          <w:szCs w:val="20"/>
        </w:rPr>
        <w:t>Kropotkine</w:t>
      </w:r>
      <w:proofErr w:type="spellEnd"/>
      <w:proofErr w:type="gramEnd"/>
      <w:r w:rsidR="006C799D" w:rsidRPr="007155FA">
        <w:rPr>
          <w:sz w:val="20"/>
          <w:szCs w:val="20"/>
        </w:rPr>
        <w:t xml:space="preserve"> </w:t>
      </w:r>
      <w:r w:rsidR="00C108D5" w:rsidRPr="007155FA">
        <w:rPr>
          <w:sz w:val="20"/>
          <w:szCs w:val="20"/>
        </w:rPr>
        <w:lastRenderedPageBreak/>
        <w:t xml:space="preserve">e </w:t>
      </w:r>
      <w:proofErr w:type="spellStart"/>
      <w:r w:rsidR="00C108D5" w:rsidRPr="007155FA">
        <w:rPr>
          <w:sz w:val="20"/>
          <w:szCs w:val="20"/>
        </w:rPr>
        <w:t>Bakunine</w:t>
      </w:r>
      <w:proofErr w:type="spellEnd"/>
      <w:r w:rsidR="00C108D5" w:rsidRPr="007155FA">
        <w:rPr>
          <w:sz w:val="20"/>
          <w:szCs w:val="20"/>
        </w:rPr>
        <w:t xml:space="preserve"> […]. Mas aborrecia os utopistas, os socialistas, os comunistas, todos os que pretendiam reorganizar a sociedade em bases novas […]. Sonhava sobretudo com o amor livre: uma revolução que desse a cada homem o direito de possuir a fêmea que lhe apetecesse e quando lhe apetecesse” (1968: 215-216)</w:t>
      </w:r>
      <w:r w:rsidR="00EC784E" w:rsidRPr="007155FA">
        <w:rPr>
          <w:sz w:val="20"/>
          <w:szCs w:val="20"/>
        </w:rPr>
        <w:t>.</w:t>
      </w:r>
      <w:r w:rsidR="00C108D5" w:rsidRPr="007155FA">
        <w:rPr>
          <w:sz w:val="20"/>
          <w:szCs w:val="20"/>
        </w:rPr>
        <w:t xml:space="preserve"> </w:t>
      </w:r>
    </w:p>
    <w:p w:rsidR="00EC784E" w:rsidRPr="00EC784E" w:rsidRDefault="00EC784E" w:rsidP="0007315C"/>
    <w:p w:rsidR="006C799D" w:rsidRDefault="006C799D" w:rsidP="0007315C">
      <w:r>
        <w:t xml:space="preserve"> </w:t>
      </w:r>
      <w:r w:rsidR="00EC784E">
        <w:t xml:space="preserve">    É nesse quadro que</w:t>
      </w:r>
      <w:r w:rsidR="00B82DD9">
        <w:t xml:space="preserve"> </w:t>
      </w:r>
      <w:r w:rsidR="00B82DD9">
        <w:rPr>
          <w:i/>
        </w:rPr>
        <w:t>Uma aventura Inquietante</w:t>
      </w:r>
      <w:r w:rsidR="00D135C2">
        <w:t>, por exemplo,</w:t>
      </w:r>
      <w:r w:rsidR="00EC784E">
        <w:t xml:space="preserve"> é considerado, muitas vezes, um romance que aproveita algumas das regras da narrativa policial para, quase a jeito de paródia, propor um novo horizonte ético, instaurando uma viragem no sistema de valores convocado segundo o qual toda a acção humana</w:t>
      </w:r>
      <w:r w:rsidR="00D135C2">
        <w:t xml:space="preserve"> é julgada e responsabilizada face à realidade histórica, mesmo quando a referência subjacente é disfarçada ou surge sob evocações quase alegóricas. É desse modo, por exemplo, que muitas realidades belgas, no romance acima citado, lembram as portuguesas, ou o milagre da aparição virgem mã</w:t>
      </w:r>
      <w:r w:rsidR="007155FA">
        <w:t>e</w:t>
      </w:r>
      <w:r w:rsidR="00D135C2">
        <w:t xml:space="preserve"> de Cristo aos pastorinhos se realiza numa povoação chamada Meca, de um país que tem como capital Lisboa</w:t>
      </w:r>
      <w:r w:rsidR="00951C54">
        <w:t xml:space="preserve">, mas onde os nomes que se movimentam para o “28 de Maio” </w:t>
      </w:r>
      <w:r w:rsidR="005E1343">
        <w:t>e “</w:t>
      </w:r>
      <w:r w:rsidR="00951C54">
        <w:t>fundam</w:t>
      </w:r>
      <w:r w:rsidR="005E1343">
        <w:t>”</w:t>
      </w:r>
      <w:r w:rsidR="00951C54">
        <w:t xml:space="preserve"> o Estado Novo levam nome enigmáticos ou são designados </w:t>
      </w:r>
      <w:proofErr w:type="gramStart"/>
      <w:r w:rsidR="00951C54">
        <w:t>por  iniciais</w:t>
      </w:r>
      <w:proofErr w:type="gramEnd"/>
      <w:r w:rsidR="007155FA">
        <w:t>,</w:t>
      </w:r>
      <w:r w:rsidR="00951C54">
        <w:t xml:space="preserve"> sobre as quais os exegetas se pronunciam interminavelmente</w:t>
      </w:r>
      <w:r w:rsidR="005E1343">
        <w:t xml:space="preserve">, em </w:t>
      </w:r>
      <w:r w:rsidR="005E1343">
        <w:rPr>
          <w:i/>
        </w:rPr>
        <w:t>O Milagre segundo Salomé</w:t>
      </w:r>
      <w:r w:rsidR="00951C54">
        <w:t>.</w:t>
      </w:r>
      <w:r w:rsidR="00EC784E">
        <w:t xml:space="preserve"> </w:t>
      </w:r>
    </w:p>
    <w:p w:rsidR="00E71701" w:rsidRDefault="005E1343" w:rsidP="0007315C">
      <w:r>
        <w:t xml:space="preserve">    Numa edição posterior </w:t>
      </w:r>
      <w:proofErr w:type="gramStart"/>
      <w:r>
        <w:t xml:space="preserve">da </w:t>
      </w:r>
      <w:r>
        <w:rPr>
          <w:i/>
        </w:rPr>
        <w:t xml:space="preserve"> </w:t>
      </w:r>
      <w:r>
        <w:t>obra</w:t>
      </w:r>
      <w:proofErr w:type="gramEnd"/>
      <w:r w:rsidR="007155FA">
        <w:t xml:space="preserve"> já acima referida</w:t>
      </w:r>
      <w:r w:rsidR="006F5F50">
        <w:t>, Óscar Lopes reformula de modo curioso o horizonte crítico da recepção literária de Miguéis. Em boa parte</w:t>
      </w:r>
      <w:r w:rsidR="007155FA">
        <w:t>,</w:t>
      </w:r>
      <w:r w:rsidR="006F5F50">
        <w:t xml:space="preserve"> a reformulação deve-se ao desaparecimento da vigilância impendente sobre a dimensão ideológica e a referência política de todos os discursos, incluindo os cult</w:t>
      </w:r>
      <w:r w:rsidR="006120D6">
        <w:t xml:space="preserve">urais. Tendo acabado a censura, é possível apresentar o quadro da emergência e evolução do autor de </w:t>
      </w:r>
      <w:proofErr w:type="spellStart"/>
      <w:r w:rsidR="006120D6">
        <w:rPr>
          <w:i/>
        </w:rPr>
        <w:t>Léah</w:t>
      </w:r>
      <w:proofErr w:type="spellEnd"/>
      <w:r w:rsidR="006120D6">
        <w:t xml:space="preserve"> tendo em conta as coordenadas político sociais com as quais o seu discurso se articula, a partir do sindicalismo amplo de um órgão de comunicação social como </w:t>
      </w:r>
      <w:r w:rsidR="006120D6">
        <w:rPr>
          <w:i/>
        </w:rPr>
        <w:t>A Batalha</w:t>
      </w:r>
      <w:r w:rsidR="006120D6">
        <w:t>, em que</w:t>
      </w:r>
      <w:r w:rsidR="00962C2F">
        <w:t xml:space="preserve"> pontificam </w:t>
      </w:r>
      <w:r w:rsidR="006120D6">
        <w:t>vultos como Vitorino Nemésio</w:t>
      </w:r>
      <w:r w:rsidR="006F5F50">
        <w:t xml:space="preserve"> </w:t>
      </w:r>
      <w:r w:rsidR="006120D6">
        <w:t>e José Régio</w:t>
      </w:r>
      <w:r w:rsidR="00962C2F">
        <w:t>,</w:t>
      </w:r>
      <w:r w:rsidR="006F5F50">
        <w:t xml:space="preserve"> </w:t>
      </w:r>
      <w:r w:rsidR="006120D6">
        <w:t>e uma publicação eivada da</w:t>
      </w:r>
      <w:r w:rsidR="00962C2F">
        <w:t xml:space="preserve"> mais ousada vontade de vanguardismo ideológico como a </w:t>
      </w:r>
      <w:r w:rsidR="00962C2F">
        <w:rPr>
          <w:i/>
        </w:rPr>
        <w:t>Seara Nova</w:t>
      </w:r>
      <w:r w:rsidR="00962C2F">
        <w:t xml:space="preserve">. Não só é registada, agora, a sua crítica aos </w:t>
      </w:r>
      <w:proofErr w:type="spellStart"/>
      <w:r w:rsidR="00962C2F">
        <w:t>seareiros</w:t>
      </w:r>
      <w:proofErr w:type="spellEnd"/>
      <w:r w:rsidR="00962C2F">
        <w:t>, pela “falta de conexão com qualquer movimento organizado de massas”</w:t>
      </w:r>
      <w:r w:rsidR="006120D6">
        <w:t xml:space="preserve"> </w:t>
      </w:r>
      <w:r w:rsidR="00962C2F">
        <w:t>que ele</w:t>
      </w:r>
      <w:r w:rsidR="00317E1B">
        <w:t>s</w:t>
      </w:r>
      <w:r w:rsidR="00962C2F">
        <w:t xml:space="preserve"> revelam, como é </w:t>
      </w:r>
      <w:r w:rsidR="00E71701">
        <w:t xml:space="preserve">assinalado positivamente o seu afastamento, em 1931, “dos </w:t>
      </w:r>
      <w:proofErr w:type="spellStart"/>
      <w:r w:rsidR="00E71701">
        <w:t>presencistas</w:t>
      </w:r>
      <w:proofErr w:type="spellEnd"/>
      <w:r w:rsidR="00E71701">
        <w:t xml:space="preserve">, com que também polemizou numa linha precursora do neo-realismo” e louvado o seu empenho social na “organização democrática de trabalhadores emigrados” nos EUA (cf. Saraiva e </w:t>
      </w:r>
      <w:proofErr w:type="spellStart"/>
      <w:r w:rsidR="00E71701">
        <w:t>O.Lopes</w:t>
      </w:r>
      <w:proofErr w:type="spellEnd"/>
      <w:r w:rsidR="00E71701">
        <w:t>, 1996: 1027).</w:t>
      </w:r>
    </w:p>
    <w:p w:rsidR="001B4726" w:rsidRDefault="00E71701" w:rsidP="0007315C">
      <w:r w:rsidRPr="00E71701">
        <w:t xml:space="preserve">      Ao reavaliar, oportunamente, a sua obra, tendo em conta as publicações mais tardias, Óscar Lopes, nesta última edição da </w:t>
      </w:r>
      <w:r w:rsidRPr="00E71701">
        <w:rPr>
          <w:i/>
        </w:rPr>
        <w:t>História</w:t>
      </w:r>
      <w:r>
        <w:t xml:space="preserve"> de que foi co-aut</w:t>
      </w:r>
      <w:r w:rsidR="001B4726">
        <w:t xml:space="preserve">or (exclusivo responsável pela época em que se insere Miguéis, como nos informa a nota da página do </w:t>
      </w:r>
      <w:r w:rsidR="001B4726">
        <w:lastRenderedPageBreak/>
        <w:t xml:space="preserve">registo do ISBN, patente na 17ª edição), considera </w:t>
      </w:r>
      <w:r w:rsidR="001B4726">
        <w:rPr>
          <w:i/>
        </w:rPr>
        <w:t>O Milagre Segundo Salomé</w:t>
      </w:r>
      <w:r w:rsidR="001B4726">
        <w:t xml:space="preserve"> “uma simples sátira, </w:t>
      </w:r>
      <w:r w:rsidR="001B4726">
        <w:rPr>
          <w:b/>
        </w:rPr>
        <w:t xml:space="preserve">à </w:t>
      </w:r>
      <w:proofErr w:type="spellStart"/>
      <w:r w:rsidR="001B4726">
        <w:rPr>
          <w:b/>
        </w:rPr>
        <w:t>clef</w:t>
      </w:r>
      <w:proofErr w:type="spellEnd"/>
      <w:r w:rsidR="001B4726">
        <w:t xml:space="preserve">, das condições do colapso da 1ª República”, minimizando-o, quanto à preocupação ideológica e social por comparação </w:t>
      </w:r>
      <w:r w:rsidR="00317E1B">
        <w:t>com as</w:t>
      </w:r>
      <w:r w:rsidR="001B4726">
        <w:t xml:space="preserve"> suas restantes obras posteriores a </w:t>
      </w:r>
      <w:r w:rsidR="001B4726">
        <w:rPr>
          <w:i/>
        </w:rPr>
        <w:t xml:space="preserve">Saudades para Dona </w:t>
      </w:r>
      <w:proofErr w:type="spellStart"/>
      <w:r w:rsidR="001B4726">
        <w:rPr>
          <w:i/>
        </w:rPr>
        <w:t>Genciana</w:t>
      </w:r>
      <w:proofErr w:type="spellEnd"/>
      <w:r w:rsidR="001B4726">
        <w:t>.</w:t>
      </w:r>
    </w:p>
    <w:p w:rsidR="00273D46" w:rsidRDefault="001B4726" w:rsidP="0007315C">
      <w:r>
        <w:t xml:space="preserve">     Ora</w:t>
      </w:r>
      <w:r w:rsidR="00317E1B">
        <w:t>,</w:t>
      </w:r>
      <w:r>
        <w:t xml:space="preserve"> esta avaliação</w:t>
      </w:r>
      <w:r w:rsidR="00317E1B">
        <w:t>,</w:t>
      </w:r>
      <w:r>
        <w:t xml:space="preserve"> do ponto de vista da história literária</w:t>
      </w:r>
      <w:r w:rsidR="00317E1B">
        <w:t>,</w:t>
      </w:r>
      <w:r>
        <w:t xml:space="preserve"> não é consonante com a fortuna que </w:t>
      </w:r>
      <w:r w:rsidR="00317E1B">
        <w:t>algumas</w:t>
      </w:r>
      <w:r>
        <w:t xml:space="preserve"> obras do autor de </w:t>
      </w:r>
      <w:r>
        <w:rPr>
          <w:i/>
        </w:rPr>
        <w:t xml:space="preserve">Páscoa Feliz </w:t>
      </w:r>
      <w:r w:rsidR="00317E1B">
        <w:t>conheceram</w:t>
      </w:r>
      <w:r>
        <w:t xml:space="preserve"> recentemente.</w:t>
      </w:r>
      <w:r w:rsidR="00E71701" w:rsidRPr="00E71701">
        <w:t xml:space="preserve"> </w:t>
      </w:r>
      <w:r w:rsidR="00484774">
        <w:t xml:space="preserve">Efectivamente, pelo que se pode verificar nos comentários que em diversos </w:t>
      </w:r>
      <w:r w:rsidR="00484774">
        <w:rPr>
          <w:i/>
        </w:rPr>
        <w:t>sítios</w:t>
      </w:r>
      <w:r w:rsidR="00484774">
        <w:t xml:space="preserve"> da </w:t>
      </w:r>
      <w:r w:rsidR="00484774">
        <w:rPr>
          <w:i/>
        </w:rPr>
        <w:t>rede</w:t>
      </w:r>
      <w:r w:rsidR="00484774">
        <w:t xml:space="preserve"> aparecem sobre o autor e a sua obra, o interesse maior tem recaído, sobretudo, em </w:t>
      </w:r>
      <w:r w:rsidR="00484774">
        <w:rPr>
          <w:i/>
        </w:rPr>
        <w:t>O Milagre Segundo Salomé</w:t>
      </w:r>
      <w:r w:rsidR="00484774">
        <w:t xml:space="preserve"> e, logo a seguir, em </w:t>
      </w:r>
      <w:r w:rsidR="00484774">
        <w:rPr>
          <w:i/>
        </w:rPr>
        <w:t xml:space="preserve">Saudades para Dona </w:t>
      </w:r>
      <w:proofErr w:type="spellStart"/>
      <w:r w:rsidR="00484774">
        <w:rPr>
          <w:i/>
        </w:rPr>
        <w:t>Genciana</w:t>
      </w:r>
      <w:proofErr w:type="spellEnd"/>
      <w:r w:rsidR="00484774">
        <w:t xml:space="preserve">. Pelo que se percebe dos próprios comentários, essa fortuna recente deve-se, essencialmente, às adaptações que Mário Barroso e Eduardo Geada fizeram, respectivamente, das duas obras acima citadas. Diga-se desde já que </w:t>
      </w:r>
      <w:proofErr w:type="gramStart"/>
      <w:r w:rsidR="00484774">
        <w:t>o primeiro título, que podemos</w:t>
      </w:r>
      <w:proofErr w:type="gramEnd"/>
      <w:r w:rsidR="00484774">
        <w:t xml:space="preserve"> considerar a derradeira </w:t>
      </w:r>
      <w:r w:rsidR="00CA3543">
        <w:t>obra publicada pelo auto</w:t>
      </w:r>
      <w:r w:rsidR="00317E1B">
        <w:t>r (há outras, mas são póstumas)</w:t>
      </w:r>
      <w:r w:rsidR="00CA3543">
        <w:t>, tem sido o que maiores atenções tem merecido por parte dos leitores e espectadores da parte dos quais têm surgido mesmo abordagens que equacionam a relação entre o literário e o cinematográfico bem como a proporia questão da adaptação. P</w:t>
      </w:r>
      <w:r w:rsidR="00484774">
        <w:t xml:space="preserve">ara arrumar </w:t>
      </w:r>
      <w:r w:rsidR="00CA3543">
        <w:t xml:space="preserve">com algum simplismo </w:t>
      </w:r>
      <w:r w:rsidR="00484774">
        <w:t>uma questão que, a ser tratada, teria de ser desenvolvida, especificamente, noutro discurso, seguindo outro fio de interesses e atenções,</w:t>
      </w:r>
      <w:r w:rsidR="00CA3543">
        <w:t xml:space="preserve"> pode dizer-se que a adaptação de Geada mereceu menos atenção (e, até, </w:t>
      </w:r>
      <w:r w:rsidR="00CA3543">
        <w:rPr>
          <w:i/>
        </w:rPr>
        <w:t>acolhimento</w:t>
      </w:r>
      <w:r w:rsidR="00CA3543">
        <w:t>) em grande parte po</w:t>
      </w:r>
      <w:r w:rsidR="002D20EC">
        <w:t>r</w:t>
      </w:r>
      <w:r w:rsidR="00CA3543">
        <w:t xml:space="preserve">que os tempos eram outros, o olhar sobre o relacionamento </w:t>
      </w:r>
      <w:proofErr w:type="spellStart"/>
      <w:r w:rsidR="00CA3543">
        <w:t>interartístico</w:t>
      </w:r>
      <w:proofErr w:type="spellEnd"/>
      <w:r w:rsidR="00CA3543">
        <w:t xml:space="preserve"> era menos informado e, por isso, menos tolerante</w:t>
      </w:r>
      <w:r w:rsidR="002D20EC">
        <w:t>, razão pela qual o filme, ao qual não falta alguma grandeza e dignidade pela perturbação artística que convoca, acabou por ir sendo esquecido e, de algum modo, eclipsando o texto literário do qual pretendeu ser, entre outras coisas, uma leitura e uma resposta na continuidade cultural.</w:t>
      </w:r>
      <w:r w:rsidR="00484774">
        <w:t xml:space="preserve"> </w:t>
      </w:r>
    </w:p>
    <w:p w:rsidR="005E1343" w:rsidRPr="00E71701" w:rsidRDefault="00273D46" w:rsidP="0007315C">
      <w:r>
        <w:t xml:space="preserve">     Sobre a fortuna cultural que o cinema veio trazer aos último romance publicado por Miguéis, pode servir-nos de exemplo o resumo </w:t>
      </w:r>
      <w:proofErr w:type="gramStart"/>
      <w:r>
        <w:t xml:space="preserve">que </w:t>
      </w:r>
      <w:r w:rsidR="00484774">
        <w:t xml:space="preserve"> </w:t>
      </w:r>
      <w:proofErr w:type="spellStart"/>
      <w:r w:rsidRPr="00273D46">
        <w:t>Edimara</w:t>
      </w:r>
      <w:proofErr w:type="spellEnd"/>
      <w:proofErr w:type="gramEnd"/>
      <w:r w:rsidRPr="00273D46">
        <w:t xml:space="preserve"> Lisboa Aguiar</w:t>
      </w:r>
      <w:r>
        <w:t xml:space="preserve"> faz para o trabalho que realizou sobre a adaptação feita por Mário Barroso: </w:t>
      </w:r>
      <w:r w:rsidR="00484774">
        <w:t xml:space="preserve">  </w:t>
      </w:r>
      <w:r w:rsidR="00E71701" w:rsidRPr="00E71701">
        <w:t xml:space="preserve">  </w:t>
      </w:r>
      <w:r w:rsidR="006120D6" w:rsidRPr="00E71701">
        <w:t xml:space="preserve"> </w:t>
      </w:r>
    </w:p>
    <w:p w:rsidR="00273D46" w:rsidRDefault="00273D46" w:rsidP="0007315C"/>
    <w:p w:rsidR="00273D46" w:rsidRPr="00317E1B" w:rsidRDefault="00273D46" w:rsidP="00317E1B">
      <w:pPr>
        <w:spacing w:line="240" w:lineRule="auto"/>
        <w:ind w:left="1644"/>
        <w:rPr>
          <w:sz w:val="20"/>
          <w:szCs w:val="20"/>
        </w:rPr>
      </w:pPr>
      <w:r w:rsidRPr="00317E1B">
        <w:rPr>
          <w:b/>
          <w:bCs/>
          <w:sz w:val="20"/>
          <w:szCs w:val="20"/>
        </w:rPr>
        <w:t xml:space="preserve"> </w:t>
      </w:r>
      <w:r w:rsidR="00317E1B" w:rsidRPr="00317E1B">
        <w:rPr>
          <w:b/>
          <w:bCs/>
          <w:sz w:val="20"/>
          <w:szCs w:val="20"/>
        </w:rPr>
        <w:t>“</w:t>
      </w:r>
      <w:r w:rsidRPr="00317E1B">
        <w:rPr>
          <w:sz w:val="20"/>
          <w:szCs w:val="20"/>
        </w:rPr>
        <w:t xml:space="preserve">O presente trabalho propõe a leitura da história a partir da literatura relida pelo cinema como questão relevante para se compreender o fascínio do espectador contemporâneo pelos filmes de época. Para isso, analisaremos a ficcionalização das aparições em Fátima por José Rodrigues Miguéis em seu romance </w:t>
      </w:r>
      <w:r w:rsidRPr="00317E1B">
        <w:rPr>
          <w:bCs/>
          <w:i/>
          <w:sz w:val="20"/>
          <w:szCs w:val="20"/>
        </w:rPr>
        <w:t>O Milagre Segundo Salomé</w:t>
      </w:r>
      <w:r w:rsidRPr="00317E1B">
        <w:rPr>
          <w:b/>
          <w:bCs/>
          <w:sz w:val="20"/>
          <w:szCs w:val="20"/>
        </w:rPr>
        <w:t xml:space="preserve"> </w:t>
      </w:r>
      <w:r w:rsidRPr="00317E1B">
        <w:rPr>
          <w:sz w:val="20"/>
          <w:szCs w:val="20"/>
        </w:rPr>
        <w:t>e sua reordenação pela adaptação cinematográfica realizada por Mário Barroso</w:t>
      </w:r>
      <w:r w:rsidR="00317E1B" w:rsidRPr="00317E1B">
        <w:rPr>
          <w:sz w:val="20"/>
          <w:szCs w:val="20"/>
        </w:rPr>
        <w:t>”</w:t>
      </w:r>
      <w:r w:rsidRPr="00317E1B">
        <w:rPr>
          <w:sz w:val="20"/>
          <w:szCs w:val="20"/>
        </w:rPr>
        <w:t xml:space="preserve"> (2010: 305).</w:t>
      </w:r>
    </w:p>
    <w:p w:rsidR="005D6901" w:rsidRDefault="005D6901" w:rsidP="0007315C"/>
    <w:p w:rsidR="009428FD" w:rsidRDefault="005D6901" w:rsidP="0007315C">
      <w:r>
        <w:lastRenderedPageBreak/>
        <w:t>Não só o romance é lembrado a partir do filme, que se apresenta como adaptação, como se entende a prática de adaptação como leitura, prática de crítica e comentário que, duas décadas antes, não era tão comum</w:t>
      </w:r>
      <w:r w:rsidR="009428FD">
        <w:t xml:space="preserve">. O que, nas observações de alguns críticos do filme de Geada, eram reservas ao modo como a obra cinematográfica </w:t>
      </w:r>
      <w:r w:rsidR="009428FD" w:rsidRPr="009428FD">
        <w:rPr>
          <w:i/>
        </w:rPr>
        <w:t>perdia</w:t>
      </w:r>
      <w:r w:rsidR="009428FD">
        <w:t xml:space="preserve"> o texto literário, as suas referências e a sua atmosfera, transforma-se, anos mais tarde, nas apreciações de como as diferenças </w:t>
      </w:r>
      <w:r w:rsidR="009428FD" w:rsidRPr="009428FD">
        <w:rPr>
          <w:i/>
        </w:rPr>
        <w:t>são</w:t>
      </w:r>
      <w:r w:rsidR="009428FD">
        <w:t xml:space="preserve"> culturalmente significativas, pedindo-se ao filme que </w:t>
      </w:r>
      <w:r w:rsidR="00317E1B">
        <w:t>seja apenas a expressão conforme</w:t>
      </w:r>
      <w:r w:rsidR="009428FD">
        <w:t xml:space="preserve"> das suas possibilidades e das suas vontades de compreensão</w:t>
      </w:r>
      <w:r w:rsidR="00230667">
        <w:t>,</w:t>
      </w:r>
      <w:r w:rsidR="009428FD">
        <w:t xml:space="preserve"> </w:t>
      </w:r>
      <w:r w:rsidR="00230667">
        <w:t xml:space="preserve">independentemente </w:t>
      </w:r>
      <w:proofErr w:type="gramStart"/>
      <w:r w:rsidR="00230667">
        <w:t>da</w:t>
      </w:r>
      <w:proofErr w:type="gramEnd"/>
      <w:r w:rsidR="00230667">
        <w:t xml:space="preserve"> </w:t>
      </w:r>
      <w:r w:rsidR="00230667" w:rsidRPr="00230667">
        <w:rPr>
          <w:i/>
        </w:rPr>
        <w:t>qualidade</w:t>
      </w:r>
      <w:r w:rsidR="00230667">
        <w:t xml:space="preserve"> ser ou não reconhecida à obra </w:t>
      </w:r>
      <w:r w:rsidR="00230667" w:rsidRPr="00230667">
        <w:rPr>
          <w:i/>
        </w:rPr>
        <w:t>actualizadora</w:t>
      </w:r>
      <w:r w:rsidR="00230667">
        <w:t xml:space="preserve">. </w:t>
      </w:r>
    </w:p>
    <w:p w:rsidR="00FC58DC" w:rsidRPr="00DA1E2E" w:rsidRDefault="008E480B" w:rsidP="0007315C">
      <w:pPr>
        <w:rPr>
          <w:rFonts w:ascii="Arial" w:hAnsi="Arial" w:cs="Arial"/>
          <w:sz w:val="20"/>
          <w:szCs w:val="20"/>
        </w:rPr>
      </w:pPr>
      <w:r>
        <w:t xml:space="preserve">   É o que podemos verificar, por exemplo, nas afirmações de </w:t>
      </w:r>
      <w:r w:rsidR="00FC58DC" w:rsidRPr="008E480B">
        <w:t>Diana Marlene</w:t>
      </w:r>
      <w:r>
        <w:t xml:space="preserve"> </w:t>
      </w:r>
      <w:r w:rsidR="00FC58DC" w:rsidRPr="008E480B">
        <w:t>Soares do Couto</w:t>
      </w:r>
      <w:r>
        <w:t xml:space="preserve">, feitas na sua dissertação de mestrado, apresentada à Universidade de Aveiro em 2009, sob o título </w:t>
      </w:r>
      <w:r w:rsidR="00FC58DC" w:rsidRPr="008E480B">
        <w:rPr>
          <w:b/>
          <w:i/>
          <w:iCs/>
        </w:rPr>
        <w:t>O Milagre Segundo Salomé:</w:t>
      </w:r>
      <w:r w:rsidRPr="008E480B">
        <w:rPr>
          <w:b/>
          <w:i/>
          <w:iCs/>
        </w:rPr>
        <w:t xml:space="preserve"> </w:t>
      </w:r>
      <w:r w:rsidR="00FC58DC" w:rsidRPr="008E480B">
        <w:rPr>
          <w:b/>
        </w:rPr>
        <w:t>(</w:t>
      </w:r>
      <w:proofErr w:type="spellStart"/>
      <w:proofErr w:type="gramStart"/>
      <w:r w:rsidR="00FC58DC" w:rsidRPr="008E480B">
        <w:rPr>
          <w:b/>
        </w:rPr>
        <w:t>Des</w:t>
      </w:r>
      <w:proofErr w:type="spellEnd"/>
      <w:r w:rsidR="00FC58DC" w:rsidRPr="008E480B">
        <w:rPr>
          <w:b/>
        </w:rPr>
        <w:t>)Encontros</w:t>
      </w:r>
      <w:proofErr w:type="gramEnd"/>
      <w:r w:rsidR="00FC58DC" w:rsidRPr="008E480B">
        <w:rPr>
          <w:b/>
        </w:rPr>
        <w:t xml:space="preserve"> entre Miguéis e Barroso</w:t>
      </w:r>
      <w:r>
        <w:rPr>
          <w:b/>
        </w:rPr>
        <w:t>:</w:t>
      </w:r>
    </w:p>
    <w:p w:rsidR="00FC58DC" w:rsidRDefault="00FC58DC" w:rsidP="0007315C"/>
    <w:p w:rsidR="008E480B" w:rsidRDefault="008E480B" w:rsidP="0007315C"/>
    <w:p w:rsidR="00FC58DC" w:rsidRPr="008F01AB" w:rsidRDefault="008F01AB" w:rsidP="008F01AB">
      <w:pPr>
        <w:spacing w:line="240" w:lineRule="auto"/>
        <w:ind w:left="1644"/>
        <w:rPr>
          <w:sz w:val="20"/>
          <w:szCs w:val="20"/>
        </w:rPr>
      </w:pPr>
      <w:r>
        <w:rPr>
          <w:sz w:val="20"/>
          <w:szCs w:val="20"/>
        </w:rPr>
        <w:t>“</w:t>
      </w:r>
      <w:r w:rsidR="00FC58DC" w:rsidRPr="008F01AB">
        <w:rPr>
          <w:sz w:val="20"/>
          <w:szCs w:val="20"/>
        </w:rPr>
        <w:t>Consideramos que o filme foi uma interpretação livre do romance – Mário Barroso</w:t>
      </w:r>
      <w:r w:rsidR="008E480B" w:rsidRPr="008F01AB">
        <w:rPr>
          <w:sz w:val="20"/>
          <w:szCs w:val="20"/>
        </w:rPr>
        <w:t xml:space="preserve"> </w:t>
      </w:r>
      <w:r w:rsidR="00FC58DC" w:rsidRPr="008F01AB">
        <w:rPr>
          <w:sz w:val="20"/>
          <w:szCs w:val="20"/>
        </w:rPr>
        <w:t>di-lo explicitamente –. Quantas vezes, na análise do filme, não demos por nós a pensar</w:t>
      </w:r>
      <w:r w:rsidR="008E480B" w:rsidRPr="008F01AB">
        <w:rPr>
          <w:sz w:val="20"/>
          <w:szCs w:val="20"/>
        </w:rPr>
        <w:t xml:space="preserve"> </w:t>
      </w:r>
      <w:r w:rsidR="00FC58DC" w:rsidRPr="008F01AB">
        <w:rPr>
          <w:sz w:val="20"/>
          <w:szCs w:val="20"/>
        </w:rPr>
        <w:t>que “esta não é a Salomé”, ou “esta atitude nunca poderia ser tomada por Gabriel”… Isto</w:t>
      </w:r>
      <w:r w:rsidR="008E480B" w:rsidRPr="008F01AB">
        <w:rPr>
          <w:sz w:val="20"/>
          <w:szCs w:val="20"/>
        </w:rPr>
        <w:t xml:space="preserve"> </w:t>
      </w:r>
      <w:r w:rsidR="00FC58DC" w:rsidRPr="008F01AB">
        <w:rPr>
          <w:sz w:val="20"/>
          <w:szCs w:val="20"/>
        </w:rPr>
        <w:t>apenas significa que, como já tivemos oportunidade de referir, o romance nos envolveu</w:t>
      </w:r>
      <w:r w:rsidR="00317E1B">
        <w:rPr>
          <w:sz w:val="20"/>
          <w:szCs w:val="20"/>
        </w:rPr>
        <w:t xml:space="preserve"> </w:t>
      </w:r>
      <w:r w:rsidR="00FC58DC" w:rsidRPr="008F01AB">
        <w:rPr>
          <w:sz w:val="20"/>
          <w:szCs w:val="20"/>
        </w:rPr>
        <w:t>mais, nos conquistou, nos despertou a imaginação, nos fez viajar, pela estrutura, pelas</w:t>
      </w:r>
      <w:r w:rsidR="008E480B" w:rsidRPr="008F01AB">
        <w:rPr>
          <w:sz w:val="20"/>
          <w:szCs w:val="20"/>
        </w:rPr>
        <w:t xml:space="preserve"> </w:t>
      </w:r>
      <w:r w:rsidR="00FC58DC" w:rsidRPr="008F01AB">
        <w:rPr>
          <w:sz w:val="20"/>
          <w:szCs w:val="20"/>
        </w:rPr>
        <w:t>linhas, pelas palavras… vivemos revoltas militares e políticas, apaixonámo-nos pelas</w:t>
      </w:r>
      <w:r w:rsidR="008E480B" w:rsidRPr="008F01AB">
        <w:rPr>
          <w:sz w:val="20"/>
          <w:szCs w:val="20"/>
        </w:rPr>
        <w:t xml:space="preserve"> </w:t>
      </w:r>
      <w:r w:rsidR="00FC58DC" w:rsidRPr="008F01AB">
        <w:rPr>
          <w:sz w:val="20"/>
          <w:szCs w:val="20"/>
        </w:rPr>
        <w:t>personagens, pelos espaços, pelos meios envolventes, pela intriga, pela acção… fomos</w:t>
      </w:r>
      <w:r w:rsidR="008E480B" w:rsidRPr="008F01AB">
        <w:rPr>
          <w:sz w:val="20"/>
          <w:szCs w:val="20"/>
        </w:rPr>
        <w:t xml:space="preserve"> </w:t>
      </w:r>
      <w:r w:rsidR="00FC58DC" w:rsidRPr="008F01AB">
        <w:rPr>
          <w:sz w:val="20"/>
          <w:szCs w:val="20"/>
        </w:rPr>
        <w:t>cativados pela eloquência, pelo estilo, pelo pormenor, pelo sarcasmo, pela ironia de José</w:t>
      </w:r>
      <w:r w:rsidR="008E480B" w:rsidRPr="008F01AB">
        <w:rPr>
          <w:sz w:val="20"/>
          <w:szCs w:val="20"/>
        </w:rPr>
        <w:t xml:space="preserve"> </w:t>
      </w:r>
      <w:r w:rsidR="00FC58DC" w:rsidRPr="008F01AB">
        <w:rPr>
          <w:sz w:val="20"/>
          <w:szCs w:val="20"/>
        </w:rPr>
        <w:t>Rodrigues Miguéis.</w:t>
      </w:r>
      <w:r w:rsidR="0007184D" w:rsidRPr="008F01AB">
        <w:rPr>
          <w:sz w:val="20"/>
          <w:szCs w:val="20"/>
        </w:rPr>
        <w:t xml:space="preserve"> /</w:t>
      </w:r>
      <w:r w:rsidR="00FC58DC" w:rsidRPr="008F01AB">
        <w:rPr>
          <w:sz w:val="20"/>
          <w:szCs w:val="20"/>
        </w:rPr>
        <w:t>O filme, apesar de ter sido uma interpretação livre de Mário Barroso, permite que</w:t>
      </w:r>
      <w:r w:rsidR="008E480B" w:rsidRPr="008F01AB">
        <w:rPr>
          <w:sz w:val="20"/>
          <w:szCs w:val="20"/>
        </w:rPr>
        <w:t xml:space="preserve"> </w:t>
      </w:r>
      <w:r w:rsidR="00FC58DC" w:rsidRPr="008F01AB">
        <w:rPr>
          <w:sz w:val="20"/>
          <w:szCs w:val="20"/>
        </w:rPr>
        <w:t>coloquemos rostos às personagens e houve casos em que isso foi feito com sucesso.</w:t>
      </w:r>
      <w:r w:rsidR="008E480B" w:rsidRPr="008F01AB">
        <w:rPr>
          <w:sz w:val="20"/>
          <w:szCs w:val="20"/>
        </w:rPr>
        <w:t xml:space="preserve"> </w:t>
      </w:r>
      <w:r w:rsidR="00FC58DC" w:rsidRPr="008F01AB">
        <w:rPr>
          <w:sz w:val="20"/>
          <w:szCs w:val="20"/>
        </w:rPr>
        <w:t>Com efeito, actores como Nicolau Breyner, Paulo Pires, Ana Bandeira, Paulo Pires,</w:t>
      </w:r>
      <w:r w:rsidR="008E480B" w:rsidRPr="008F01AB">
        <w:rPr>
          <w:sz w:val="20"/>
          <w:szCs w:val="20"/>
        </w:rPr>
        <w:t xml:space="preserve"> </w:t>
      </w:r>
      <w:r w:rsidR="00FC58DC" w:rsidRPr="008F01AB">
        <w:rPr>
          <w:sz w:val="20"/>
          <w:szCs w:val="20"/>
        </w:rPr>
        <w:t xml:space="preserve">Ricardo Pereira vieram enaltecer José Rodrigues Miguéis e a sua obra </w:t>
      </w:r>
      <w:r w:rsidR="00FC58DC" w:rsidRPr="008F01AB">
        <w:rPr>
          <w:i/>
          <w:iCs/>
          <w:sz w:val="20"/>
          <w:szCs w:val="20"/>
        </w:rPr>
        <w:t>O Milagre</w:t>
      </w:r>
      <w:r w:rsidR="008E480B" w:rsidRPr="008F01AB">
        <w:rPr>
          <w:sz w:val="20"/>
          <w:szCs w:val="20"/>
        </w:rPr>
        <w:t xml:space="preserve"> </w:t>
      </w:r>
      <w:r w:rsidR="00FC58DC" w:rsidRPr="008F01AB">
        <w:rPr>
          <w:i/>
          <w:iCs/>
          <w:sz w:val="20"/>
          <w:szCs w:val="20"/>
        </w:rPr>
        <w:t>Segundo Salomé</w:t>
      </w:r>
      <w:r w:rsidR="00FC58DC" w:rsidRPr="008F01AB">
        <w:rPr>
          <w:sz w:val="20"/>
          <w:szCs w:val="20"/>
        </w:rPr>
        <w:t>. Mário Barroso diz-nos que não sabe por que enveredou por esse</w:t>
      </w:r>
      <w:r w:rsidR="008E480B" w:rsidRPr="008F01AB">
        <w:rPr>
          <w:sz w:val="20"/>
          <w:szCs w:val="20"/>
        </w:rPr>
        <w:t xml:space="preserve"> </w:t>
      </w:r>
      <w:r w:rsidR="00FC58DC" w:rsidRPr="008F01AB">
        <w:rPr>
          <w:sz w:val="20"/>
          <w:szCs w:val="20"/>
        </w:rPr>
        <w:t>desenlace, que não consegue encontrar nenhuma explicação, queremos crer que a razão</w:t>
      </w:r>
      <w:r w:rsidR="008E480B" w:rsidRPr="008F01AB">
        <w:rPr>
          <w:sz w:val="20"/>
          <w:szCs w:val="20"/>
        </w:rPr>
        <w:t xml:space="preserve"> </w:t>
      </w:r>
      <w:r w:rsidR="00FC58DC" w:rsidRPr="008F01AB">
        <w:rPr>
          <w:sz w:val="20"/>
          <w:szCs w:val="20"/>
        </w:rPr>
        <w:t>não tem importância, que basta ter gostado do livro e ter resolvido fazer reviver uma obra</w:t>
      </w:r>
      <w:r w:rsidR="008E480B" w:rsidRPr="008F01AB">
        <w:rPr>
          <w:sz w:val="20"/>
          <w:szCs w:val="20"/>
        </w:rPr>
        <w:t xml:space="preserve"> </w:t>
      </w:r>
      <w:r w:rsidR="00FC58DC" w:rsidRPr="008F01AB">
        <w:rPr>
          <w:sz w:val="20"/>
          <w:szCs w:val="20"/>
        </w:rPr>
        <w:t>que permanecia esquecida, que pouca gente conhecia.</w:t>
      </w:r>
      <w:r w:rsidR="0007184D" w:rsidRPr="008F01AB">
        <w:rPr>
          <w:sz w:val="20"/>
          <w:szCs w:val="20"/>
        </w:rPr>
        <w:t xml:space="preserve"> </w:t>
      </w:r>
      <w:r w:rsidR="00FC58DC" w:rsidRPr="008F01AB">
        <w:rPr>
          <w:sz w:val="20"/>
          <w:szCs w:val="20"/>
        </w:rPr>
        <w:t xml:space="preserve">Ler o livro e ver o filme, um cruzamento com um só objectivo: </w:t>
      </w:r>
      <w:r w:rsidR="00FC58DC" w:rsidRPr="008F01AB">
        <w:rPr>
          <w:i/>
          <w:iCs/>
          <w:sz w:val="20"/>
          <w:szCs w:val="20"/>
        </w:rPr>
        <w:t>O Milagre Segundo</w:t>
      </w:r>
      <w:r w:rsidR="008E480B" w:rsidRPr="008F01AB">
        <w:rPr>
          <w:i/>
          <w:iCs/>
          <w:sz w:val="20"/>
          <w:szCs w:val="20"/>
        </w:rPr>
        <w:t xml:space="preserve"> </w:t>
      </w:r>
      <w:r w:rsidR="00FC58DC" w:rsidRPr="008F01AB">
        <w:rPr>
          <w:i/>
          <w:iCs/>
          <w:sz w:val="20"/>
          <w:szCs w:val="20"/>
        </w:rPr>
        <w:t>Salomé</w:t>
      </w:r>
      <w:r>
        <w:rPr>
          <w:iCs/>
          <w:sz w:val="20"/>
          <w:szCs w:val="20"/>
        </w:rPr>
        <w:t>”</w:t>
      </w:r>
      <w:r w:rsidR="008E480B" w:rsidRPr="008F01AB">
        <w:rPr>
          <w:i/>
          <w:iCs/>
          <w:sz w:val="20"/>
          <w:szCs w:val="20"/>
        </w:rPr>
        <w:t xml:space="preserve"> </w:t>
      </w:r>
      <w:r w:rsidR="008E480B" w:rsidRPr="008F01AB">
        <w:rPr>
          <w:iCs/>
          <w:sz w:val="20"/>
          <w:szCs w:val="20"/>
        </w:rPr>
        <w:t>(2009</w:t>
      </w:r>
      <w:r w:rsidR="0007184D" w:rsidRPr="008F01AB">
        <w:rPr>
          <w:iCs/>
          <w:sz w:val="20"/>
          <w:szCs w:val="20"/>
        </w:rPr>
        <w:t>: 174)</w:t>
      </w:r>
      <w:r w:rsidR="00FC58DC" w:rsidRPr="008F01AB">
        <w:rPr>
          <w:i/>
          <w:iCs/>
          <w:sz w:val="20"/>
          <w:szCs w:val="20"/>
        </w:rPr>
        <w:t>.</w:t>
      </w:r>
    </w:p>
    <w:p w:rsidR="005D6901" w:rsidRDefault="009428FD" w:rsidP="0007315C">
      <w:r>
        <w:t xml:space="preserve">  </w:t>
      </w:r>
      <w:r w:rsidR="005D6901">
        <w:t xml:space="preserve">  </w:t>
      </w:r>
    </w:p>
    <w:p w:rsidR="00DB03C1" w:rsidRDefault="0007184D" w:rsidP="0007315C">
      <w:r>
        <w:t xml:space="preserve">      Não será possível encontrar todos os motivos que terão levado </w:t>
      </w:r>
      <w:r w:rsidR="00D90B78">
        <w:t>Carlos</w:t>
      </w:r>
      <w:r>
        <w:t xml:space="preserve"> </w:t>
      </w:r>
      <w:proofErr w:type="spellStart"/>
      <w:r>
        <w:t>Saboga</w:t>
      </w:r>
      <w:proofErr w:type="spellEnd"/>
      <w:r w:rsidR="00D90B78">
        <w:t xml:space="preserve">, argumentista do filme, a estruturar o seu </w:t>
      </w:r>
      <w:r w:rsidR="00D90B78" w:rsidRPr="00D90B78">
        <w:rPr>
          <w:i/>
        </w:rPr>
        <w:t>argumento</w:t>
      </w:r>
      <w:r w:rsidR="00D90B78">
        <w:t xml:space="preserve"> ou </w:t>
      </w:r>
      <w:r w:rsidR="00D90B78">
        <w:rPr>
          <w:i/>
        </w:rPr>
        <w:t>guião literário</w:t>
      </w:r>
      <w:r w:rsidR="00D90B78" w:rsidRPr="00D90B78">
        <w:rPr>
          <w:rStyle w:val="Refdenotaderodap"/>
        </w:rPr>
        <w:footnoteReference w:id="1"/>
      </w:r>
      <w:r w:rsidR="00D90B78">
        <w:t xml:space="preserve">, muito </w:t>
      </w:r>
      <w:r w:rsidR="00D90B78">
        <w:lastRenderedPageBreak/>
        <w:t>provavelmente em estrita colaboração com Mário Barroso, da forma que o fez.</w:t>
      </w:r>
      <w:r w:rsidR="00281A02">
        <w:t xml:space="preserve"> Restará saber se, do filme, existe um registo equivalente ao que, na nota anterior designámos por guião cinematográfico, segundo a terminologia proposta pelos mestres de tal </w:t>
      </w:r>
      <w:proofErr w:type="gramStart"/>
      <w:r w:rsidR="00281A02">
        <w:t>matéria.</w:t>
      </w:r>
      <w:r w:rsidR="00D90B78">
        <w:t xml:space="preserve">  </w:t>
      </w:r>
      <w:proofErr w:type="gramEnd"/>
      <w:r w:rsidR="00FD2E75">
        <w:t>Que o realizador toma as suas liberdades em relação ao argumento não há dúvida. Os primeiros planos do filme, que assumimos como sendo uma sequência pré-diegética, integrável ainda no discurso do genérico</w:t>
      </w:r>
      <w:r w:rsidR="00B5040A">
        <w:t>,</w:t>
      </w:r>
      <w:r w:rsidR="00FD2E75">
        <w:t xml:space="preserve"> colam-se</w:t>
      </w:r>
      <w:r w:rsidR="00DB03C1">
        <w:t xml:space="preserve"> à sequência proposta pelo pré-texto verbal</w:t>
      </w:r>
      <w:r w:rsidR="00FD2E75">
        <w:t xml:space="preserve">, formando uma espécie de </w:t>
      </w:r>
      <w:proofErr w:type="spellStart"/>
      <w:r w:rsidR="00FD2E75">
        <w:t>prolepse</w:t>
      </w:r>
      <w:proofErr w:type="spellEnd"/>
      <w:r w:rsidR="00FD2E75">
        <w:t xml:space="preserve"> em relação ao </w:t>
      </w:r>
      <w:proofErr w:type="spellStart"/>
      <w:r w:rsidR="00FD2E75" w:rsidRPr="00FD2E75">
        <w:rPr>
          <w:b/>
        </w:rPr>
        <w:t>incipit</w:t>
      </w:r>
      <w:proofErr w:type="spellEnd"/>
      <w:r w:rsidR="00FD2E75">
        <w:t xml:space="preserve"> do argumento literário</w:t>
      </w:r>
      <w:r w:rsidR="00DB03C1">
        <w:t xml:space="preserve">. Procurando evitar a distorção interpretativa por unilateralidade </w:t>
      </w:r>
      <w:proofErr w:type="spellStart"/>
      <w:r w:rsidR="00DB03C1">
        <w:t>subjectivizante</w:t>
      </w:r>
      <w:proofErr w:type="spellEnd"/>
      <w:r w:rsidR="00DB03C1">
        <w:t>, preferimos apresentar a sequência segundo as palavras que Diana Couto usa na sua tese:</w:t>
      </w:r>
    </w:p>
    <w:p w:rsidR="00DB03C1" w:rsidRDefault="00DB03C1" w:rsidP="0007315C"/>
    <w:p w:rsidR="00FD2E75" w:rsidRPr="00416D13" w:rsidRDefault="00FD2E75" w:rsidP="00416D13">
      <w:pPr>
        <w:spacing w:line="240" w:lineRule="auto"/>
        <w:ind w:left="1644"/>
        <w:rPr>
          <w:sz w:val="20"/>
          <w:szCs w:val="20"/>
        </w:rPr>
      </w:pPr>
      <w:r w:rsidRPr="00416D13">
        <w:rPr>
          <w:sz w:val="20"/>
          <w:szCs w:val="20"/>
        </w:rPr>
        <w:t xml:space="preserve"> “Logo depois do título, um plano de conjunto relâmpago, em </w:t>
      </w:r>
      <w:proofErr w:type="spellStart"/>
      <w:r w:rsidRPr="00416D13">
        <w:rPr>
          <w:i/>
          <w:iCs/>
          <w:sz w:val="20"/>
          <w:szCs w:val="20"/>
        </w:rPr>
        <w:t>plongée</w:t>
      </w:r>
      <w:proofErr w:type="spellEnd"/>
      <w:r w:rsidRPr="00416D13">
        <w:rPr>
          <w:sz w:val="20"/>
          <w:szCs w:val="20"/>
        </w:rPr>
        <w:t>, de três pastorinhos num terreno ermo, em estado de veneração, de joelhos a benzerem-se e a</w:t>
      </w:r>
      <w:r w:rsidR="00DB03C1" w:rsidRPr="00416D13">
        <w:rPr>
          <w:sz w:val="20"/>
          <w:szCs w:val="20"/>
        </w:rPr>
        <w:t xml:space="preserve"> </w:t>
      </w:r>
      <w:r w:rsidRPr="00416D13">
        <w:rPr>
          <w:sz w:val="20"/>
          <w:szCs w:val="20"/>
        </w:rPr>
        <w:t>olharem para cima. Associamos logo estas três personagens, um rapaz e duas raparigas, aos três pastorinhos de Fátima. O efeito é esmagador: imaginamos logo que quem está</w:t>
      </w:r>
      <w:r w:rsidR="00DB03C1" w:rsidRPr="00416D13">
        <w:rPr>
          <w:sz w:val="20"/>
          <w:szCs w:val="20"/>
        </w:rPr>
        <w:t xml:space="preserve"> </w:t>
      </w:r>
      <w:r w:rsidRPr="00416D13">
        <w:rPr>
          <w:sz w:val="20"/>
          <w:szCs w:val="20"/>
        </w:rPr>
        <w:t>no plano superior é a Nossa Senhora.</w:t>
      </w:r>
      <w:r w:rsidR="00DB03C1" w:rsidRPr="00416D13">
        <w:rPr>
          <w:sz w:val="20"/>
          <w:szCs w:val="20"/>
        </w:rPr>
        <w:t xml:space="preserve"> </w:t>
      </w:r>
      <w:r w:rsidRPr="00416D13">
        <w:rPr>
          <w:sz w:val="20"/>
          <w:szCs w:val="20"/>
        </w:rPr>
        <w:t xml:space="preserve">Ora, eis que nos aparece logo, de facto, em </w:t>
      </w:r>
      <w:proofErr w:type="spellStart"/>
      <w:r w:rsidRPr="00416D13">
        <w:rPr>
          <w:i/>
          <w:iCs/>
          <w:sz w:val="20"/>
          <w:szCs w:val="20"/>
        </w:rPr>
        <w:t>contre-plongée</w:t>
      </w:r>
      <w:proofErr w:type="spellEnd"/>
      <w:r w:rsidRPr="00416D13">
        <w:rPr>
          <w:sz w:val="20"/>
          <w:szCs w:val="20"/>
        </w:rPr>
        <w:t>, uma figura feminina</w:t>
      </w:r>
      <w:r w:rsidR="00DB03C1" w:rsidRPr="00416D13">
        <w:rPr>
          <w:sz w:val="20"/>
          <w:szCs w:val="20"/>
        </w:rPr>
        <w:t xml:space="preserve"> </w:t>
      </w:r>
      <w:r w:rsidRPr="00416D13">
        <w:rPr>
          <w:sz w:val="20"/>
          <w:szCs w:val="20"/>
        </w:rPr>
        <w:t>vestida de uma capa azul claro, cobrindo-lhe também a cabeça, que, por estar contra o</w:t>
      </w:r>
      <w:r w:rsidR="00DB03C1" w:rsidRPr="00416D13">
        <w:rPr>
          <w:sz w:val="20"/>
          <w:szCs w:val="20"/>
        </w:rPr>
        <w:t xml:space="preserve"> </w:t>
      </w:r>
      <w:r w:rsidRPr="00416D13">
        <w:rPr>
          <w:sz w:val="20"/>
          <w:szCs w:val="20"/>
        </w:rPr>
        <w:t>sol, se torna quase imperceptível, não sendo, pois, possível delinear-lhe os traços do</w:t>
      </w:r>
      <w:r w:rsidR="00DB03C1" w:rsidRPr="00416D13">
        <w:rPr>
          <w:sz w:val="20"/>
          <w:szCs w:val="20"/>
        </w:rPr>
        <w:t xml:space="preserve"> </w:t>
      </w:r>
      <w:r w:rsidRPr="00416D13">
        <w:rPr>
          <w:sz w:val="20"/>
          <w:szCs w:val="20"/>
        </w:rPr>
        <w:t>rosto. O Milagre aparece logo na abertura do filme, como se, em forma de preâmbulo,</w:t>
      </w:r>
      <w:r w:rsidR="00DB03C1" w:rsidRPr="00416D13">
        <w:rPr>
          <w:sz w:val="20"/>
          <w:szCs w:val="20"/>
        </w:rPr>
        <w:t xml:space="preserve"> </w:t>
      </w:r>
      <w:r w:rsidRPr="00416D13">
        <w:rPr>
          <w:sz w:val="20"/>
          <w:szCs w:val="20"/>
        </w:rPr>
        <w:t>pretendesse dar já uma informação ao espectador, como se quisesse que esta imagem</w:t>
      </w:r>
      <w:r w:rsidR="00DB03C1" w:rsidRPr="00416D13">
        <w:rPr>
          <w:sz w:val="20"/>
          <w:szCs w:val="20"/>
        </w:rPr>
        <w:t xml:space="preserve"> </w:t>
      </w:r>
      <w:r w:rsidRPr="00416D13">
        <w:rPr>
          <w:sz w:val="20"/>
          <w:szCs w:val="20"/>
        </w:rPr>
        <w:t xml:space="preserve">da Aparição </w:t>
      </w:r>
      <w:proofErr w:type="spellStart"/>
      <w:r w:rsidR="00735AC8" w:rsidRPr="00416D13">
        <w:rPr>
          <w:sz w:val="20"/>
          <w:szCs w:val="20"/>
        </w:rPr>
        <w:t>œœ</w:t>
      </w:r>
      <w:r w:rsidRPr="00416D13">
        <w:rPr>
          <w:sz w:val="20"/>
          <w:szCs w:val="20"/>
        </w:rPr>
        <w:t>não</w:t>
      </w:r>
      <w:proofErr w:type="spellEnd"/>
      <w:r w:rsidRPr="00416D13">
        <w:rPr>
          <w:sz w:val="20"/>
          <w:szCs w:val="20"/>
        </w:rPr>
        <w:t xml:space="preserve"> saísse mais da sua memória”</w:t>
      </w:r>
      <w:r w:rsidR="00DB03C1" w:rsidRPr="00416D13">
        <w:rPr>
          <w:sz w:val="20"/>
          <w:szCs w:val="20"/>
        </w:rPr>
        <w:t xml:space="preserve"> (2009: 119).</w:t>
      </w:r>
    </w:p>
    <w:p w:rsidR="0007184D" w:rsidRPr="005D6901" w:rsidRDefault="0007184D" w:rsidP="0007315C">
      <w:r>
        <w:t xml:space="preserve">    </w:t>
      </w:r>
    </w:p>
    <w:p w:rsidR="006C799D" w:rsidRDefault="003E4189" w:rsidP="0007315C">
      <w:r>
        <w:t>Só depois aparece o “agora” – “Lisboa, por volta de 1917” - anunciado nas primeiras linhas do argumento literário, embora o sistema audiovisual permita acrescentar o repicar do sino ao texto</w:t>
      </w:r>
      <w:r w:rsidR="00317E1B">
        <w:t xml:space="preserve"> que não o assinala</w:t>
      </w:r>
      <w:r w:rsidR="00203B55">
        <w:t>.</w:t>
      </w:r>
      <w:r>
        <w:t xml:space="preserve"> “A procissão </w:t>
      </w:r>
      <w:proofErr w:type="spellStart"/>
      <w:r>
        <w:t>dae</w:t>
      </w:r>
      <w:proofErr w:type="spellEnd"/>
      <w:r>
        <w:t xml:space="preserve"> Santa Maria Madalena pela paz e pela redenção das meretrizes” (</w:t>
      </w:r>
      <w:proofErr w:type="spellStart"/>
      <w:r>
        <w:t>Saboga</w:t>
      </w:r>
      <w:proofErr w:type="spellEnd"/>
      <w:r>
        <w:t>, s/d: 2)</w:t>
      </w:r>
      <w:r w:rsidR="00203B55">
        <w:t xml:space="preserve"> é o</w:t>
      </w:r>
      <w:r>
        <w:t xml:space="preserve"> que surge</w:t>
      </w:r>
      <w:r w:rsidR="00203B55">
        <w:t>, no filme,</w:t>
      </w:r>
      <w:r>
        <w:t xml:space="preserve"> </w:t>
      </w:r>
      <w:r w:rsidR="00D42D13">
        <w:t xml:space="preserve">como </w:t>
      </w:r>
      <w:proofErr w:type="spellStart"/>
      <w:r w:rsidR="00D42D13">
        <w:t>sinédoque</w:t>
      </w:r>
      <w:proofErr w:type="spellEnd"/>
      <w:r w:rsidR="00317E1B">
        <w:t>,</w:t>
      </w:r>
      <w:r w:rsidR="00D42D13">
        <w:t xml:space="preserve"> </w:t>
      </w:r>
      <w:r>
        <w:t>num rosto de</w:t>
      </w:r>
      <w:r w:rsidR="00D42D13">
        <w:t xml:space="preserve"> mulher velada</w:t>
      </w:r>
      <w:r>
        <w:t>, num primeiro plano/enquadramento</w:t>
      </w:r>
      <w:r w:rsidR="00203B55">
        <w:t>,</w:t>
      </w:r>
      <w:r>
        <w:t xml:space="preserve"> como primeiro plano da sequência que depois de desvela em planos de fundo nos seguintes </w:t>
      </w:r>
      <w:r>
        <w:lastRenderedPageBreak/>
        <w:t>planos</w:t>
      </w:r>
      <w:r w:rsidR="00203B55">
        <w:rPr>
          <w:rStyle w:val="Refdenotaderodap"/>
        </w:rPr>
        <w:footnoteReference w:id="2"/>
      </w:r>
      <w:r>
        <w:t xml:space="preserve"> sequenciais</w:t>
      </w:r>
      <w:r w:rsidR="00D42D13">
        <w:t>, aparecendo como imagem estatuária em tamanho natural enquadrada no conjunto de devotos, fiéis e acompanhantes.</w:t>
      </w:r>
    </w:p>
    <w:p w:rsidR="00514E6A" w:rsidRDefault="00B5040A" w:rsidP="0007315C">
      <w:r>
        <w:t xml:space="preserve">     É claro que este começo, em que uma </w:t>
      </w:r>
      <w:proofErr w:type="spellStart"/>
      <w:r>
        <w:t>prolepse</w:t>
      </w:r>
      <w:proofErr w:type="spellEnd"/>
      <w:r>
        <w:t xml:space="preserve"> anuncia, quase em genérico, o acontecimento que será a grande peripécia a partir da qual a acção dramática se intensifica, arrasta consequências para a dimensão temática do filme: propõe a questão religiosa, toda a dimensão cultural, ideológica e simbólica que o milagre arrasta, para o centro dominante da acção posta em cena. Assim, o actuar das personagens, quer na dimensão pública do campo, da rua, do salão e doutros espaços de convívio</w:t>
      </w:r>
      <w:r w:rsidR="00DE604C">
        <w:t xml:space="preserve">, quer na privada, dos actos íntimos e das paixões, aparece francamente sobredeterminada pela dimensão da crença ou mesmo do arrebatamento fanático. É verdade que o título da obra, que o filme importa integralmente do livro, quase o único acto em que lhe é integralmente “fiel”, pressupunha uma tematização em que a dimensão da religiosidade se poderia entender como dominante. A posição retórica do título pressupõe esse predomínio </w:t>
      </w:r>
      <w:proofErr w:type="spellStart"/>
      <w:r w:rsidR="00DE604C">
        <w:t>macroestrutural</w:t>
      </w:r>
      <w:proofErr w:type="spellEnd"/>
      <w:r w:rsidR="003C750F">
        <w:t>, de facto, mas o romance de Miguéis</w:t>
      </w:r>
      <w:r w:rsidR="00C70BC6">
        <w:t>,</w:t>
      </w:r>
      <w:r w:rsidR="003C750F">
        <w:t xml:space="preserve"> de algum modo</w:t>
      </w:r>
      <w:r w:rsidR="00C70BC6">
        <w:t>,</w:t>
      </w:r>
      <w:r w:rsidR="003C750F">
        <w:t xml:space="preserve"> joga com o efeito resultante dessa pressuposição em oposição aos elementos da narrativa que, tendo nela uma presença semântica e ideológica muito poderosa, manifestam uma apenas uma fraca relação com o sagrado ou uma vaga dependência da crença.</w:t>
      </w:r>
    </w:p>
    <w:p w:rsidR="000C7A5F" w:rsidRDefault="00514E6A" w:rsidP="0007315C">
      <w:r>
        <w:t xml:space="preserve">     De facto, é bastante curioso que, de um modo geral, as personagens do romance de Miguéis, incluindo a própria protagonista, crismada (para não dizer “</w:t>
      </w:r>
      <w:proofErr w:type="spellStart"/>
      <w:r>
        <w:t>carismada</w:t>
      </w:r>
      <w:proofErr w:type="spellEnd"/>
      <w:r>
        <w:t>”)</w:t>
      </w:r>
      <w:r w:rsidR="003C750F">
        <w:t xml:space="preserve"> </w:t>
      </w:r>
      <w:r>
        <w:t>Salomé muito profanamente (para não dizer sacrilegamente), nunca, ou quase nunca</w:t>
      </w:r>
      <w:r w:rsidR="00C70BC6">
        <w:t>,</w:t>
      </w:r>
      <w:r>
        <w:t xml:space="preserve"> (Salomé tem alguns rebates de religiosidade, depois do incidente traumático que a transformou em origem do milagre, sem que disso se apercebesse), se manifestam crentes ou preocupados com o sagrado</w:t>
      </w:r>
      <w:r w:rsidR="000C7A5F">
        <w:t>. É claro que o filme, ao dramatizar apenas uma parte da acção que o romance narra, para obter maior coesão e concentração da acção, tem de propor a sua “leitura” dessa dimensão ideológica da temática presente na narrativa literária. Por isso, a dimensão ritual da religião, destacada logo nas primeiras imagens, emerge como demonstração de que a crença existe muito mais pela exteriorização histriónica do que pela adesão profunda das personagens.</w:t>
      </w:r>
    </w:p>
    <w:p w:rsidR="001F102F" w:rsidRDefault="000C7A5F" w:rsidP="0007315C">
      <w:r>
        <w:lastRenderedPageBreak/>
        <w:t xml:space="preserve">    No plano da organização da narrativa como sequencialidade de acções encadeadas, </w:t>
      </w:r>
      <w:r w:rsidR="00BC2302">
        <w:t>o filme respeita, em geral, a ordem cronológica da apresentação dos factos, em sucessividade, pela instância narradora. É claro que alguns aspectos iterativos do romance, que Miguéis apresenta como ocorrências da vivência de rotina do casal</w:t>
      </w:r>
      <w:r w:rsidR="00C70BC6">
        <w:t xml:space="preserve"> </w:t>
      </w:r>
      <w:proofErr w:type="spellStart"/>
      <w:r w:rsidR="00C70BC6">
        <w:t>Zabujeira</w:t>
      </w:r>
      <w:proofErr w:type="spellEnd"/>
      <w:r w:rsidR="00C70BC6">
        <w:t>/Salomé</w:t>
      </w:r>
      <w:r w:rsidR="00BC2302">
        <w:t xml:space="preserve">, quer em privado quer em </w:t>
      </w:r>
      <w:proofErr w:type="gramStart"/>
      <w:r w:rsidR="00BC2302">
        <w:t>público,  nomeadamente</w:t>
      </w:r>
      <w:proofErr w:type="gramEnd"/>
      <w:r w:rsidR="00BC2302">
        <w:t xml:space="preserve"> nos convívios de que são anfitriões,</w:t>
      </w:r>
      <w:r w:rsidR="00FC5445">
        <w:t xml:space="preserve"> de onde resulta uma das mais sumptuosas e mais bem sucedidas sequências do filme, bastante longa, contendo, ela própria várias </w:t>
      </w:r>
      <w:r w:rsidR="001F102F">
        <w:t xml:space="preserve">cenas ou </w:t>
      </w:r>
      <w:r w:rsidR="00FC5445">
        <w:t>sequên</w:t>
      </w:r>
      <w:r w:rsidR="001F102F">
        <w:t>cias menores, em que se apresenta uma amostra da melhor sociedade numa recepção que Cerqueira (Zambujeira, no romance) dá, em grande parte para apresentar Salomé, sua amante inteiramente assumida.</w:t>
      </w:r>
    </w:p>
    <w:p w:rsidR="005631B1" w:rsidRDefault="001F102F" w:rsidP="0007315C">
      <w:r>
        <w:t xml:space="preserve">    Concentrada a acção num reduto temporal muito menos amplo do que o que se patenteia no romance, o filme refaz a ordem segundo a qual alguns </w:t>
      </w:r>
      <w:r w:rsidR="00C70BC6">
        <w:t>acontecimentos se desenrolam</w:t>
      </w:r>
      <w:r>
        <w:t xml:space="preserve">, </w:t>
      </w:r>
      <w:r w:rsidR="00C70BC6">
        <w:t xml:space="preserve">a relação de Zambujeira com Salomé </w:t>
      </w:r>
      <w:r>
        <w:t xml:space="preserve">acaba por ficar menos desenvolvida, coexistindo as aproximações entre </w:t>
      </w:r>
      <w:r w:rsidR="00C70BC6">
        <w:t>Gabriel</w:t>
      </w:r>
      <w:r>
        <w:t xml:space="preserve"> e Salomé com </w:t>
      </w:r>
      <w:r w:rsidR="00177821">
        <w:t xml:space="preserve">a continuação da relação que a protagonista mantinha com Cerqueira, o que no romance não acontece. O enredo dramático adensa-se, deste modo, na obra cinematográfica, de tal modo que aí se inverte o “final feliz” presente no romance, onde se anuncia quase a idílica união interminável de Gabriel e Salomé. De facto, o desenlace em que o tenente </w:t>
      </w:r>
      <w:r w:rsidR="004C6954">
        <w:t>Braz (</w:t>
      </w:r>
      <w:proofErr w:type="spellStart"/>
      <w:r w:rsidR="004C6954">
        <w:t>Azaredo</w:t>
      </w:r>
      <w:proofErr w:type="spellEnd"/>
      <w:r w:rsidR="004C6954">
        <w:t>, no romance) abate Salomé, Gabriel e o casal amigo que se encontrava em casa del</w:t>
      </w:r>
      <w:r w:rsidR="008771AD">
        <w:t>e</w:t>
      </w:r>
      <w:r w:rsidR="006A4AB6">
        <w:t>, vem alterar completamente o tom da construção da intriga, eliminando a dimens</w:t>
      </w:r>
      <w:r w:rsidR="005631B1">
        <w:t>ão optimista da comédia popular</w:t>
      </w:r>
      <w:r w:rsidR="006A4AB6">
        <w:t xml:space="preserve"> </w:t>
      </w:r>
      <w:r w:rsidR="005631B1">
        <w:t>(que tende a premiar</w:t>
      </w:r>
      <w:r w:rsidR="006A4AB6">
        <w:t xml:space="preserve"> uma aprendizagem positiva da vida</w:t>
      </w:r>
      <w:r w:rsidR="005631B1">
        <w:t>)</w:t>
      </w:r>
      <w:r w:rsidR="006A4AB6">
        <w:t xml:space="preserve"> e introduzindo o discurso disfórico pela nota trágica a culminar o enredo melodramático.</w:t>
      </w:r>
    </w:p>
    <w:p w:rsidR="009C39AF" w:rsidRDefault="005631B1" w:rsidP="0007315C">
      <w:r>
        <w:t xml:space="preserve">     Assim, podemos dizer que o filme opera duas operações </w:t>
      </w:r>
      <w:proofErr w:type="spellStart"/>
      <w:r>
        <w:t>macroestruturais</w:t>
      </w:r>
      <w:proofErr w:type="spellEnd"/>
      <w:r>
        <w:t>, para introduzir o ritmo narrativo na sua dramaticidade e actualizar</w:t>
      </w:r>
      <w:r w:rsidR="00177821">
        <w:t xml:space="preserve"> </w:t>
      </w:r>
      <w:r>
        <w:t xml:space="preserve">a avaliação ideológica na sua dimensão temática: a transformação </w:t>
      </w:r>
      <w:r w:rsidR="009C39AF">
        <w:t>do final feliz em patética pirueta trágica que os pregões finais dos ardinas sobre as aparições vêm reforçar; e a redução da temporalidade do romance</w:t>
      </w:r>
      <w:r w:rsidR="0007315C">
        <w:t>,</w:t>
      </w:r>
      <w:r w:rsidR="009C39AF">
        <w:t xml:space="preserve"> expandida desde a meninice de Zambujeira até à sua provecta idade</w:t>
      </w:r>
      <w:r w:rsidR="0007315C">
        <w:t>,</w:t>
      </w:r>
      <w:r w:rsidR="009C39AF">
        <w:t xml:space="preserve"> a um presente dramático em que ele, já sexagenário</w:t>
      </w:r>
      <w:r w:rsidR="0007315C">
        <w:t>, (com o nome de Cerqueira),</w:t>
      </w:r>
      <w:r w:rsidR="009C39AF">
        <w:t xml:space="preserve"> actua como amante da mulher que nunca conhecera como Dores e apenas reconhece como rameira que sobressai na “profissão” pela sua imensa beleza e uma “aura” de quase santidade.</w:t>
      </w:r>
      <w:r w:rsidR="0007315C">
        <w:t xml:space="preserve"> De algum modo, o guionista e o realizador optaram por retirar ao romance aquela dimensão que Cláudia Sousa Dias, num dos textos mais </w:t>
      </w:r>
      <w:r w:rsidR="0007315C">
        <w:lastRenderedPageBreak/>
        <w:t>extensos e atentos que, recentemente, foram dedicados a esta obra de M</w:t>
      </w:r>
      <w:r w:rsidR="00C70BC6">
        <w:t>iguéis, caracteriza do seguinte modo</w:t>
      </w:r>
      <w:r w:rsidR="0007315C">
        <w:t>:</w:t>
      </w:r>
    </w:p>
    <w:p w:rsidR="0007315C" w:rsidRDefault="0007315C" w:rsidP="0007315C"/>
    <w:p w:rsidR="0007315C" w:rsidRDefault="0007315C" w:rsidP="0007315C">
      <w:pPr>
        <w:pStyle w:val="PargrafodaLista"/>
        <w:spacing w:line="240" w:lineRule="auto"/>
        <w:ind w:left="1644"/>
        <w:rPr>
          <w:sz w:val="20"/>
          <w:szCs w:val="20"/>
        </w:rPr>
      </w:pPr>
      <w:r w:rsidRPr="0007315C">
        <w:rPr>
          <w:sz w:val="20"/>
          <w:szCs w:val="20"/>
        </w:rPr>
        <w:t>“</w:t>
      </w:r>
      <w:r w:rsidR="009C39AF" w:rsidRPr="0007315C">
        <w:rPr>
          <w:sz w:val="20"/>
          <w:szCs w:val="20"/>
        </w:rPr>
        <w:t xml:space="preserve">Na primeira parte, intitulada </w:t>
      </w:r>
      <w:r w:rsidR="009C39AF" w:rsidRPr="0007315C">
        <w:rPr>
          <w:i/>
          <w:iCs/>
          <w:sz w:val="20"/>
          <w:szCs w:val="20"/>
        </w:rPr>
        <w:t>A Queda Ascen</w:t>
      </w:r>
      <w:r w:rsidRPr="0007315C">
        <w:rPr>
          <w:i/>
          <w:iCs/>
          <w:sz w:val="20"/>
          <w:szCs w:val="20"/>
        </w:rPr>
        <w:t>s</w:t>
      </w:r>
      <w:r w:rsidR="009C39AF" w:rsidRPr="0007315C">
        <w:rPr>
          <w:i/>
          <w:iCs/>
          <w:sz w:val="20"/>
          <w:szCs w:val="20"/>
        </w:rPr>
        <w:t>ional</w:t>
      </w:r>
      <w:r w:rsidR="009C39AF" w:rsidRPr="0007315C">
        <w:rPr>
          <w:sz w:val="20"/>
          <w:szCs w:val="20"/>
        </w:rPr>
        <w:t xml:space="preserve"> os </w:t>
      </w:r>
      <w:r w:rsidR="009C39AF" w:rsidRPr="0007315C">
        <w:rPr>
          <w:i/>
          <w:iCs/>
          <w:sz w:val="20"/>
          <w:szCs w:val="20"/>
        </w:rPr>
        <w:t>Retrospectos</w:t>
      </w:r>
      <w:r w:rsidR="009C39AF" w:rsidRPr="0007315C">
        <w:rPr>
          <w:sz w:val="20"/>
          <w:szCs w:val="20"/>
        </w:rPr>
        <w:t xml:space="preserve"> descrevem os antecedentes das personagens principais que interagem durante a trama propriamente dita.</w:t>
      </w:r>
      <w:r w:rsidR="009C39AF" w:rsidRPr="0007315C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  <w:r w:rsidR="009C39AF" w:rsidRPr="0007315C">
        <w:rPr>
          <w:sz w:val="20"/>
          <w:szCs w:val="20"/>
        </w:rPr>
        <w:t xml:space="preserve">Trata-se de um texto, de certa forma, atípico em relação ao resto do romance. O registo utilizado nesta secção da narrativa está recheado de juízos de valor, onde o narrador utiliza uma linguagem que apela ao sentimento a fazer lembrar os ultra-românticos, Victor Hugo, Camilo Castelo Branco ou Castilho, o que retira um pouco a qualidade literária ao texto. Contudo, logo após as primeiras cem páginas, o Autor abandona o tom persuasivo relativamente ao carácter de algumas personagens e adopta um estilo de prosa mais analítico e objectivo – sobretudo nos </w:t>
      </w:r>
      <w:r w:rsidR="009C39AF" w:rsidRPr="0007315C">
        <w:rPr>
          <w:i/>
          <w:iCs/>
          <w:sz w:val="20"/>
          <w:szCs w:val="20"/>
        </w:rPr>
        <w:t>Entremezes</w:t>
      </w:r>
      <w:r w:rsidR="009C39AF" w:rsidRPr="0007315C">
        <w:rPr>
          <w:sz w:val="20"/>
          <w:szCs w:val="20"/>
        </w:rPr>
        <w:t xml:space="preserve"> de Gabriel Arcanjo – de onde sobressai a veia satírica e</w:t>
      </w:r>
      <w:r>
        <w:rPr>
          <w:sz w:val="20"/>
          <w:szCs w:val="20"/>
        </w:rPr>
        <w:t xml:space="preserve"> irónica do Autor, a tónica </w:t>
      </w:r>
      <w:proofErr w:type="gramStart"/>
      <w:r>
        <w:rPr>
          <w:sz w:val="20"/>
          <w:szCs w:val="20"/>
        </w:rPr>
        <w:t>que</w:t>
      </w:r>
      <w:proofErr w:type="gramEnd"/>
      <w:r>
        <w:rPr>
          <w:sz w:val="20"/>
          <w:szCs w:val="20"/>
        </w:rPr>
        <w:t xml:space="preserve"> </w:t>
      </w:r>
    </w:p>
    <w:p w:rsidR="0007315C" w:rsidRDefault="009C39AF" w:rsidP="0007315C">
      <w:pPr>
        <w:pStyle w:val="PargrafodaLista"/>
        <w:spacing w:line="240" w:lineRule="auto"/>
        <w:ind w:left="1644"/>
        <w:rPr>
          <w:sz w:val="20"/>
          <w:szCs w:val="20"/>
        </w:rPr>
      </w:pPr>
      <w:proofErr w:type="gramStart"/>
      <w:r w:rsidRPr="0007315C">
        <w:rPr>
          <w:sz w:val="20"/>
          <w:szCs w:val="20"/>
        </w:rPr>
        <w:t>irá</w:t>
      </w:r>
      <w:proofErr w:type="gramEnd"/>
      <w:r w:rsidR="0007315C" w:rsidRPr="0007315C">
        <w:rPr>
          <w:sz w:val="20"/>
          <w:szCs w:val="20"/>
        </w:rPr>
        <w:t xml:space="preserve"> </w:t>
      </w:r>
      <w:r w:rsidRPr="0007315C">
        <w:rPr>
          <w:sz w:val="20"/>
          <w:szCs w:val="20"/>
        </w:rPr>
        <w:t>dominar todo o romance.</w:t>
      </w:r>
      <w:r w:rsidR="0007315C" w:rsidRPr="0007315C">
        <w:rPr>
          <w:sz w:val="20"/>
          <w:szCs w:val="20"/>
        </w:rPr>
        <w:t xml:space="preserve"> </w:t>
      </w:r>
    </w:p>
    <w:p w:rsidR="0007315C" w:rsidRDefault="0007315C" w:rsidP="0007315C">
      <w:pPr>
        <w:pStyle w:val="PargrafodaLista"/>
        <w:spacing w:line="240" w:lineRule="auto"/>
        <w:ind w:left="1644"/>
        <w:rPr>
          <w:sz w:val="20"/>
          <w:szCs w:val="20"/>
        </w:rPr>
      </w:pPr>
    </w:p>
    <w:p w:rsidR="0007315C" w:rsidRDefault="0007315C" w:rsidP="0007315C">
      <w:pPr>
        <w:pStyle w:val="PargrafodaLista"/>
        <w:spacing w:line="240" w:lineRule="auto"/>
        <w:ind w:left="1644"/>
        <w:rPr>
          <w:sz w:val="20"/>
          <w:szCs w:val="20"/>
        </w:rPr>
      </w:pPr>
    </w:p>
    <w:p w:rsidR="0007315C" w:rsidRPr="0007315C" w:rsidRDefault="0007315C" w:rsidP="0007315C">
      <w:pPr>
        <w:pStyle w:val="PargrafodaLista"/>
        <w:ind w:left="0"/>
      </w:pPr>
      <w:r>
        <w:t xml:space="preserve">     Assumem assim, os cineastas, a sua opção actualizar o discurso narrativo retirando-lhe, na dimensão retórica, a ganga directamente argumentativa e, na poética, o pendor romanesco para ser biografia (acompanhando o evoluir da personagem ao longo da vida, como </w:t>
      </w:r>
      <w:proofErr w:type="spellStart"/>
      <w:r>
        <w:t>Dickens</w:t>
      </w:r>
      <w:proofErr w:type="spellEnd"/>
      <w:r>
        <w:t xml:space="preserve"> faz com o seu </w:t>
      </w:r>
      <w:r w:rsidRPr="0007315C">
        <w:rPr>
          <w:i/>
        </w:rPr>
        <w:t xml:space="preserve">David </w:t>
      </w:r>
      <w:proofErr w:type="spellStart"/>
      <w:r w:rsidRPr="0007315C">
        <w:rPr>
          <w:i/>
        </w:rPr>
        <w:t>Copperfield</w:t>
      </w:r>
      <w:proofErr w:type="spellEnd"/>
      <w:r>
        <w:t xml:space="preserve">, por exemplo, instituindo o modelo, ainda que em tom de paródia às estruturas do melodrama), fazendo assim funcionar, com o máximo de intensidade, a dimensão dramática em torno da qual se estrutura a segunda parte da narrativa, aquela em que Zambujeira/Cerqueira é já sexagenário e a sua amante é já, plena e assumidamente, a esplendorosa Salomé.    </w:t>
      </w:r>
    </w:p>
    <w:p w:rsidR="0007315C" w:rsidRDefault="0007315C" w:rsidP="0007315C">
      <w:pPr>
        <w:pStyle w:val="PargrafodaLista"/>
        <w:spacing w:line="240" w:lineRule="auto"/>
        <w:ind w:left="1644"/>
        <w:rPr>
          <w:sz w:val="20"/>
          <w:szCs w:val="20"/>
        </w:rPr>
      </w:pPr>
    </w:p>
    <w:p w:rsidR="00B5040A" w:rsidRPr="0007315C" w:rsidRDefault="009C39AF" w:rsidP="0007315C">
      <w:pPr>
        <w:pStyle w:val="PargrafodaLista"/>
        <w:spacing w:line="240" w:lineRule="auto"/>
        <w:ind w:left="1644"/>
        <w:rPr>
          <w:sz w:val="20"/>
          <w:szCs w:val="20"/>
        </w:rPr>
      </w:pPr>
      <w:r w:rsidRPr="0007315C">
        <w:rPr>
          <w:sz w:val="20"/>
          <w:szCs w:val="20"/>
        </w:rPr>
        <w:br/>
      </w:r>
      <w:r w:rsidR="001F102F" w:rsidRPr="0007315C">
        <w:rPr>
          <w:sz w:val="20"/>
          <w:szCs w:val="20"/>
        </w:rPr>
        <w:t xml:space="preserve"> </w:t>
      </w:r>
      <w:r w:rsidR="00BC2302" w:rsidRPr="0007315C">
        <w:rPr>
          <w:sz w:val="20"/>
          <w:szCs w:val="20"/>
        </w:rPr>
        <w:t xml:space="preserve">  </w:t>
      </w:r>
      <w:r w:rsidR="000C7A5F" w:rsidRPr="0007315C">
        <w:rPr>
          <w:sz w:val="20"/>
          <w:szCs w:val="20"/>
        </w:rPr>
        <w:t xml:space="preserve"> </w:t>
      </w:r>
      <w:r w:rsidR="00514E6A" w:rsidRPr="0007315C">
        <w:rPr>
          <w:sz w:val="20"/>
          <w:szCs w:val="20"/>
        </w:rPr>
        <w:t xml:space="preserve"> </w:t>
      </w:r>
      <w:r w:rsidR="00DE604C" w:rsidRPr="0007315C">
        <w:rPr>
          <w:sz w:val="20"/>
          <w:szCs w:val="20"/>
        </w:rPr>
        <w:t xml:space="preserve">    </w:t>
      </w:r>
      <w:r w:rsidR="00B5040A" w:rsidRPr="0007315C">
        <w:rPr>
          <w:sz w:val="20"/>
          <w:szCs w:val="20"/>
        </w:rPr>
        <w:t xml:space="preserve">  </w:t>
      </w:r>
    </w:p>
    <w:p w:rsidR="006C799D" w:rsidRDefault="006C799D" w:rsidP="0007315C"/>
    <w:p w:rsidR="008F01AB" w:rsidRDefault="006C799D" w:rsidP="0007315C">
      <w:r>
        <w:t xml:space="preserve"> </w:t>
      </w:r>
      <w:r w:rsidR="0098119D">
        <w:t xml:space="preserve"> </w:t>
      </w:r>
      <w:r w:rsidR="00203E17">
        <w:t xml:space="preserve"> </w:t>
      </w:r>
      <w:r w:rsidR="001205CF">
        <w:t xml:space="preserve"> </w:t>
      </w:r>
      <w:r w:rsidR="00223DEF">
        <w:t xml:space="preserve"> </w:t>
      </w:r>
    </w:p>
    <w:p w:rsidR="008F01AB" w:rsidRDefault="008F01AB" w:rsidP="0007315C"/>
    <w:p w:rsidR="008F01AB" w:rsidRDefault="008F01AB" w:rsidP="0007315C"/>
    <w:p w:rsidR="00416D13" w:rsidRDefault="0035397F" w:rsidP="0007315C">
      <w:r>
        <w:t xml:space="preserve">  </w:t>
      </w:r>
      <w:r w:rsidRPr="0035397F">
        <w:t xml:space="preserve"> </w:t>
      </w:r>
    </w:p>
    <w:p w:rsidR="00416D13" w:rsidRDefault="00416D13" w:rsidP="0007315C"/>
    <w:p w:rsidR="00416D13" w:rsidRDefault="00416D13" w:rsidP="0007315C"/>
    <w:p w:rsidR="00416D13" w:rsidRDefault="00416D13" w:rsidP="0007315C"/>
    <w:p w:rsidR="00416D13" w:rsidRDefault="00416D13" w:rsidP="0007315C"/>
    <w:p w:rsidR="00416D13" w:rsidRDefault="00416D13" w:rsidP="0007315C"/>
    <w:p w:rsidR="00F07B58" w:rsidRDefault="00F07B58" w:rsidP="0007315C"/>
    <w:p w:rsidR="00F07B58" w:rsidRDefault="00F07B58" w:rsidP="0007315C"/>
    <w:p w:rsidR="00F07B58" w:rsidRDefault="00F07B58" w:rsidP="0007315C"/>
    <w:p w:rsidR="0035397F" w:rsidRDefault="00C108D5" w:rsidP="0007315C">
      <w:r>
        <w:lastRenderedPageBreak/>
        <w:t>Bibliografia</w:t>
      </w:r>
    </w:p>
    <w:p w:rsidR="00C108D5" w:rsidRDefault="00C108D5" w:rsidP="0007315C"/>
    <w:p w:rsidR="00C108D5" w:rsidRDefault="00C108D5" w:rsidP="0007315C">
      <w:r>
        <w:t>Activa:</w:t>
      </w:r>
    </w:p>
    <w:p w:rsidR="00C31BC5" w:rsidRDefault="00C31BC5" w:rsidP="0007315C">
      <w:proofErr w:type="gramStart"/>
      <w:r>
        <w:t>Miguéis</w:t>
      </w:r>
      <w:proofErr w:type="gramEnd"/>
      <w:r>
        <w:t xml:space="preserve">, José Rodrigues, </w:t>
      </w:r>
      <w:r w:rsidRPr="00C31BC5">
        <w:t>1968</w:t>
      </w:r>
      <w:r>
        <w:t>,</w:t>
      </w:r>
      <w:r>
        <w:rPr>
          <w:i/>
        </w:rPr>
        <w:t xml:space="preserve"> </w:t>
      </w:r>
      <w:proofErr w:type="spellStart"/>
      <w:r>
        <w:rPr>
          <w:i/>
        </w:rPr>
        <w:t>Léah</w:t>
      </w:r>
      <w:proofErr w:type="spellEnd"/>
      <w:r>
        <w:t>, Estúdios Cor, Lisboa</w:t>
      </w:r>
    </w:p>
    <w:p w:rsidR="0007315C" w:rsidRDefault="00C31BC5" w:rsidP="0007315C">
      <w:r>
        <w:rPr>
          <w:b/>
        </w:rPr>
        <w:t xml:space="preserve">                                      </w:t>
      </w:r>
      <w:r>
        <w:t>2000/2002, O Milagre Segundo Salomé</w:t>
      </w:r>
      <w:r w:rsidR="0005492E">
        <w:t xml:space="preserve"> (I e II),</w:t>
      </w:r>
      <w:r>
        <w:t xml:space="preserve"> Estampa, </w:t>
      </w:r>
      <w:r w:rsidR="0007315C">
        <w:t xml:space="preserve">   </w:t>
      </w:r>
    </w:p>
    <w:p w:rsidR="00C31BC5" w:rsidRDefault="0007315C" w:rsidP="0007315C">
      <w:r>
        <w:t xml:space="preserve">                                                      </w:t>
      </w:r>
      <w:r w:rsidR="00C31BC5">
        <w:t>Lisboa</w:t>
      </w:r>
    </w:p>
    <w:p w:rsidR="00C31BC5" w:rsidRDefault="00C31BC5" w:rsidP="0007315C"/>
    <w:p w:rsidR="00C31BC5" w:rsidRDefault="00C31BC5" w:rsidP="0007315C"/>
    <w:p w:rsidR="00273D46" w:rsidRDefault="00273D46" w:rsidP="0007315C"/>
    <w:p w:rsidR="00C31BC5" w:rsidRDefault="00C31BC5" w:rsidP="0007315C">
      <w:r>
        <w:t>Passiva:</w:t>
      </w:r>
    </w:p>
    <w:p w:rsidR="00273D46" w:rsidRDefault="00273D46" w:rsidP="0007315C">
      <w:r>
        <w:t>Aguiar,</w:t>
      </w:r>
      <w:r w:rsidRPr="00273D46">
        <w:t xml:space="preserve"> </w:t>
      </w:r>
      <w:proofErr w:type="spellStart"/>
      <w:r>
        <w:t>Edimara</w:t>
      </w:r>
      <w:proofErr w:type="spellEnd"/>
      <w:r>
        <w:t xml:space="preserve"> Lisboa, 2010,</w:t>
      </w:r>
      <w:r w:rsidRPr="00273D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“</w:t>
      </w:r>
      <w:r w:rsidRPr="00273D46">
        <w:t xml:space="preserve">O milagre de 1917 na pena de Miguéis e na lente </w:t>
      </w:r>
      <w:proofErr w:type="gramStart"/>
      <w:r w:rsidRPr="00273D46">
        <w:t>de</w:t>
      </w:r>
      <w:proofErr w:type="gramEnd"/>
      <w:r w:rsidRPr="00273D46">
        <w:t xml:space="preserve"> </w:t>
      </w:r>
      <w:r>
        <w:t xml:space="preserve">  </w:t>
      </w:r>
    </w:p>
    <w:p w:rsidR="00416D13" w:rsidRDefault="00273D46" w:rsidP="0007315C">
      <w:r>
        <w:rPr>
          <w:bCs/>
        </w:rPr>
        <w:t xml:space="preserve">          </w:t>
      </w:r>
      <w:r w:rsidR="0007315C">
        <w:rPr>
          <w:bCs/>
        </w:rPr>
        <w:t xml:space="preserve">                                </w:t>
      </w:r>
      <w:r>
        <w:rPr>
          <w:bCs/>
        </w:rPr>
        <w:t xml:space="preserve"> </w:t>
      </w:r>
      <w:r w:rsidRPr="00273D46">
        <w:rPr>
          <w:bCs/>
        </w:rPr>
        <w:t>Barroso</w:t>
      </w:r>
      <w:r>
        <w:rPr>
          <w:bCs/>
        </w:rPr>
        <w:t>”,</w:t>
      </w:r>
      <w:r w:rsidRPr="00273D46">
        <w:t xml:space="preserve"> </w:t>
      </w:r>
      <w:hyperlink r:id="rId8" w:history="1">
        <w:r w:rsidR="00416D13" w:rsidRPr="0044502E">
          <w:rPr>
            <w:rStyle w:val="Hiperligao"/>
          </w:rPr>
          <w:t>www.todasasmusas.org/03Edimara_Lisboa.pdf</w:t>
        </w:r>
      </w:hyperlink>
    </w:p>
    <w:p w:rsidR="00416D13" w:rsidRDefault="00416D13" w:rsidP="00416D13">
      <w:pPr>
        <w:pStyle w:val="Corpodetexto"/>
        <w:rPr>
          <w:lang w:val="es-ES_tradnl"/>
        </w:rPr>
      </w:pPr>
      <w:proofErr w:type="spellStart"/>
      <w:r>
        <w:rPr>
          <w:lang w:val="es-ES_tradnl"/>
        </w:rPr>
        <w:t>Chion</w:t>
      </w:r>
      <w:proofErr w:type="spellEnd"/>
      <w:r>
        <w:rPr>
          <w:lang w:val="es-ES_tradnl"/>
        </w:rPr>
        <w:t xml:space="preserve">, Michel, 2001, </w:t>
      </w:r>
      <w:r>
        <w:rPr>
          <w:i/>
          <w:iCs/>
          <w:lang w:val="es-ES_tradnl"/>
        </w:rPr>
        <w:t>Como se escribe un guión</w:t>
      </w:r>
      <w:r>
        <w:rPr>
          <w:lang w:val="es-ES_tradnl"/>
        </w:rPr>
        <w:t xml:space="preserve">, Cátedra </w:t>
      </w:r>
    </w:p>
    <w:p w:rsidR="0007315C" w:rsidRDefault="0007184D" w:rsidP="00416D13">
      <w:r w:rsidRPr="008E480B">
        <w:t>Couto</w:t>
      </w:r>
      <w:r>
        <w:t xml:space="preserve">, </w:t>
      </w:r>
      <w:r w:rsidRPr="008E480B">
        <w:t>Diana Marlene</w:t>
      </w:r>
      <w:r>
        <w:t xml:space="preserve"> </w:t>
      </w:r>
      <w:r w:rsidRPr="008E480B">
        <w:t>Soares do</w:t>
      </w:r>
      <w:r>
        <w:t>, 2009,</w:t>
      </w:r>
      <w:r w:rsidRPr="0007184D">
        <w:rPr>
          <w:b/>
          <w:i/>
          <w:iCs/>
        </w:rPr>
        <w:t xml:space="preserve"> </w:t>
      </w:r>
      <w:r w:rsidRPr="0007184D">
        <w:rPr>
          <w:i/>
          <w:iCs/>
        </w:rPr>
        <w:t xml:space="preserve">O Milagre Segundo Salomé: </w:t>
      </w:r>
      <w:r w:rsidRPr="0007184D">
        <w:t>(</w:t>
      </w:r>
      <w:proofErr w:type="spellStart"/>
      <w:proofErr w:type="gramStart"/>
      <w:r w:rsidRPr="0007184D">
        <w:t>Des</w:t>
      </w:r>
      <w:proofErr w:type="spellEnd"/>
      <w:r w:rsidRPr="0007184D">
        <w:t>)Encontros</w:t>
      </w:r>
      <w:proofErr w:type="gramEnd"/>
      <w:r w:rsidRPr="0007184D">
        <w:t xml:space="preserve"> </w:t>
      </w:r>
      <w:r w:rsidR="0007315C">
        <w:t xml:space="preserve">  </w:t>
      </w:r>
    </w:p>
    <w:p w:rsidR="0007315C" w:rsidRDefault="0007315C" w:rsidP="0007315C">
      <w:r>
        <w:t xml:space="preserve">                                                            </w:t>
      </w:r>
      <w:proofErr w:type="gramStart"/>
      <w:r w:rsidR="0007184D" w:rsidRPr="0007315C">
        <w:t>entre</w:t>
      </w:r>
      <w:proofErr w:type="gramEnd"/>
      <w:r w:rsidR="0007184D" w:rsidRPr="0007315C">
        <w:t xml:space="preserve"> Miguéis e Barroso</w:t>
      </w:r>
      <w:r w:rsidRPr="0007315C">
        <w:t>,</w:t>
      </w:r>
      <w:r>
        <w:t xml:space="preserve"> </w:t>
      </w:r>
    </w:p>
    <w:p w:rsidR="0007315C" w:rsidRDefault="0007315C" w:rsidP="0007315C">
      <w:r>
        <w:t xml:space="preserve">                             </w:t>
      </w:r>
      <w:hyperlink r:id="rId9" w:history="1">
        <w:r w:rsidRPr="00817A0C">
          <w:rPr>
            <w:rStyle w:val="Hiperligao"/>
          </w:rPr>
          <w:t>http://ria.ua.pt/bitstream/10773/2829/1/2010000198.pdf</w:t>
        </w:r>
      </w:hyperlink>
      <w:r w:rsidR="0007184D" w:rsidRPr="0007315C">
        <w:t>.</w:t>
      </w:r>
    </w:p>
    <w:p w:rsidR="0007315C" w:rsidRDefault="0007315C" w:rsidP="0007315C">
      <w:r w:rsidRPr="0007315C">
        <w:t>Dias, Cláudia Sousa, 2008, “</w:t>
      </w:r>
      <w:r w:rsidRPr="0007315C">
        <w:rPr>
          <w:i/>
        </w:rPr>
        <w:t>O Milagre Segundo Salomé</w:t>
      </w:r>
      <w:r w:rsidRPr="0007315C">
        <w:t xml:space="preserve"> </w:t>
      </w:r>
      <w:r>
        <w:t xml:space="preserve">de José Rodrigues </w:t>
      </w:r>
      <w:proofErr w:type="gramStart"/>
      <w:r>
        <w:t>Miguéis</w:t>
      </w:r>
      <w:proofErr w:type="gramEnd"/>
      <w:r>
        <w:t>”</w:t>
      </w:r>
    </w:p>
    <w:p w:rsidR="00273D46" w:rsidRPr="0007315C" w:rsidRDefault="0007315C" w:rsidP="0007315C">
      <w:r>
        <w:t xml:space="preserve">                                          </w:t>
      </w:r>
      <w:r w:rsidRPr="0007315C">
        <w:t>(</w:t>
      </w:r>
      <w:r w:rsidRPr="0007315C">
        <w:rPr>
          <w:rStyle w:val="CitaoHTML"/>
          <w:b/>
          <w:bCs/>
        </w:rPr>
        <w:t>hasempreumlivro</w:t>
      </w:r>
      <w:r w:rsidRPr="0007315C">
        <w:rPr>
          <w:rStyle w:val="CitaoHTML"/>
        </w:rPr>
        <w:t>.blogspot.com</w:t>
      </w:r>
      <w:r w:rsidRPr="0007315C">
        <w:rPr>
          <w:rStyle w:val="CitaoHTML"/>
          <w:i w:val="0"/>
        </w:rPr>
        <w:t>)</w:t>
      </w:r>
    </w:p>
    <w:p w:rsidR="0005492E" w:rsidRDefault="0005492E" w:rsidP="0007315C">
      <w:r>
        <w:t>Saraiva, A.</w:t>
      </w:r>
      <w:r w:rsidR="00C31BC5">
        <w:t xml:space="preserve"> J</w:t>
      </w:r>
      <w:r>
        <w:t>. e O.</w:t>
      </w:r>
      <w:r w:rsidR="00C31BC5">
        <w:t xml:space="preserve"> Lopes,</w:t>
      </w:r>
      <w:r>
        <w:t xml:space="preserve"> s/d</w:t>
      </w:r>
      <w:r w:rsidR="00C31BC5">
        <w:t xml:space="preserve"> </w:t>
      </w:r>
      <w:r>
        <w:t xml:space="preserve">[6ª </w:t>
      </w:r>
      <w:proofErr w:type="spellStart"/>
      <w:r>
        <w:t>ed</w:t>
      </w:r>
      <w:proofErr w:type="spellEnd"/>
      <w:r>
        <w:t xml:space="preserve">], </w:t>
      </w:r>
      <w:r w:rsidR="00C31BC5">
        <w:rPr>
          <w:i/>
        </w:rPr>
        <w:t>História da Literatura Portuguesa</w:t>
      </w:r>
      <w:r>
        <w:t>, Porto</w:t>
      </w:r>
    </w:p>
    <w:p w:rsidR="0005492E" w:rsidRDefault="0005492E" w:rsidP="0007315C">
      <w:r>
        <w:t xml:space="preserve">                                       Editora, Porto</w:t>
      </w:r>
    </w:p>
    <w:p w:rsidR="00FB44FE" w:rsidRDefault="00273D46" w:rsidP="0007315C">
      <w:r>
        <w:t xml:space="preserve">                 </w:t>
      </w:r>
      <w:r w:rsidR="0005492E">
        <w:t xml:space="preserve">                     </w:t>
      </w:r>
      <w:r w:rsidR="00FB44FE" w:rsidRPr="00273D46">
        <w:t>1996,</w:t>
      </w:r>
      <w:r w:rsidR="00FB44FE" w:rsidRPr="00273D46">
        <w:rPr>
          <w:i/>
        </w:rPr>
        <w:t xml:space="preserve"> História da Literatura Portuguesa</w:t>
      </w:r>
      <w:r w:rsidR="00FB44FE" w:rsidRPr="00273D46">
        <w:t>, Porto Editora, Porto</w:t>
      </w:r>
    </w:p>
    <w:p w:rsidR="00416D13" w:rsidRDefault="00416D13" w:rsidP="00416D13">
      <w:pPr>
        <w:pStyle w:val="Corpodetexto"/>
        <w:spacing w:line="240" w:lineRule="auto"/>
        <w:rPr>
          <w:lang w:val="es-ES_tradnl"/>
        </w:rPr>
      </w:pPr>
      <w:proofErr w:type="spellStart"/>
      <w:r>
        <w:rPr>
          <w:lang w:val="es-ES_tradnl"/>
        </w:rPr>
        <w:t>Vanoye</w:t>
      </w:r>
      <w:proofErr w:type="spellEnd"/>
      <w:r>
        <w:rPr>
          <w:lang w:val="es-ES_tradnl"/>
        </w:rPr>
        <w:t xml:space="preserve">, Francis, 1996, </w:t>
      </w:r>
      <w:r>
        <w:rPr>
          <w:i/>
          <w:iCs/>
          <w:lang w:val="es-ES_tradnl"/>
        </w:rPr>
        <w:t>Guiones modelo e modelos de guión</w:t>
      </w:r>
      <w:r>
        <w:rPr>
          <w:lang w:val="es-ES_tradnl"/>
        </w:rPr>
        <w:t>, Piados, Barcelona</w:t>
      </w:r>
    </w:p>
    <w:p w:rsidR="00416D13" w:rsidRPr="00416D13" w:rsidRDefault="00416D13" w:rsidP="0007315C">
      <w:pPr>
        <w:rPr>
          <w:lang w:val="es-ES_tradnl"/>
        </w:rPr>
      </w:pPr>
    </w:p>
    <w:p w:rsidR="00C31BC5" w:rsidRPr="00273D46" w:rsidRDefault="00C31BC5" w:rsidP="0007315C">
      <w:pPr>
        <w:rPr>
          <w:b/>
          <w:i/>
        </w:rPr>
      </w:pPr>
      <w:r w:rsidRPr="00273D46">
        <w:rPr>
          <w:b/>
          <w:i/>
        </w:rPr>
        <w:t xml:space="preserve"> </w:t>
      </w:r>
    </w:p>
    <w:sectPr w:rsidR="00C31BC5" w:rsidRPr="00273D46" w:rsidSect="006B6897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0FC" w:rsidRDefault="000730FC" w:rsidP="0007315C">
      <w:r>
        <w:separator/>
      </w:r>
    </w:p>
  </w:endnote>
  <w:endnote w:type="continuationSeparator" w:id="0">
    <w:p w:rsidR="000730FC" w:rsidRDefault="000730FC" w:rsidP="00073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81"/>
      <w:docPartObj>
        <w:docPartGallery w:val="Page Numbers (Bottom of Page)"/>
        <w:docPartUnique/>
      </w:docPartObj>
    </w:sdtPr>
    <w:sdtContent>
      <w:p w:rsidR="00306481" w:rsidRDefault="00306481">
        <w:pPr>
          <w:pStyle w:val="Rodap"/>
          <w:jc w:val="center"/>
        </w:pPr>
        <w:fldSimple w:instr=" PAGE   \* MERGEFORMAT ">
          <w:r w:rsidR="00CD42C4">
            <w:rPr>
              <w:noProof/>
            </w:rPr>
            <w:t>10</w:t>
          </w:r>
        </w:fldSimple>
      </w:p>
    </w:sdtContent>
  </w:sdt>
  <w:p w:rsidR="0007315C" w:rsidRDefault="0007315C" w:rsidP="000731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0FC" w:rsidRDefault="000730FC" w:rsidP="0007315C">
      <w:r>
        <w:separator/>
      </w:r>
    </w:p>
  </w:footnote>
  <w:footnote w:type="continuationSeparator" w:id="0">
    <w:p w:rsidR="000730FC" w:rsidRDefault="000730FC" w:rsidP="0007315C">
      <w:r>
        <w:continuationSeparator/>
      </w:r>
    </w:p>
  </w:footnote>
  <w:footnote w:id="1">
    <w:p w:rsidR="0007315C" w:rsidRPr="00CE03B1" w:rsidRDefault="0007315C" w:rsidP="008F01AB">
      <w:pPr>
        <w:spacing w:line="240" w:lineRule="auto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CE03B1">
        <w:rPr>
          <w:sz w:val="20"/>
          <w:szCs w:val="20"/>
        </w:rPr>
        <w:t xml:space="preserve">Mais recentemente, os estudiosos da matéria têm optado por utilizar, para designar este nível de desenvolvimento do texto pré-fílmico, o </w:t>
      </w:r>
      <w:proofErr w:type="gramStart"/>
      <w:r w:rsidRPr="00CE03B1">
        <w:rPr>
          <w:sz w:val="20"/>
          <w:szCs w:val="20"/>
        </w:rPr>
        <w:t xml:space="preserve">termo </w:t>
      </w:r>
      <w:r w:rsidRPr="00CE03B1">
        <w:rPr>
          <w:i/>
          <w:iCs/>
          <w:sz w:val="20"/>
          <w:szCs w:val="20"/>
        </w:rPr>
        <w:t xml:space="preserve"> continuidade</w:t>
      </w:r>
      <w:proofErr w:type="gramEnd"/>
      <w:r w:rsidRPr="00CE03B1">
        <w:rPr>
          <w:i/>
          <w:iCs/>
          <w:sz w:val="20"/>
          <w:szCs w:val="20"/>
        </w:rPr>
        <w:t xml:space="preserve"> dialogada</w:t>
      </w:r>
      <w:r w:rsidRPr="00CE03B1">
        <w:rPr>
          <w:sz w:val="20"/>
          <w:szCs w:val="20"/>
        </w:rPr>
        <w:t xml:space="preserve"> que, como diz sinteticamente </w:t>
      </w:r>
      <w:proofErr w:type="spellStart"/>
      <w:r w:rsidRPr="00CE03B1">
        <w:rPr>
          <w:sz w:val="20"/>
          <w:szCs w:val="20"/>
        </w:rPr>
        <w:t>Vanoye</w:t>
      </w:r>
      <w:proofErr w:type="spellEnd"/>
      <w:r w:rsidRPr="00CE03B1">
        <w:rPr>
          <w:sz w:val="20"/>
          <w:szCs w:val="20"/>
        </w:rPr>
        <w:t xml:space="preserve">, “oferece a distribuição da história em cenas e sequências, a descrição das acções e o texto completo dos diálogos” (1996: 14) –  segundo </w:t>
      </w:r>
      <w:proofErr w:type="spellStart"/>
      <w:r w:rsidRPr="00CE03B1">
        <w:rPr>
          <w:sz w:val="20"/>
          <w:szCs w:val="20"/>
        </w:rPr>
        <w:t>Chion</w:t>
      </w:r>
      <w:proofErr w:type="spellEnd"/>
      <w:r w:rsidRPr="00CE03B1">
        <w:rPr>
          <w:sz w:val="20"/>
          <w:szCs w:val="20"/>
        </w:rPr>
        <w:t>, em França esta é já considerada como guião (</w:t>
      </w:r>
      <w:proofErr w:type="spellStart"/>
      <w:r w:rsidRPr="00CE03B1">
        <w:rPr>
          <w:b/>
          <w:bCs/>
          <w:sz w:val="20"/>
          <w:szCs w:val="20"/>
        </w:rPr>
        <w:t>scénario</w:t>
      </w:r>
      <w:proofErr w:type="spellEnd"/>
      <w:r w:rsidRPr="00CE03B1">
        <w:rPr>
          <w:sz w:val="20"/>
          <w:szCs w:val="20"/>
        </w:rPr>
        <w:t xml:space="preserve">) (2001: 208), sendo também verdade que, mesmo na América, é com um modelo muito semelhante que os grandes realizadores trabalham; o </w:t>
      </w:r>
      <w:r w:rsidRPr="00CE03B1">
        <w:rPr>
          <w:i/>
          <w:iCs/>
          <w:sz w:val="20"/>
          <w:szCs w:val="20"/>
        </w:rPr>
        <w:t>guião/guião cinematográfico</w:t>
      </w:r>
      <w:r w:rsidRPr="00CE03B1">
        <w:rPr>
          <w:sz w:val="20"/>
          <w:szCs w:val="20"/>
        </w:rPr>
        <w:t xml:space="preserve"> (</w:t>
      </w:r>
      <w:proofErr w:type="spellStart"/>
      <w:r w:rsidRPr="00CE03B1">
        <w:rPr>
          <w:b/>
          <w:bCs/>
          <w:sz w:val="20"/>
          <w:szCs w:val="20"/>
        </w:rPr>
        <w:t>shooting</w:t>
      </w:r>
      <w:proofErr w:type="spellEnd"/>
      <w:r w:rsidRPr="00CE03B1">
        <w:rPr>
          <w:sz w:val="20"/>
          <w:szCs w:val="20"/>
        </w:rPr>
        <w:t xml:space="preserve"> </w:t>
      </w:r>
      <w:r w:rsidRPr="00CE03B1">
        <w:rPr>
          <w:b/>
          <w:bCs/>
          <w:sz w:val="20"/>
          <w:szCs w:val="20"/>
        </w:rPr>
        <w:t>script</w:t>
      </w:r>
      <w:r w:rsidRPr="00CE03B1">
        <w:rPr>
          <w:sz w:val="20"/>
          <w:szCs w:val="20"/>
        </w:rPr>
        <w:t xml:space="preserve">, </w:t>
      </w:r>
      <w:proofErr w:type="spellStart"/>
      <w:r w:rsidRPr="00CE03B1">
        <w:rPr>
          <w:b/>
          <w:bCs/>
          <w:sz w:val="20"/>
          <w:szCs w:val="20"/>
        </w:rPr>
        <w:t>découpage</w:t>
      </w:r>
      <w:proofErr w:type="spellEnd"/>
      <w:r w:rsidRPr="00CE03B1">
        <w:rPr>
          <w:b/>
          <w:bCs/>
          <w:sz w:val="20"/>
          <w:szCs w:val="20"/>
        </w:rPr>
        <w:t xml:space="preserve"> </w:t>
      </w:r>
      <w:proofErr w:type="spellStart"/>
      <w:r w:rsidRPr="00CE03B1">
        <w:rPr>
          <w:b/>
          <w:bCs/>
          <w:sz w:val="20"/>
          <w:szCs w:val="20"/>
        </w:rPr>
        <w:t>técnique</w:t>
      </w:r>
      <w:proofErr w:type="spellEnd"/>
      <w:r w:rsidRPr="00CE03B1">
        <w:rPr>
          <w:b/>
          <w:bCs/>
          <w:sz w:val="20"/>
          <w:szCs w:val="20"/>
        </w:rPr>
        <w:t xml:space="preserve"> </w:t>
      </w:r>
      <w:r w:rsidRPr="00CE03B1">
        <w:rPr>
          <w:sz w:val="20"/>
          <w:szCs w:val="20"/>
        </w:rPr>
        <w:t xml:space="preserve">e, não esquecer, </w:t>
      </w:r>
      <w:r w:rsidRPr="00CE03B1">
        <w:rPr>
          <w:i/>
          <w:iCs/>
          <w:sz w:val="20"/>
          <w:szCs w:val="20"/>
        </w:rPr>
        <w:t>roteiro</w:t>
      </w:r>
      <w:r w:rsidRPr="00CE03B1">
        <w:rPr>
          <w:sz w:val="20"/>
          <w:szCs w:val="20"/>
        </w:rPr>
        <w:t>, em português do Brasil) é um passo, ou, atendendo à hesitação na designação, uma série de passos finais que vão das elaborações narrativo/</w:t>
      </w:r>
      <w:r w:rsidR="00CD42C4">
        <w:rPr>
          <w:sz w:val="20"/>
          <w:szCs w:val="20"/>
        </w:rPr>
        <w:t xml:space="preserve"> </w:t>
      </w:r>
      <w:r w:rsidRPr="00CE03B1">
        <w:rPr>
          <w:sz w:val="20"/>
          <w:szCs w:val="20"/>
        </w:rPr>
        <w:t>descritivo/</w:t>
      </w:r>
      <w:r w:rsidR="00CD42C4">
        <w:rPr>
          <w:sz w:val="20"/>
          <w:szCs w:val="20"/>
        </w:rPr>
        <w:t xml:space="preserve"> </w:t>
      </w:r>
      <w:r w:rsidRPr="00CE03B1">
        <w:rPr>
          <w:sz w:val="20"/>
          <w:szCs w:val="20"/>
        </w:rPr>
        <w:t xml:space="preserve">dramáticas das fases anteriores, apenas um pouco mais extensas, às expressões mais próximas concebíveis de um texto escrito reproduzindo integralmente o filme acabado. Porque, como lembra </w:t>
      </w:r>
      <w:proofErr w:type="spellStart"/>
      <w:r w:rsidRPr="00CE03B1">
        <w:rPr>
          <w:sz w:val="20"/>
          <w:szCs w:val="20"/>
        </w:rPr>
        <w:t>Vanoy</w:t>
      </w:r>
      <w:proofErr w:type="spellEnd"/>
      <w:r w:rsidRPr="00CE03B1">
        <w:rPr>
          <w:sz w:val="20"/>
          <w:szCs w:val="20"/>
        </w:rPr>
        <w:t xml:space="preserve">, na “inversão dialéctica própria </w:t>
      </w:r>
      <w:proofErr w:type="gramStart"/>
      <w:r w:rsidRPr="00CE03B1">
        <w:rPr>
          <w:sz w:val="20"/>
          <w:szCs w:val="20"/>
        </w:rPr>
        <w:t>de  todas</w:t>
      </w:r>
      <w:proofErr w:type="gramEnd"/>
      <w:r w:rsidRPr="00CE03B1">
        <w:rPr>
          <w:sz w:val="20"/>
          <w:szCs w:val="20"/>
        </w:rPr>
        <w:t xml:space="preserve"> as relações entre modelo e objecto </w:t>
      </w:r>
      <w:r w:rsidRPr="00CE03B1">
        <w:rPr>
          <w:sz w:val="20"/>
          <w:szCs w:val="20"/>
        </w:rPr>
        <w:sym w:font="Symbol" w:char="005B"/>
      </w:r>
      <w:r w:rsidRPr="00CE03B1">
        <w:rPr>
          <w:sz w:val="20"/>
          <w:szCs w:val="20"/>
        </w:rPr>
        <w:t>...</w:t>
      </w:r>
      <w:r w:rsidRPr="00CE03B1">
        <w:rPr>
          <w:sz w:val="20"/>
          <w:szCs w:val="20"/>
        </w:rPr>
        <w:sym w:font="Symbol" w:char="005D"/>
      </w:r>
      <w:r w:rsidRPr="00CE03B1">
        <w:rPr>
          <w:sz w:val="20"/>
          <w:szCs w:val="20"/>
        </w:rPr>
        <w:t xml:space="preserve"> também o filme se converte em modelo de </w:t>
      </w:r>
      <w:r w:rsidRPr="00CE03B1">
        <w:rPr>
          <w:sz w:val="20"/>
          <w:szCs w:val="20"/>
        </w:rPr>
        <w:sym w:font="Symbol" w:char="005B"/>
      </w:r>
      <w:r w:rsidRPr="00CE03B1">
        <w:rPr>
          <w:sz w:val="20"/>
          <w:szCs w:val="20"/>
        </w:rPr>
        <w:t>...</w:t>
      </w:r>
      <w:r w:rsidRPr="00CE03B1">
        <w:rPr>
          <w:sz w:val="20"/>
          <w:szCs w:val="20"/>
        </w:rPr>
        <w:sym w:font="Symbol" w:char="005D"/>
      </w:r>
      <w:r w:rsidRPr="00CE03B1">
        <w:rPr>
          <w:sz w:val="20"/>
          <w:szCs w:val="20"/>
        </w:rPr>
        <w:t xml:space="preserve"> guiões”, de tal modo que nas análises de objectos fílmicos  se trabalha “não tanto sobre guiões como sobre </w:t>
      </w:r>
      <w:r w:rsidRPr="00CE03B1">
        <w:rPr>
          <w:i/>
          <w:iCs/>
          <w:sz w:val="20"/>
          <w:szCs w:val="20"/>
        </w:rPr>
        <w:t>modelos de guiões</w:t>
      </w:r>
      <w:r w:rsidRPr="00CE03B1">
        <w:rPr>
          <w:iCs/>
          <w:sz w:val="20"/>
          <w:szCs w:val="20"/>
        </w:rPr>
        <w:t>,</w:t>
      </w:r>
      <w:r w:rsidRPr="00CE03B1">
        <w:rPr>
          <w:sz w:val="20"/>
          <w:szCs w:val="20"/>
        </w:rPr>
        <w:t xml:space="preserve"> que proporcionam as películas terminadas e as suas transcrições” (1996:</w:t>
      </w:r>
      <w:r w:rsidR="00416D13">
        <w:rPr>
          <w:sz w:val="20"/>
          <w:szCs w:val="20"/>
        </w:rPr>
        <w:t xml:space="preserve"> </w:t>
      </w:r>
      <w:r w:rsidRPr="00CE03B1">
        <w:rPr>
          <w:sz w:val="20"/>
          <w:szCs w:val="20"/>
        </w:rPr>
        <w:t xml:space="preserve">21). A </w:t>
      </w:r>
      <w:r w:rsidRPr="00CE03B1">
        <w:rPr>
          <w:i/>
          <w:iCs/>
          <w:sz w:val="20"/>
          <w:szCs w:val="20"/>
        </w:rPr>
        <w:t>planificação técnica</w:t>
      </w:r>
      <w:r w:rsidRPr="00CE03B1">
        <w:rPr>
          <w:sz w:val="20"/>
          <w:szCs w:val="20"/>
        </w:rPr>
        <w:t xml:space="preserve"> (que seria o modelo ideal de guião – aquele que </w:t>
      </w:r>
      <w:proofErr w:type="spellStart"/>
      <w:r w:rsidRPr="00CE03B1">
        <w:rPr>
          <w:sz w:val="20"/>
          <w:szCs w:val="20"/>
        </w:rPr>
        <w:t>Robbe-Grillet</w:t>
      </w:r>
      <w:proofErr w:type="spellEnd"/>
      <w:r w:rsidRPr="00CE03B1">
        <w:rPr>
          <w:sz w:val="20"/>
          <w:szCs w:val="20"/>
        </w:rPr>
        <w:t xml:space="preserve"> emula nos seus </w:t>
      </w:r>
      <w:proofErr w:type="spellStart"/>
      <w:r w:rsidRPr="00CE03B1">
        <w:rPr>
          <w:b/>
          <w:bCs/>
          <w:i/>
          <w:iCs/>
          <w:sz w:val="20"/>
          <w:szCs w:val="20"/>
        </w:rPr>
        <w:t>ciné-romans</w:t>
      </w:r>
      <w:proofErr w:type="spellEnd"/>
      <w:r w:rsidRPr="00CE03B1">
        <w:rPr>
          <w:sz w:val="20"/>
          <w:szCs w:val="20"/>
        </w:rPr>
        <w:t xml:space="preserve">) só se pode considerar satisfatoriamente acabada, se tudo correr bem, quando o filme estiver acabado e tiver sido incorporado no texto o último pormenor registado pela anotadora. </w:t>
      </w:r>
    </w:p>
    <w:p w:rsidR="0007315C" w:rsidRDefault="0007315C" w:rsidP="0007315C">
      <w:pPr>
        <w:pStyle w:val="Corpodetexto"/>
      </w:pPr>
    </w:p>
    <w:p w:rsidR="0007315C" w:rsidRDefault="0007315C" w:rsidP="0007315C">
      <w:pPr>
        <w:pStyle w:val="Textodenotaderodap"/>
      </w:pPr>
    </w:p>
  </w:footnote>
  <w:footnote w:id="2">
    <w:p w:rsidR="0007315C" w:rsidRPr="00735AC8" w:rsidRDefault="0007315C" w:rsidP="008F01AB">
      <w:pPr>
        <w:pStyle w:val="Textodenotaderodap"/>
        <w:spacing w:line="240" w:lineRule="auto"/>
        <w:rPr>
          <w:b/>
        </w:rPr>
      </w:pPr>
      <w:r>
        <w:rPr>
          <w:rStyle w:val="Refdenotaderodap"/>
        </w:rPr>
        <w:footnoteRef/>
      </w:r>
      <w:r>
        <w:t xml:space="preserve"> </w:t>
      </w:r>
      <w:r w:rsidRPr="00C516CC">
        <w:t xml:space="preserve">O termo </w:t>
      </w:r>
      <w:r w:rsidRPr="00C516CC">
        <w:rPr>
          <w:i/>
        </w:rPr>
        <w:t>plano</w:t>
      </w:r>
      <w:r w:rsidRPr="00C516CC">
        <w:t>, no léxico português relativo ao cinema, pela sua longa dependência da terminologia francesa, é ambíguo, aplicando-se a três ordens estruturais utilizadas pelo discurso cinematográfico: a diacrónica, em que o plano é parte constituinte da sequência; a sincrónica/paradigmática, em que</w:t>
      </w:r>
      <w:r w:rsidR="00C70BC6">
        <w:t>,</w:t>
      </w:r>
      <w:r w:rsidRPr="00C516CC">
        <w:t xml:space="preserve"> </w:t>
      </w:r>
      <w:r>
        <w:t>por exemplo</w:t>
      </w:r>
      <w:r w:rsidR="00C70BC6">
        <w:t>,</w:t>
      </w:r>
      <w:r>
        <w:t xml:space="preserve"> </w:t>
      </w:r>
      <w:r w:rsidRPr="00C516CC">
        <w:t xml:space="preserve">o grande plano pode alternar (ou evoluir, num processo que o fará jogar com a dimensão diacrónica) com o plano de conjunto, ou </w:t>
      </w:r>
      <w:r>
        <w:t xml:space="preserve">o </w:t>
      </w:r>
      <w:r w:rsidRPr="00C516CC">
        <w:t>plano médio</w:t>
      </w:r>
      <w:r>
        <w:t>, diferenças que relevam do enquadramento do que emerge no campo da imagem, jogando com o fora de campo, ou seja o que fica fora do enquadramento</w:t>
      </w:r>
      <w:r w:rsidRPr="00C516CC">
        <w:t>; e a sincrónica</w:t>
      </w:r>
      <w:r w:rsidR="008F01AB">
        <w:t>,</w:t>
      </w:r>
      <w:r w:rsidRPr="00C516CC">
        <w:t xml:space="preserve"> </w:t>
      </w:r>
      <w:r w:rsidRPr="00C516CC">
        <w:rPr>
          <w:b/>
        </w:rPr>
        <w:t xml:space="preserve">in </w:t>
      </w:r>
      <w:proofErr w:type="spellStart"/>
      <w:r w:rsidRPr="00C516CC">
        <w:rPr>
          <w:b/>
        </w:rPr>
        <w:t>pr</w:t>
      </w:r>
      <w:r w:rsidRPr="00267F3A">
        <w:rPr>
          <w:b/>
        </w:rPr>
        <w:t>æ</w:t>
      </w:r>
      <w:r>
        <w:rPr>
          <w:b/>
        </w:rPr>
        <w:t>sentia</w:t>
      </w:r>
      <w:proofErr w:type="spellEnd"/>
      <w:r w:rsidRPr="00267F3A">
        <w:t xml:space="preserve">, em que o </w:t>
      </w:r>
      <w:r>
        <w:t xml:space="preserve">primeiro </w:t>
      </w:r>
      <w:proofErr w:type="gramStart"/>
      <w:r>
        <w:t>plano</w:t>
      </w:r>
      <w:proofErr w:type="gramEnd"/>
      <w:r>
        <w:t xml:space="preserve"> alterna com o de fundo, ou com o intermédio, ou seja, </w:t>
      </w:r>
      <w:r w:rsidR="00B14E71">
        <w:t>n</w:t>
      </w:r>
      <w:r>
        <w:t xml:space="preserve">aquela diferenciação que emerge da </w:t>
      </w:r>
      <w:r w:rsidRPr="008F01AB">
        <w:rPr>
          <w:i/>
        </w:rPr>
        <w:t>ilusão</w:t>
      </w:r>
      <w:r>
        <w:t xml:space="preserve"> da </w:t>
      </w:r>
      <w:r w:rsidRPr="008F01AB">
        <w:rPr>
          <w:i/>
        </w:rPr>
        <w:t>profundidade de campo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F7D"/>
    <w:multiLevelType w:val="hybridMultilevel"/>
    <w:tmpl w:val="DBBAEE58"/>
    <w:lvl w:ilvl="0" w:tplc="91D28CA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10869"/>
    <w:multiLevelType w:val="hybridMultilevel"/>
    <w:tmpl w:val="93B62420"/>
    <w:lvl w:ilvl="0" w:tplc="0816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">
    <w:nsid w:val="74FE74EC"/>
    <w:multiLevelType w:val="hybridMultilevel"/>
    <w:tmpl w:val="9480612C"/>
    <w:lvl w:ilvl="0" w:tplc="0816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97F"/>
    <w:rsid w:val="0005492E"/>
    <w:rsid w:val="00061CE4"/>
    <w:rsid w:val="00064514"/>
    <w:rsid w:val="0007184D"/>
    <w:rsid w:val="000730FC"/>
    <w:rsid w:val="0007315C"/>
    <w:rsid w:val="000C7A5F"/>
    <w:rsid w:val="00117452"/>
    <w:rsid w:val="001205CF"/>
    <w:rsid w:val="001365E7"/>
    <w:rsid w:val="001410CC"/>
    <w:rsid w:val="00145E5F"/>
    <w:rsid w:val="00160A4D"/>
    <w:rsid w:val="001676BC"/>
    <w:rsid w:val="00177821"/>
    <w:rsid w:val="001B4726"/>
    <w:rsid w:val="001D3295"/>
    <w:rsid w:val="001F102F"/>
    <w:rsid w:val="00203B55"/>
    <w:rsid w:val="00203E17"/>
    <w:rsid w:val="00223DEF"/>
    <w:rsid w:val="00230667"/>
    <w:rsid w:val="00253777"/>
    <w:rsid w:val="00267F3A"/>
    <w:rsid w:val="00273D46"/>
    <w:rsid w:val="00276BC5"/>
    <w:rsid w:val="00281A02"/>
    <w:rsid w:val="002D20EC"/>
    <w:rsid w:val="002F4656"/>
    <w:rsid w:val="00306481"/>
    <w:rsid w:val="00317E1B"/>
    <w:rsid w:val="00331BA5"/>
    <w:rsid w:val="00344117"/>
    <w:rsid w:val="00352219"/>
    <w:rsid w:val="0035397F"/>
    <w:rsid w:val="00366B10"/>
    <w:rsid w:val="00395D0D"/>
    <w:rsid w:val="003C750F"/>
    <w:rsid w:val="003E4189"/>
    <w:rsid w:val="00416D13"/>
    <w:rsid w:val="00431ABE"/>
    <w:rsid w:val="00484774"/>
    <w:rsid w:val="00485C23"/>
    <w:rsid w:val="004C6954"/>
    <w:rsid w:val="00514E6A"/>
    <w:rsid w:val="00531961"/>
    <w:rsid w:val="005631B1"/>
    <w:rsid w:val="005D6901"/>
    <w:rsid w:val="005D767C"/>
    <w:rsid w:val="005E1343"/>
    <w:rsid w:val="005F6B4C"/>
    <w:rsid w:val="006120D6"/>
    <w:rsid w:val="0061349A"/>
    <w:rsid w:val="00620B02"/>
    <w:rsid w:val="006A4AB6"/>
    <w:rsid w:val="006B6897"/>
    <w:rsid w:val="006C0988"/>
    <w:rsid w:val="006C799D"/>
    <w:rsid w:val="006F5F50"/>
    <w:rsid w:val="007155FA"/>
    <w:rsid w:val="00735AC8"/>
    <w:rsid w:val="00757768"/>
    <w:rsid w:val="00777BCA"/>
    <w:rsid w:val="008771AD"/>
    <w:rsid w:val="008E046C"/>
    <w:rsid w:val="008E480B"/>
    <w:rsid w:val="008F01AB"/>
    <w:rsid w:val="00920256"/>
    <w:rsid w:val="0093263F"/>
    <w:rsid w:val="009428FD"/>
    <w:rsid w:val="00951C54"/>
    <w:rsid w:val="00962C2F"/>
    <w:rsid w:val="0098119D"/>
    <w:rsid w:val="00991B48"/>
    <w:rsid w:val="009A45CA"/>
    <w:rsid w:val="009B65C6"/>
    <w:rsid w:val="009C39AF"/>
    <w:rsid w:val="00A30449"/>
    <w:rsid w:val="00AE45B9"/>
    <w:rsid w:val="00AF2B45"/>
    <w:rsid w:val="00B14E71"/>
    <w:rsid w:val="00B162B1"/>
    <w:rsid w:val="00B5040A"/>
    <w:rsid w:val="00B63041"/>
    <w:rsid w:val="00B82DD9"/>
    <w:rsid w:val="00B958A9"/>
    <w:rsid w:val="00BC2302"/>
    <w:rsid w:val="00C108D5"/>
    <w:rsid w:val="00C31BC5"/>
    <w:rsid w:val="00C465AE"/>
    <w:rsid w:val="00C516CC"/>
    <w:rsid w:val="00C70BC6"/>
    <w:rsid w:val="00CA3543"/>
    <w:rsid w:val="00CB30B3"/>
    <w:rsid w:val="00CD42C4"/>
    <w:rsid w:val="00CE03B1"/>
    <w:rsid w:val="00CE37D7"/>
    <w:rsid w:val="00D07860"/>
    <w:rsid w:val="00D135C2"/>
    <w:rsid w:val="00D27F43"/>
    <w:rsid w:val="00D30AF9"/>
    <w:rsid w:val="00D42D13"/>
    <w:rsid w:val="00D562CD"/>
    <w:rsid w:val="00D90B78"/>
    <w:rsid w:val="00DB03C1"/>
    <w:rsid w:val="00DE604C"/>
    <w:rsid w:val="00DF53EE"/>
    <w:rsid w:val="00E61D7B"/>
    <w:rsid w:val="00E71701"/>
    <w:rsid w:val="00E8358E"/>
    <w:rsid w:val="00E95E29"/>
    <w:rsid w:val="00EC61AF"/>
    <w:rsid w:val="00EC784E"/>
    <w:rsid w:val="00F07B58"/>
    <w:rsid w:val="00F3650B"/>
    <w:rsid w:val="00F713F7"/>
    <w:rsid w:val="00F97C6B"/>
    <w:rsid w:val="00FB44FE"/>
    <w:rsid w:val="00FC5445"/>
    <w:rsid w:val="00FC58DC"/>
    <w:rsid w:val="00FD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5C"/>
    <w:pPr>
      <w:spacing w:line="360" w:lineRule="auto"/>
    </w:pPr>
    <w:rPr>
      <w:rFonts w:ascii="Times New Roman" w:eastAsia="Times New Roman" w:hAnsi="Times New Roman" w:cs="Times New Roman"/>
      <w:color w:val="29303B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3044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30449"/>
  </w:style>
  <w:style w:type="paragraph" w:styleId="Rodap">
    <w:name w:val="footer"/>
    <w:basedOn w:val="Normal"/>
    <w:link w:val="RodapCarcter"/>
    <w:uiPriority w:val="99"/>
    <w:unhideWhenUsed/>
    <w:rsid w:val="00A3044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30449"/>
  </w:style>
  <w:style w:type="character" w:styleId="CitaoHTML">
    <w:name w:val="HTML Cite"/>
    <w:basedOn w:val="Tipodeletrapredefinidodopargrafo"/>
    <w:uiPriority w:val="99"/>
    <w:semiHidden/>
    <w:unhideWhenUsed/>
    <w:rsid w:val="0007184D"/>
    <w:rPr>
      <w:i/>
      <w:iCs/>
    </w:rPr>
  </w:style>
  <w:style w:type="paragraph" w:styleId="Textodenotaderodap">
    <w:name w:val="footnote text"/>
    <w:basedOn w:val="Normal"/>
    <w:link w:val="TextodenotaderodapCarcter"/>
    <w:uiPriority w:val="99"/>
    <w:unhideWhenUsed/>
    <w:rsid w:val="00D90B78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D90B7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90B78"/>
    <w:rPr>
      <w:vertAlign w:val="superscript"/>
    </w:rPr>
  </w:style>
  <w:style w:type="paragraph" w:styleId="Corpodetexto">
    <w:name w:val="Body Text"/>
    <w:basedOn w:val="Normal"/>
    <w:link w:val="CorpodetextoCarcter"/>
    <w:semiHidden/>
    <w:rsid w:val="00145E5F"/>
  </w:style>
  <w:style w:type="character" w:customStyle="1" w:styleId="CorpodetextoCarcter">
    <w:name w:val="Corpo de texto Carácter"/>
    <w:basedOn w:val="Tipodeletrapredefinidodopargrafo"/>
    <w:link w:val="Corpodetexto"/>
    <w:semiHidden/>
    <w:rsid w:val="00145E5F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735AC8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35AC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5AC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15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7315C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dasasmusas.org/03Edimara_Lisbo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ia.ua.pt/bitstream/10773/2829/1/2010000198.pdf" TargetMode="External"/></Relationships>
</file>

<file path=word/theme/theme1.xml><?xml version="1.0" encoding="utf-8"?>
<a:theme xmlns:a="http://schemas.openxmlformats.org/drawingml/2006/main" name="Tema do Office">
  <a:themeElements>
    <a:clrScheme name="Tons de Cinzent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AAD6-A052-4FEC-85EC-81692A2B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10</Pages>
  <Words>3526</Words>
  <Characters>19043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2011-07-19T20:11:00Z</dcterms:created>
  <dcterms:modified xsi:type="dcterms:W3CDTF">2011-09-30T19:17:00Z</dcterms:modified>
</cp:coreProperties>
</file>