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B0CCB" w14:textId="61378E6D" w:rsidR="006A034A" w:rsidRPr="006A034A" w:rsidRDefault="006A034A" w:rsidP="006A034A">
      <w:pPr>
        <w:spacing w:line="480" w:lineRule="auto"/>
        <w:jc w:val="both"/>
        <w:rPr>
          <w:rFonts w:ascii="Times New Roman" w:hAnsi="Times New Roman" w:cs="Times New Roman"/>
          <w:sz w:val="24"/>
          <w:szCs w:val="24"/>
        </w:rPr>
      </w:pPr>
    </w:p>
    <w:p w14:paraId="29BE5F0E" w14:textId="2F4A6495" w:rsidR="006A034A" w:rsidRPr="006A034A" w:rsidRDefault="005708DA" w:rsidP="005708DA">
      <w:pPr>
        <w:spacing w:after="0" w:line="480" w:lineRule="auto"/>
        <w:jc w:val="center"/>
        <w:rPr>
          <w:rFonts w:ascii="Times New Roman" w:eastAsia="Times New Roman" w:hAnsi="Times New Roman" w:cs="Times New Roman"/>
          <w:color w:val="251500"/>
          <w:sz w:val="24"/>
          <w:szCs w:val="24"/>
        </w:rPr>
      </w:pPr>
      <w:r>
        <w:rPr>
          <w:rFonts w:ascii="Times New Roman" w:eastAsia="Times New Roman" w:hAnsi="Times New Roman" w:cs="Times New Roman"/>
          <w:color w:val="251500"/>
          <w:sz w:val="24"/>
          <w:szCs w:val="24"/>
        </w:rPr>
        <w:t xml:space="preserve">Toward an evaluation of the </w:t>
      </w:r>
      <w:proofErr w:type="spellStart"/>
      <w:r w:rsidRPr="006A034A">
        <w:rPr>
          <w:rFonts w:ascii="Times New Roman" w:eastAsia="Times New Roman" w:hAnsi="Times New Roman" w:cs="Times New Roman"/>
          <w:color w:val="251500"/>
          <w:sz w:val="24"/>
          <w:szCs w:val="24"/>
        </w:rPr>
        <w:t>Alentejo</w:t>
      </w:r>
      <w:r>
        <w:rPr>
          <w:rFonts w:ascii="Times New Roman" w:eastAsia="Times New Roman" w:hAnsi="Times New Roman" w:cs="Times New Roman"/>
          <w:color w:val="251500"/>
          <w:sz w:val="24"/>
          <w:szCs w:val="24"/>
        </w:rPr>
        <w:t>’</w:t>
      </w:r>
      <w:r w:rsidRPr="006A034A">
        <w:rPr>
          <w:rFonts w:ascii="Times New Roman" w:eastAsia="Times New Roman" w:hAnsi="Times New Roman" w:cs="Times New Roman"/>
          <w:color w:val="251500"/>
          <w:sz w:val="24"/>
          <w:szCs w:val="24"/>
        </w:rPr>
        <w:t>s</w:t>
      </w:r>
      <w:proofErr w:type="spellEnd"/>
      <w:r w:rsidRPr="006A034A">
        <w:rPr>
          <w:rFonts w:ascii="Times New Roman" w:eastAsia="Times New Roman" w:hAnsi="Times New Roman" w:cs="Times New Roman"/>
          <w:color w:val="251500"/>
          <w:sz w:val="24"/>
          <w:szCs w:val="24"/>
        </w:rPr>
        <w:t xml:space="preserve"> olive grove</w:t>
      </w:r>
      <w:r>
        <w:rPr>
          <w:rFonts w:ascii="Times New Roman" w:eastAsia="Times New Roman" w:hAnsi="Times New Roman" w:cs="Times New Roman"/>
          <w:color w:val="251500"/>
          <w:sz w:val="24"/>
          <w:szCs w:val="24"/>
        </w:rPr>
        <w:t xml:space="preserve"> systems sustainability: a proposal by reflecting on life cycle analysis and agrarian metabolism approaches</w:t>
      </w:r>
    </w:p>
    <w:p w14:paraId="07517328" w14:textId="77777777" w:rsidR="006A034A" w:rsidRPr="006A034A" w:rsidRDefault="006A034A" w:rsidP="006A034A">
      <w:pPr>
        <w:spacing w:after="0" w:line="480" w:lineRule="auto"/>
        <w:jc w:val="both"/>
        <w:rPr>
          <w:rFonts w:ascii="Times New Roman" w:eastAsia="Times New Roman" w:hAnsi="Times New Roman" w:cs="Times New Roman"/>
          <w:color w:val="251500"/>
          <w:sz w:val="24"/>
          <w:szCs w:val="24"/>
        </w:rPr>
      </w:pPr>
    </w:p>
    <w:p w14:paraId="4BEED9A3" w14:textId="77777777" w:rsidR="006A034A" w:rsidRPr="006A034A" w:rsidRDefault="006A034A" w:rsidP="006A034A">
      <w:pPr>
        <w:spacing w:line="480" w:lineRule="auto"/>
        <w:jc w:val="both"/>
        <w:rPr>
          <w:rFonts w:ascii="Times New Roman" w:hAnsi="Times New Roman" w:cs="Times New Roman"/>
          <w:b/>
          <w:bCs/>
          <w:sz w:val="24"/>
          <w:szCs w:val="24"/>
        </w:rPr>
      </w:pPr>
      <w:r w:rsidRPr="006A034A">
        <w:rPr>
          <w:rFonts w:ascii="Times New Roman" w:hAnsi="Times New Roman" w:cs="Times New Roman"/>
          <w:b/>
          <w:bCs/>
          <w:sz w:val="24"/>
          <w:szCs w:val="24"/>
        </w:rPr>
        <w:t>Introduction</w:t>
      </w:r>
    </w:p>
    <w:p w14:paraId="59C78EF1" w14:textId="77777777" w:rsidR="006A034A" w:rsidRPr="006A034A" w:rsidRDefault="006A034A" w:rsidP="006A034A">
      <w:pPr>
        <w:spacing w:line="480" w:lineRule="auto"/>
        <w:jc w:val="both"/>
        <w:rPr>
          <w:rFonts w:ascii="Times New Roman" w:hAnsi="Times New Roman" w:cs="Times New Roman"/>
          <w:sz w:val="24"/>
          <w:szCs w:val="24"/>
        </w:rPr>
      </w:pPr>
      <w:r w:rsidRPr="006A034A">
        <w:rPr>
          <w:rFonts w:ascii="Times New Roman" w:hAnsi="Times New Roman" w:cs="Times New Roman"/>
          <w:sz w:val="24"/>
          <w:szCs w:val="24"/>
        </w:rPr>
        <w:t xml:space="preserve">Sustainable management of agri-food systems is directly linked to the rational use of available natural resources and existing social and economic pressures. </w:t>
      </w:r>
    </w:p>
    <w:p w14:paraId="57C39050" w14:textId="78736E3D" w:rsidR="006A034A" w:rsidRPr="006A034A" w:rsidRDefault="006A034A" w:rsidP="006A034A">
      <w:pPr>
        <w:spacing w:line="480" w:lineRule="auto"/>
        <w:jc w:val="both"/>
        <w:rPr>
          <w:rFonts w:ascii="Times New Roman" w:hAnsi="Times New Roman" w:cs="Times New Roman"/>
          <w:sz w:val="24"/>
          <w:szCs w:val="24"/>
        </w:rPr>
      </w:pPr>
      <w:r w:rsidRPr="006A034A">
        <w:rPr>
          <w:rFonts w:ascii="Times New Roman" w:hAnsi="Times New Roman" w:cs="Times New Roman"/>
          <w:sz w:val="24"/>
          <w:szCs w:val="24"/>
        </w:rPr>
        <w:t xml:space="preserve">Sustainability assessment regarding the economic, social and environmental pillars can support decision-making processes, playing a role in </w:t>
      </w:r>
      <w:r w:rsidR="0082474E" w:rsidRPr="0082474E">
        <w:rPr>
          <w:rFonts w:ascii="Times New Roman" w:hAnsi="Times New Roman" w:cs="Times New Roman"/>
          <w:sz w:val="24"/>
          <w:szCs w:val="24"/>
        </w:rPr>
        <w:t>planning and project processes</w:t>
      </w:r>
      <w:r w:rsidR="0082474E">
        <w:rPr>
          <w:rFonts w:ascii="Times New Roman" w:hAnsi="Times New Roman" w:cs="Times New Roman"/>
          <w:sz w:val="24"/>
          <w:szCs w:val="24"/>
        </w:rPr>
        <w:t>’</w:t>
      </w:r>
      <w:r w:rsidR="0082474E" w:rsidRPr="0082474E">
        <w:rPr>
          <w:rFonts w:ascii="Times New Roman" w:hAnsi="Times New Roman" w:cs="Times New Roman"/>
          <w:sz w:val="24"/>
          <w:szCs w:val="24"/>
        </w:rPr>
        <w:t xml:space="preserve"> strategi</w:t>
      </w:r>
      <w:r w:rsidR="0082474E">
        <w:rPr>
          <w:rFonts w:ascii="Times New Roman" w:hAnsi="Times New Roman" w:cs="Times New Roman"/>
          <w:sz w:val="24"/>
          <w:szCs w:val="24"/>
        </w:rPr>
        <w:t>es</w:t>
      </w:r>
      <w:r w:rsidR="0082474E" w:rsidRPr="0082474E">
        <w:rPr>
          <w:rFonts w:ascii="Times New Roman" w:hAnsi="Times New Roman" w:cs="Times New Roman"/>
          <w:sz w:val="24"/>
          <w:szCs w:val="24"/>
        </w:rPr>
        <w:t xml:space="preserve"> and operational </w:t>
      </w:r>
      <w:r w:rsidR="0082474E">
        <w:rPr>
          <w:rFonts w:ascii="Times New Roman" w:hAnsi="Times New Roman" w:cs="Times New Roman"/>
          <w:sz w:val="24"/>
          <w:szCs w:val="24"/>
        </w:rPr>
        <w:t>levels</w:t>
      </w:r>
      <w:r w:rsidRPr="006A034A">
        <w:rPr>
          <w:rFonts w:ascii="Times New Roman" w:hAnsi="Times New Roman" w:cs="Times New Roman"/>
          <w:sz w:val="24"/>
          <w:szCs w:val="24"/>
        </w:rPr>
        <w:t>, including policies, plans, progra</w:t>
      </w:r>
      <w:r w:rsidR="00C90A6A">
        <w:rPr>
          <w:rFonts w:ascii="Times New Roman" w:hAnsi="Times New Roman" w:cs="Times New Roman"/>
          <w:sz w:val="24"/>
          <w:szCs w:val="24"/>
        </w:rPr>
        <w:t>m</w:t>
      </w:r>
      <w:r w:rsidRPr="006A034A">
        <w:rPr>
          <w:rFonts w:ascii="Times New Roman" w:hAnsi="Times New Roman" w:cs="Times New Roman"/>
          <w:sz w:val="24"/>
          <w:szCs w:val="24"/>
        </w:rPr>
        <w:t xml:space="preserve">s, projects and activities or operations that address sustainable development goals and indicators (Ramos, 2019). In addition, understanding everything that surrounds this sustainability makes us have an understanding of the environmental, economic and social impacts of these activities, contributing to the management of natural and human systems. </w:t>
      </w:r>
    </w:p>
    <w:p w14:paraId="048421F6" w14:textId="0EF3BD85" w:rsidR="006A034A" w:rsidRPr="006A034A" w:rsidRDefault="006A034A" w:rsidP="006A034A">
      <w:pPr>
        <w:spacing w:line="480" w:lineRule="auto"/>
        <w:jc w:val="both"/>
        <w:rPr>
          <w:rFonts w:ascii="Times New Roman" w:hAnsi="Times New Roman" w:cs="Times New Roman"/>
          <w:sz w:val="24"/>
          <w:szCs w:val="24"/>
        </w:rPr>
      </w:pPr>
      <w:r w:rsidRPr="006A034A">
        <w:rPr>
          <w:rFonts w:ascii="Times New Roman" w:hAnsi="Times New Roman" w:cs="Times New Roman"/>
          <w:sz w:val="24"/>
          <w:szCs w:val="24"/>
        </w:rPr>
        <w:t>The application of appropriate sustainability assessment methodologies should be considered for taking measures to</w:t>
      </w:r>
      <w:r w:rsidR="0082474E">
        <w:rPr>
          <w:rFonts w:ascii="Times New Roman" w:hAnsi="Times New Roman" w:cs="Times New Roman"/>
          <w:sz w:val="24"/>
          <w:szCs w:val="24"/>
        </w:rPr>
        <w:t xml:space="preserve"> </w:t>
      </w:r>
      <w:r w:rsidR="00024C74">
        <w:rPr>
          <w:rFonts w:ascii="Times New Roman" w:hAnsi="Times New Roman" w:cs="Times New Roman"/>
          <w:sz w:val="24"/>
          <w:szCs w:val="24"/>
        </w:rPr>
        <w:t xml:space="preserve">make those systems more </w:t>
      </w:r>
      <w:r w:rsidRPr="006A034A">
        <w:rPr>
          <w:rFonts w:ascii="Times New Roman" w:hAnsi="Times New Roman" w:cs="Times New Roman"/>
          <w:sz w:val="24"/>
          <w:szCs w:val="24"/>
        </w:rPr>
        <w:t>sustainab</w:t>
      </w:r>
      <w:r w:rsidR="00024C74">
        <w:rPr>
          <w:rFonts w:ascii="Times New Roman" w:hAnsi="Times New Roman" w:cs="Times New Roman"/>
          <w:sz w:val="24"/>
          <w:szCs w:val="24"/>
        </w:rPr>
        <w:t>le</w:t>
      </w:r>
      <w:r w:rsidRPr="006A034A">
        <w:rPr>
          <w:rFonts w:ascii="Times New Roman" w:hAnsi="Times New Roman" w:cs="Times New Roman"/>
          <w:sz w:val="24"/>
          <w:szCs w:val="24"/>
        </w:rPr>
        <w:t>, taking into account the operationalization of these methodologies by society (Ramos, 2019). In the case of agricultural and agri-food systems sustainability assessment is complex as it has to simultaneously satisfy economic viability, environmental protection and social equity, with the focus on the long term.</w:t>
      </w:r>
      <w:r w:rsidR="00B14D76" w:rsidRPr="00B14D76">
        <w:t xml:space="preserve"> </w:t>
      </w:r>
      <w:r w:rsidR="00B14D76" w:rsidRPr="00B14D76">
        <w:rPr>
          <w:rFonts w:ascii="Times New Roman" w:hAnsi="Times New Roman" w:cs="Times New Roman"/>
          <w:sz w:val="24"/>
          <w:szCs w:val="24"/>
        </w:rPr>
        <w:t>Moreover, this complexity also concerns being a problem mainly related to the biological characteristics of agricultural production processes</w:t>
      </w:r>
    </w:p>
    <w:p w14:paraId="5C178620" w14:textId="6A5EDE7C" w:rsidR="006A034A" w:rsidRDefault="006A034A" w:rsidP="006A034A">
      <w:pPr>
        <w:spacing w:line="480" w:lineRule="auto"/>
        <w:jc w:val="both"/>
        <w:rPr>
          <w:rFonts w:ascii="Times New Roman" w:hAnsi="Times New Roman" w:cs="Times New Roman"/>
          <w:sz w:val="24"/>
          <w:szCs w:val="24"/>
        </w:rPr>
      </w:pPr>
      <w:r w:rsidRPr="006A034A">
        <w:rPr>
          <w:rFonts w:ascii="Times New Roman" w:hAnsi="Times New Roman" w:cs="Times New Roman"/>
          <w:sz w:val="24"/>
          <w:szCs w:val="24"/>
        </w:rPr>
        <w:t>Within the methodologies for assessing, measuring and monitoring impacts there are a set of tools linked to the life cycle methodology. According to De Luca et al., (2015a) life cycle methodologies are recogni</w:t>
      </w:r>
      <w:r w:rsidR="00C90A6A">
        <w:rPr>
          <w:rFonts w:ascii="Times New Roman" w:hAnsi="Times New Roman" w:cs="Times New Roman"/>
          <w:sz w:val="24"/>
          <w:szCs w:val="24"/>
        </w:rPr>
        <w:t>z</w:t>
      </w:r>
      <w:r w:rsidRPr="006A034A">
        <w:rPr>
          <w:rFonts w:ascii="Times New Roman" w:hAnsi="Times New Roman" w:cs="Times New Roman"/>
          <w:sz w:val="24"/>
          <w:szCs w:val="24"/>
        </w:rPr>
        <w:t xml:space="preserve">ed as powerful tools that allow to assess the economic </w:t>
      </w:r>
      <w:r w:rsidRPr="006A034A">
        <w:rPr>
          <w:rFonts w:ascii="Times New Roman" w:hAnsi="Times New Roman" w:cs="Times New Roman"/>
          <w:sz w:val="24"/>
          <w:szCs w:val="24"/>
        </w:rPr>
        <w:lastRenderedPageBreak/>
        <w:t>performance and estimate the social and environmental impacts of a product or service, also in contexts of agri-food production processes. They are useful tools to characteri</w:t>
      </w:r>
      <w:r w:rsidR="00C90A6A">
        <w:rPr>
          <w:rFonts w:ascii="Times New Roman" w:hAnsi="Times New Roman" w:cs="Times New Roman"/>
          <w:sz w:val="24"/>
          <w:szCs w:val="24"/>
        </w:rPr>
        <w:t>z</w:t>
      </w:r>
      <w:r w:rsidRPr="006A034A">
        <w:rPr>
          <w:rFonts w:ascii="Times New Roman" w:hAnsi="Times New Roman" w:cs="Times New Roman"/>
          <w:sz w:val="24"/>
          <w:szCs w:val="24"/>
        </w:rPr>
        <w:t>e and quantify various typologies of impact generated by all stages of a production process. In the evaluation of complex socio-environmental systems, such as agricultural and agri-food ones, uncertainty often arises and the quality of decision processes can be a major concern.</w:t>
      </w:r>
    </w:p>
    <w:p w14:paraId="5AC33876" w14:textId="6FBBB77A" w:rsidR="00D662E5" w:rsidRPr="00D662E5" w:rsidRDefault="00D662E5" w:rsidP="00D662E5">
      <w:pPr>
        <w:spacing w:line="480" w:lineRule="auto"/>
        <w:jc w:val="both"/>
        <w:rPr>
          <w:rFonts w:ascii="Times New Roman" w:hAnsi="Times New Roman" w:cs="Times New Roman"/>
          <w:sz w:val="24"/>
          <w:szCs w:val="24"/>
        </w:rPr>
      </w:pPr>
      <w:r w:rsidRPr="00D662E5">
        <w:rPr>
          <w:rFonts w:ascii="Times New Roman" w:hAnsi="Times New Roman" w:cs="Times New Roman"/>
          <w:sz w:val="24"/>
          <w:szCs w:val="24"/>
        </w:rPr>
        <w:t xml:space="preserve">Olive groves are an important crop for the Mediterranean region and the Alentejo region of Portugal. </w:t>
      </w:r>
      <w:r w:rsidR="00422E75" w:rsidRPr="00422E75">
        <w:rPr>
          <w:rFonts w:ascii="Times New Roman" w:hAnsi="Times New Roman" w:cs="Times New Roman"/>
          <w:sz w:val="24"/>
          <w:szCs w:val="24"/>
        </w:rPr>
        <w:t>The Alentejo region, despite its dry Mediterranean climate and extensive and multi-functional farming systems, has been experiencing a rapid process of agricultural intensification. This intensification has been fostered by local, national, European and global factors and processes, in close alignment with the dynamics of urban-financial capitalism</w:t>
      </w:r>
      <w:r w:rsidRPr="00D662E5">
        <w:rPr>
          <w:rFonts w:ascii="Times New Roman" w:hAnsi="Times New Roman" w:cs="Times New Roman"/>
          <w:sz w:val="24"/>
          <w:szCs w:val="24"/>
        </w:rPr>
        <w:t xml:space="preserve"> (Silveira et al., 2018). This intensification and </w:t>
      </w:r>
      <w:r w:rsidR="00762435">
        <w:rPr>
          <w:rFonts w:ascii="Times New Roman" w:hAnsi="Times New Roman" w:cs="Times New Roman"/>
          <w:sz w:val="24"/>
          <w:szCs w:val="24"/>
        </w:rPr>
        <w:t>its</w:t>
      </w:r>
      <w:r w:rsidRPr="00D662E5">
        <w:rPr>
          <w:rFonts w:ascii="Times New Roman" w:hAnsi="Times New Roman" w:cs="Times New Roman"/>
          <w:sz w:val="24"/>
          <w:szCs w:val="24"/>
        </w:rPr>
        <w:t xml:space="preserve"> production practices alter environmental impacts and raise the question of the sustainability of these agricultural systems</w:t>
      </w:r>
      <w:r w:rsidR="006D5C3E">
        <w:rPr>
          <w:rFonts w:ascii="Times New Roman" w:hAnsi="Times New Roman" w:cs="Times New Roman"/>
          <w:sz w:val="24"/>
          <w:szCs w:val="24"/>
        </w:rPr>
        <w:t xml:space="preserve"> (Beaufoy, 2001;</w:t>
      </w:r>
      <w:r w:rsidR="007D16A1">
        <w:rPr>
          <w:rFonts w:ascii="Times New Roman" w:hAnsi="Times New Roman" w:cs="Times New Roman"/>
          <w:sz w:val="24"/>
          <w:szCs w:val="24"/>
        </w:rPr>
        <w:t xml:space="preserve"> Romero-</w:t>
      </w:r>
      <w:proofErr w:type="spellStart"/>
      <w:r w:rsidR="007D16A1">
        <w:rPr>
          <w:rFonts w:ascii="Times New Roman" w:hAnsi="Times New Roman" w:cs="Times New Roman"/>
          <w:sz w:val="24"/>
          <w:szCs w:val="24"/>
        </w:rPr>
        <w:t>Gamez</w:t>
      </w:r>
      <w:proofErr w:type="spellEnd"/>
      <w:r w:rsidR="007D16A1">
        <w:rPr>
          <w:rFonts w:ascii="Times New Roman" w:hAnsi="Times New Roman" w:cs="Times New Roman"/>
          <w:sz w:val="24"/>
          <w:szCs w:val="24"/>
        </w:rPr>
        <w:t xml:space="preserve"> et al, 2017)</w:t>
      </w:r>
      <w:r w:rsidRPr="00D662E5">
        <w:rPr>
          <w:rFonts w:ascii="Times New Roman" w:hAnsi="Times New Roman" w:cs="Times New Roman"/>
          <w:sz w:val="24"/>
          <w:szCs w:val="24"/>
        </w:rPr>
        <w:t xml:space="preserve">. </w:t>
      </w:r>
    </w:p>
    <w:p w14:paraId="0D815677" w14:textId="4AE2B775" w:rsidR="006A034A" w:rsidRDefault="006A034A" w:rsidP="006A034A">
      <w:pPr>
        <w:spacing w:line="480" w:lineRule="auto"/>
        <w:jc w:val="both"/>
        <w:rPr>
          <w:rFonts w:ascii="Times New Roman" w:hAnsi="Times New Roman" w:cs="Times New Roman"/>
          <w:sz w:val="24"/>
          <w:szCs w:val="24"/>
        </w:rPr>
      </w:pPr>
      <w:r w:rsidRPr="006A034A">
        <w:rPr>
          <w:rFonts w:ascii="Times New Roman" w:hAnsi="Times New Roman" w:cs="Times New Roman"/>
          <w:sz w:val="24"/>
          <w:szCs w:val="24"/>
        </w:rPr>
        <w:t>The general objective of this paper is to</w:t>
      </w:r>
      <w:r w:rsidR="00E56106">
        <w:rPr>
          <w:rFonts w:ascii="Times New Roman" w:hAnsi="Times New Roman" w:cs="Times New Roman"/>
          <w:sz w:val="24"/>
          <w:szCs w:val="24"/>
        </w:rPr>
        <w:t xml:space="preserve"> discuss</w:t>
      </w:r>
      <w:r w:rsidRPr="006A034A">
        <w:rPr>
          <w:rFonts w:ascii="Times New Roman" w:hAnsi="Times New Roman" w:cs="Times New Roman"/>
          <w:sz w:val="24"/>
          <w:szCs w:val="24"/>
        </w:rPr>
        <w:t xml:space="preserve"> </w:t>
      </w:r>
      <w:r w:rsidR="00E56106">
        <w:rPr>
          <w:rFonts w:ascii="Times New Roman" w:hAnsi="Times New Roman" w:cs="Times New Roman"/>
          <w:sz w:val="24"/>
          <w:szCs w:val="24"/>
        </w:rPr>
        <w:t>about the</w:t>
      </w:r>
      <w:r w:rsidR="00375BD3">
        <w:rPr>
          <w:rFonts w:ascii="Times New Roman" w:hAnsi="Times New Roman" w:cs="Times New Roman"/>
          <w:sz w:val="24"/>
          <w:szCs w:val="24"/>
        </w:rPr>
        <w:t xml:space="preserve"> use of</w:t>
      </w:r>
      <w:r w:rsidR="0082474E">
        <w:rPr>
          <w:rFonts w:ascii="Times New Roman" w:hAnsi="Times New Roman" w:cs="Times New Roman"/>
          <w:sz w:val="24"/>
          <w:szCs w:val="24"/>
        </w:rPr>
        <w:t xml:space="preserve"> </w:t>
      </w:r>
      <w:r w:rsidRPr="006A034A">
        <w:rPr>
          <w:rFonts w:ascii="Times New Roman" w:hAnsi="Times New Roman" w:cs="Times New Roman"/>
          <w:sz w:val="24"/>
          <w:szCs w:val="24"/>
        </w:rPr>
        <w:t>Life Cycle Management (LCM) tools to analy</w:t>
      </w:r>
      <w:r w:rsidR="00762435">
        <w:rPr>
          <w:rFonts w:ascii="Times New Roman" w:hAnsi="Times New Roman" w:cs="Times New Roman"/>
          <w:sz w:val="24"/>
          <w:szCs w:val="24"/>
        </w:rPr>
        <w:t>z</w:t>
      </w:r>
      <w:r w:rsidRPr="006A034A">
        <w:rPr>
          <w:rFonts w:ascii="Times New Roman" w:hAnsi="Times New Roman" w:cs="Times New Roman"/>
          <w:sz w:val="24"/>
          <w:szCs w:val="24"/>
        </w:rPr>
        <w:t>e the sustainability of olive groves in the Alentejo region</w:t>
      </w:r>
      <w:r w:rsidR="00375BD3">
        <w:rPr>
          <w:rFonts w:ascii="Times New Roman" w:hAnsi="Times New Roman" w:cs="Times New Roman"/>
          <w:sz w:val="24"/>
          <w:szCs w:val="24"/>
        </w:rPr>
        <w:t xml:space="preserve"> of </w:t>
      </w:r>
      <w:r w:rsidRPr="006A034A">
        <w:rPr>
          <w:rFonts w:ascii="Times New Roman" w:hAnsi="Times New Roman" w:cs="Times New Roman"/>
          <w:sz w:val="24"/>
          <w:szCs w:val="24"/>
        </w:rPr>
        <w:t xml:space="preserve">Portugal. Specifically, following </w:t>
      </w:r>
      <w:r w:rsidR="0082474E">
        <w:rPr>
          <w:rFonts w:ascii="Times New Roman" w:hAnsi="Times New Roman" w:cs="Times New Roman"/>
          <w:sz w:val="24"/>
          <w:szCs w:val="24"/>
        </w:rPr>
        <w:t>the</w:t>
      </w:r>
      <w:r w:rsidR="00375BD3" w:rsidRPr="006A034A">
        <w:rPr>
          <w:rFonts w:ascii="Times New Roman" w:hAnsi="Times New Roman" w:cs="Times New Roman"/>
          <w:sz w:val="24"/>
          <w:szCs w:val="24"/>
        </w:rPr>
        <w:t xml:space="preserve"> </w:t>
      </w:r>
      <w:r w:rsidRPr="006A034A">
        <w:rPr>
          <w:rFonts w:ascii="Times New Roman" w:hAnsi="Times New Roman" w:cs="Times New Roman"/>
          <w:sz w:val="24"/>
          <w:szCs w:val="24"/>
        </w:rPr>
        <w:t xml:space="preserve">methodological approach proposed in the international project </w:t>
      </w:r>
      <w:r w:rsidRPr="000F7F2A">
        <w:rPr>
          <w:rFonts w:ascii="Times New Roman" w:hAnsi="Times New Roman" w:cs="Times New Roman"/>
          <w:i/>
          <w:iCs/>
          <w:sz w:val="24"/>
          <w:szCs w:val="24"/>
        </w:rPr>
        <w:t>Sustainolive</w:t>
      </w:r>
      <w:r w:rsidRPr="006A034A">
        <w:rPr>
          <w:rFonts w:ascii="Times New Roman" w:hAnsi="Times New Roman" w:cs="Times New Roman"/>
          <w:sz w:val="24"/>
          <w:szCs w:val="24"/>
        </w:rPr>
        <w:t xml:space="preserve"> (2021) </w:t>
      </w:r>
      <w:r w:rsidR="00762435">
        <w:rPr>
          <w:rFonts w:ascii="Times New Roman" w:hAnsi="Times New Roman" w:cs="Times New Roman"/>
          <w:sz w:val="24"/>
          <w:szCs w:val="24"/>
        </w:rPr>
        <w:t>referred</w:t>
      </w:r>
      <w:r w:rsidRPr="006A034A">
        <w:rPr>
          <w:rFonts w:ascii="Times New Roman" w:hAnsi="Times New Roman" w:cs="Times New Roman"/>
          <w:sz w:val="24"/>
          <w:szCs w:val="24"/>
        </w:rPr>
        <w:t xml:space="preserve"> </w:t>
      </w:r>
      <w:r w:rsidR="00762435">
        <w:rPr>
          <w:rFonts w:ascii="Times New Roman" w:hAnsi="Times New Roman" w:cs="Times New Roman"/>
          <w:sz w:val="24"/>
          <w:szCs w:val="24"/>
        </w:rPr>
        <w:t xml:space="preserve">in </w:t>
      </w:r>
      <w:r w:rsidRPr="006A034A">
        <w:rPr>
          <w:rFonts w:ascii="Times New Roman" w:hAnsi="Times New Roman" w:cs="Times New Roman"/>
          <w:sz w:val="24"/>
          <w:szCs w:val="24"/>
        </w:rPr>
        <w:t>De Luca et al</w:t>
      </w:r>
      <w:r w:rsidR="00375BD3">
        <w:rPr>
          <w:rFonts w:ascii="Times New Roman" w:hAnsi="Times New Roman" w:cs="Times New Roman"/>
          <w:sz w:val="24"/>
          <w:szCs w:val="24"/>
        </w:rPr>
        <w:t>.</w:t>
      </w:r>
      <w:r w:rsidRPr="006A034A">
        <w:rPr>
          <w:rFonts w:ascii="Times New Roman" w:hAnsi="Times New Roman" w:cs="Times New Roman"/>
          <w:sz w:val="24"/>
          <w:szCs w:val="24"/>
        </w:rPr>
        <w:t xml:space="preserve"> (2021</w:t>
      </w:r>
      <w:r w:rsidR="00375BD3">
        <w:rPr>
          <w:rFonts w:ascii="Times New Roman" w:hAnsi="Times New Roman" w:cs="Times New Roman"/>
          <w:sz w:val="24"/>
          <w:szCs w:val="24"/>
        </w:rPr>
        <w:t>a, 2021b</w:t>
      </w:r>
      <w:r w:rsidRPr="006A034A">
        <w:rPr>
          <w:rFonts w:ascii="Times New Roman" w:hAnsi="Times New Roman" w:cs="Times New Roman"/>
          <w:sz w:val="24"/>
          <w:szCs w:val="24"/>
        </w:rPr>
        <w:t>), life cycle</w:t>
      </w:r>
      <w:r w:rsidR="00375BD3">
        <w:rPr>
          <w:rFonts w:ascii="Times New Roman" w:hAnsi="Times New Roman" w:cs="Times New Roman"/>
          <w:sz w:val="24"/>
          <w:szCs w:val="24"/>
        </w:rPr>
        <w:t>-based</w:t>
      </w:r>
      <w:r w:rsidRPr="006A034A">
        <w:rPr>
          <w:rFonts w:ascii="Times New Roman" w:hAnsi="Times New Roman" w:cs="Times New Roman"/>
          <w:sz w:val="24"/>
          <w:szCs w:val="24"/>
        </w:rPr>
        <w:t xml:space="preserve"> methodologies</w:t>
      </w:r>
      <w:r w:rsidR="00375BD3">
        <w:rPr>
          <w:rFonts w:ascii="Times New Roman" w:hAnsi="Times New Roman" w:cs="Times New Roman"/>
          <w:sz w:val="24"/>
          <w:szCs w:val="24"/>
        </w:rPr>
        <w:t>, namely Life Cycle Assessment (LCA), Life Cycle Costing (LCC), social Life Cycle Assessment (</w:t>
      </w:r>
      <w:proofErr w:type="spellStart"/>
      <w:r w:rsidR="00375BD3">
        <w:rPr>
          <w:rFonts w:ascii="Times New Roman" w:hAnsi="Times New Roman" w:cs="Times New Roman"/>
          <w:sz w:val="24"/>
          <w:szCs w:val="24"/>
        </w:rPr>
        <w:t>sLCA</w:t>
      </w:r>
      <w:proofErr w:type="spellEnd"/>
      <w:r w:rsidR="00375BD3">
        <w:rPr>
          <w:rFonts w:ascii="Times New Roman" w:hAnsi="Times New Roman" w:cs="Times New Roman"/>
          <w:sz w:val="24"/>
          <w:szCs w:val="24"/>
        </w:rPr>
        <w:t xml:space="preserve">) </w:t>
      </w:r>
      <w:r w:rsidRPr="006A034A">
        <w:rPr>
          <w:rFonts w:ascii="Times New Roman" w:hAnsi="Times New Roman" w:cs="Times New Roman"/>
          <w:sz w:val="24"/>
          <w:szCs w:val="24"/>
        </w:rPr>
        <w:t xml:space="preserve">and </w:t>
      </w:r>
      <w:r w:rsidR="00375BD3">
        <w:rPr>
          <w:rFonts w:ascii="Times New Roman" w:hAnsi="Times New Roman" w:cs="Times New Roman"/>
          <w:sz w:val="24"/>
          <w:szCs w:val="24"/>
        </w:rPr>
        <w:t>S</w:t>
      </w:r>
      <w:r w:rsidR="00375BD3" w:rsidRPr="006A034A">
        <w:rPr>
          <w:rFonts w:ascii="Times New Roman" w:hAnsi="Times New Roman" w:cs="Times New Roman"/>
          <w:sz w:val="24"/>
          <w:szCs w:val="24"/>
        </w:rPr>
        <w:t xml:space="preserve">ocial </w:t>
      </w:r>
      <w:r w:rsidR="00375BD3">
        <w:rPr>
          <w:rFonts w:ascii="Times New Roman" w:hAnsi="Times New Roman" w:cs="Times New Roman"/>
          <w:sz w:val="24"/>
          <w:szCs w:val="24"/>
        </w:rPr>
        <w:t>A</w:t>
      </w:r>
      <w:r w:rsidR="00375BD3" w:rsidRPr="006A034A">
        <w:rPr>
          <w:rFonts w:ascii="Times New Roman" w:hAnsi="Times New Roman" w:cs="Times New Roman"/>
          <w:sz w:val="24"/>
          <w:szCs w:val="24"/>
        </w:rPr>
        <w:t xml:space="preserve">grarian </w:t>
      </w:r>
      <w:r w:rsidR="00375BD3">
        <w:rPr>
          <w:rFonts w:ascii="Times New Roman" w:hAnsi="Times New Roman" w:cs="Times New Roman"/>
          <w:sz w:val="24"/>
          <w:szCs w:val="24"/>
        </w:rPr>
        <w:t>M</w:t>
      </w:r>
      <w:r w:rsidR="00375BD3" w:rsidRPr="006A034A">
        <w:rPr>
          <w:rFonts w:ascii="Times New Roman" w:hAnsi="Times New Roman" w:cs="Times New Roman"/>
          <w:sz w:val="24"/>
          <w:szCs w:val="24"/>
        </w:rPr>
        <w:t xml:space="preserve">etabolism </w:t>
      </w:r>
      <w:r w:rsidR="00375BD3">
        <w:rPr>
          <w:rFonts w:ascii="Times New Roman" w:hAnsi="Times New Roman" w:cs="Times New Roman"/>
          <w:sz w:val="24"/>
          <w:szCs w:val="24"/>
        </w:rPr>
        <w:t xml:space="preserve">(SAM) </w:t>
      </w:r>
      <w:r w:rsidRPr="006A034A">
        <w:rPr>
          <w:rFonts w:ascii="Times New Roman" w:hAnsi="Times New Roman" w:cs="Times New Roman"/>
          <w:sz w:val="24"/>
          <w:szCs w:val="24"/>
        </w:rPr>
        <w:t xml:space="preserve">will be </w:t>
      </w:r>
      <w:r w:rsidR="000526A9">
        <w:rPr>
          <w:rFonts w:ascii="Times New Roman" w:hAnsi="Times New Roman" w:cs="Times New Roman"/>
          <w:sz w:val="24"/>
          <w:szCs w:val="24"/>
        </w:rPr>
        <w:t>described</w:t>
      </w:r>
      <w:r w:rsidR="0081545D">
        <w:rPr>
          <w:rFonts w:ascii="Times New Roman" w:hAnsi="Times New Roman" w:cs="Times New Roman"/>
          <w:sz w:val="24"/>
          <w:szCs w:val="24"/>
        </w:rPr>
        <w:t xml:space="preserve"> </w:t>
      </w:r>
      <w:r w:rsidRPr="006A034A">
        <w:rPr>
          <w:rFonts w:ascii="Times New Roman" w:hAnsi="Times New Roman" w:cs="Times New Roman"/>
          <w:sz w:val="24"/>
          <w:szCs w:val="24"/>
        </w:rPr>
        <w:t xml:space="preserve">to </w:t>
      </w:r>
      <w:r w:rsidR="0081545D">
        <w:rPr>
          <w:rFonts w:ascii="Times New Roman" w:hAnsi="Times New Roman" w:cs="Times New Roman"/>
          <w:sz w:val="24"/>
          <w:szCs w:val="24"/>
        </w:rPr>
        <w:t xml:space="preserve">argue about their potentiality to effectively </w:t>
      </w:r>
      <w:proofErr w:type="gramStart"/>
      <w:r w:rsidR="0081545D">
        <w:rPr>
          <w:rFonts w:ascii="Times New Roman" w:hAnsi="Times New Roman" w:cs="Times New Roman"/>
          <w:sz w:val="24"/>
          <w:szCs w:val="24"/>
        </w:rPr>
        <w:t xml:space="preserve">measure </w:t>
      </w:r>
      <w:r w:rsidRPr="006A034A">
        <w:rPr>
          <w:rFonts w:ascii="Times New Roman" w:hAnsi="Times New Roman" w:cs="Times New Roman"/>
          <w:sz w:val="24"/>
          <w:szCs w:val="24"/>
        </w:rPr>
        <w:t xml:space="preserve"> </w:t>
      </w:r>
      <w:r w:rsidR="000526A9" w:rsidRPr="006A034A">
        <w:rPr>
          <w:rFonts w:ascii="Times New Roman" w:hAnsi="Times New Roman" w:cs="Times New Roman"/>
          <w:sz w:val="24"/>
          <w:szCs w:val="24"/>
        </w:rPr>
        <w:t>environmental</w:t>
      </w:r>
      <w:proofErr w:type="gramEnd"/>
      <w:r w:rsidR="000526A9">
        <w:rPr>
          <w:rFonts w:ascii="Times New Roman" w:hAnsi="Times New Roman" w:cs="Times New Roman"/>
          <w:sz w:val="24"/>
          <w:szCs w:val="24"/>
        </w:rPr>
        <w:t xml:space="preserve">, </w:t>
      </w:r>
      <w:r w:rsidRPr="006A034A">
        <w:rPr>
          <w:rFonts w:ascii="Times New Roman" w:hAnsi="Times New Roman" w:cs="Times New Roman"/>
          <w:sz w:val="24"/>
          <w:szCs w:val="24"/>
        </w:rPr>
        <w:t xml:space="preserve">economic, </w:t>
      </w:r>
      <w:r w:rsidR="000526A9">
        <w:rPr>
          <w:rFonts w:ascii="Times New Roman" w:hAnsi="Times New Roman" w:cs="Times New Roman"/>
          <w:sz w:val="24"/>
          <w:szCs w:val="24"/>
        </w:rPr>
        <w:t xml:space="preserve">and </w:t>
      </w:r>
      <w:r w:rsidRPr="006A034A">
        <w:rPr>
          <w:rFonts w:ascii="Times New Roman" w:hAnsi="Times New Roman" w:cs="Times New Roman"/>
          <w:sz w:val="24"/>
          <w:szCs w:val="24"/>
        </w:rPr>
        <w:t xml:space="preserve">social performances of sustainable management </w:t>
      </w:r>
      <w:r w:rsidR="00024C74">
        <w:rPr>
          <w:rFonts w:ascii="Times New Roman" w:hAnsi="Times New Roman" w:cs="Times New Roman"/>
          <w:sz w:val="24"/>
          <w:szCs w:val="24"/>
        </w:rPr>
        <w:t xml:space="preserve">systems </w:t>
      </w:r>
      <w:r w:rsidRPr="006A034A">
        <w:rPr>
          <w:rFonts w:ascii="Times New Roman" w:hAnsi="Times New Roman" w:cs="Times New Roman"/>
          <w:sz w:val="24"/>
          <w:szCs w:val="24"/>
        </w:rPr>
        <w:t xml:space="preserve">in olive growing.  </w:t>
      </w:r>
    </w:p>
    <w:p w14:paraId="071B959D" w14:textId="77777777" w:rsidR="00DF0EF6" w:rsidRDefault="00DF0EF6" w:rsidP="006A034A">
      <w:pPr>
        <w:spacing w:line="480" w:lineRule="auto"/>
        <w:jc w:val="both"/>
        <w:rPr>
          <w:rFonts w:ascii="Times New Roman" w:hAnsi="Times New Roman" w:cs="Times New Roman"/>
          <w:b/>
          <w:bCs/>
          <w:sz w:val="24"/>
          <w:szCs w:val="24"/>
        </w:rPr>
      </w:pPr>
    </w:p>
    <w:p w14:paraId="45166117" w14:textId="3D51D315" w:rsidR="00DF0EF6" w:rsidRDefault="00DF0EF6" w:rsidP="006A034A">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Context</w:t>
      </w:r>
    </w:p>
    <w:p w14:paraId="0000E31F" w14:textId="5BE5DD93" w:rsidR="00DF0EF6" w:rsidRDefault="00DF0EF6" w:rsidP="00D251AA">
      <w:pPr>
        <w:spacing w:line="480" w:lineRule="auto"/>
        <w:jc w:val="both"/>
        <w:rPr>
          <w:rFonts w:ascii="Times New Roman" w:hAnsi="Times New Roman" w:cs="Times New Roman"/>
          <w:sz w:val="24"/>
          <w:szCs w:val="24"/>
        </w:rPr>
      </w:pPr>
      <w:r w:rsidRPr="00DF0EF6">
        <w:rPr>
          <w:rFonts w:ascii="Times New Roman" w:hAnsi="Times New Roman" w:cs="Times New Roman"/>
          <w:sz w:val="24"/>
          <w:szCs w:val="24"/>
        </w:rPr>
        <w:lastRenderedPageBreak/>
        <w:t>The European Union is the leading world producer, consumer and exporter of olive oil, accounting for 68.4% of olive oil produced, 54.2% of olive oil consumed and 66.9% of exports (GPP, 2020). Olive farming is an important cultural and traditional system in the Mediterranean region that has considerable environmental impacts (</w:t>
      </w:r>
      <w:proofErr w:type="spellStart"/>
      <w:r w:rsidR="00CC1F06">
        <w:rPr>
          <w:rFonts w:ascii="Times New Roman" w:hAnsi="Times New Roman" w:cs="Times New Roman"/>
          <w:sz w:val="24"/>
          <w:szCs w:val="24"/>
        </w:rPr>
        <w:t>Camarsa</w:t>
      </w:r>
      <w:proofErr w:type="spellEnd"/>
      <w:r w:rsidR="00CC1F06">
        <w:rPr>
          <w:rFonts w:ascii="Times New Roman" w:hAnsi="Times New Roman" w:cs="Times New Roman"/>
          <w:sz w:val="24"/>
          <w:szCs w:val="24"/>
        </w:rPr>
        <w:t xml:space="preserve"> et al, 2010; </w:t>
      </w:r>
      <w:r w:rsidRPr="00DF0EF6">
        <w:rPr>
          <w:rFonts w:ascii="Times New Roman" w:hAnsi="Times New Roman" w:cs="Times New Roman"/>
          <w:sz w:val="24"/>
          <w:szCs w:val="24"/>
        </w:rPr>
        <w:t xml:space="preserve">Mohamad, et al., 2014). </w:t>
      </w:r>
      <w:r w:rsidR="005A7B5D" w:rsidRPr="005A7B5D">
        <w:rPr>
          <w:rFonts w:ascii="Times New Roman" w:hAnsi="Times New Roman" w:cs="Times New Roman"/>
          <w:sz w:val="24"/>
          <w:szCs w:val="24"/>
        </w:rPr>
        <w:t xml:space="preserve">Olive grove areas represent 7.7 million hectares in the Mediterranean basin with important environmental, social and economic contributions. It occupies 95% of the total world cultivated area of 10.8 </w:t>
      </w:r>
      <w:proofErr w:type="spellStart"/>
      <w:r w:rsidR="005A7B5D" w:rsidRPr="005A7B5D">
        <w:rPr>
          <w:rFonts w:ascii="Times New Roman" w:hAnsi="Times New Roman" w:cs="Times New Roman"/>
          <w:sz w:val="24"/>
          <w:szCs w:val="24"/>
        </w:rPr>
        <w:t>Mha</w:t>
      </w:r>
      <w:proofErr w:type="spellEnd"/>
      <w:r w:rsidR="005A7B5D" w:rsidRPr="005A7B5D">
        <w:rPr>
          <w:rFonts w:ascii="Times New Roman" w:hAnsi="Times New Roman" w:cs="Times New Roman"/>
          <w:sz w:val="24"/>
          <w:szCs w:val="24"/>
        </w:rPr>
        <w:t xml:space="preserve">, producing 97.8% of total world olive oil production. European Union (EU) countries produced an average of 2 161 000 </w:t>
      </w:r>
      <w:proofErr w:type="spellStart"/>
      <w:r w:rsidR="005A7B5D" w:rsidRPr="005A7B5D">
        <w:rPr>
          <w:rFonts w:ascii="Times New Roman" w:hAnsi="Times New Roman" w:cs="Times New Roman"/>
          <w:sz w:val="24"/>
          <w:szCs w:val="24"/>
        </w:rPr>
        <w:t>tonnes</w:t>
      </w:r>
      <w:proofErr w:type="spellEnd"/>
      <w:r w:rsidR="005A7B5D" w:rsidRPr="005A7B5D">
        <w:rPr>
          <w:rFonts w:ascii="Times New Roman" w:hAnsi="Times New Roman" w:cs="Times New Roman"/>
          <w:sz w:val="24"/>
          <w:szCs w:val="24"/>
        </w:rPr>
        <w:t xml:space="preserve"> per year (2006-2012) of olive oil </w:t>
      </w:r>
      <w:r w:rsidR="00307BCC" w:rsidRPr="00307BCC">
        <w:rPr>
          <w:rFonts w:ascii="Times New Roman" w:hAnsi="Times New Roman" w:cs="Times New Roman"/>
          <w:sz w:val="24"/>
          <w:szCs w:val="24"/>
        </w:rPr>
        <w:t>(IOC, 2012</w:t>
      </w:r>
      <w:r w:rsidR="00D251AA">
        <w:rPr>
          <w:rFonts w:ascii="Times New Roman" w:hAnsi="Times New Roman" w:cs="Times New Roman"/>
          <w:sz w:val="24"/>
          <w:szCs w:val="24"/>
        </w:rPr>
        <w:t xml:space="preserve">; </w:t>
      </w:r>
      <w:r w:rsidR="005A7B5D">
        <w:rPr>
          <w:rFonts w:ascii="Times New Roman" w:hAnsi="Times New Roman" w:cs="Times New Roman"/>
          <w:sz w:val="24"/>
          <w:szCs w:val="24"/>
        </w:rPr>
        <w:t xml:space="preserve">FAOSTAT, 2017, </w:t>
      </w:r>
      <w:r w:rsidRPr="00DF0EF6">
        <w:rPr>
          <w:rFonts w:ascii="Times New Roman" w:hAnsi="Times New Roman" w:cs="Times New Roman"/>
          <w:sz w:val="24"/>
          <w:szCs w:val="24"/>
        </w:rPr>
        <w:t>Sustainolive, 2021). In Portugal, olive grove production systems have been undergoing major technological changes, such as irrigation, biotechnology, land mobilization and mechanization. Extensive and traditional systems have been progressively replaced by intensive and super-intensive systems generating environmental, social and economic impacts and externalities (Marques, 2017</w:t>
      </w:r>
      <w:r w:rsidR="00307BCC">
        <w:rPr>
          <w:rFonts w:ascii="Times New Roman" w:hAnsi="Times New Roman" w:cs="Times New Roman"/>
          <w:sz w:val="24"/>
          <w:szCs w:val="24"/>
        </w:rPr>
        <w:t>).</w:t>
      </w:r>
    </w:p>
    <w:p w14:paraId="26B893B8" w14:textId="38D04536" w:rsidR="003C0995" w:rsidRPr="005A0420" w:rsidRDefault="003C0995" w:rsidP="003C0995">
      <w:pPr>
        <w:spacing w:line="480" w:lineRule="auto"/>
        <w:jc w:val="both"/>
        <w:rPr>
          <w:rFonts w:ascii="Times New Roman" w:hAnsi="Times New Roman" w:cs="Times New Roman"/>
          <w:sz w:val="24"/>
          <w:szCs w:val="24"/>
        </w:rPr>
      </w:pPr>
      <w:r w:rsidRPr="005A0420">
        <w:rPr>
          <w:rFonts w:ascii="Times New Roman" w:hAnsi="Times New Roman" w:cs="Times New Roman"/>
          <w:sz w:val="24"/>
          <w:szCs w:val="24"/>
        </w:rPr>
        <w:t xml:space="preserve">Portugal has been self-sufficient in olive oil since 2014 and accounts for 3.4 per cent of </w:t>
      </w:r>
      <w:r>
        <w:rPr>
          <w:rFonts w:ascii="Times New Roman" w:hAnsi="Times New Roman" w:cs="Times New Roman"/>
          <w:sz w:val="24"/>
          <w:szCs w:val="24"/>
        </w:rPr>
        <w:t xml:space="preserve">world </w:t>
      </w:r>
      <w:r w:rsidRPr="005A0420">
        <w:rPr>
          <w:rFonts w:ascii="Times New Roman" w:hAnsi="Times New Roman" w:cs="Times New Roman"/>
          <w:sz w:val="24"/>
          <w:szCs w:val="24"/>
        </w:rPr>
        <w:t xml:space="preserve">olive oil production (GPP, 2020). The Alentejo olive grove in Portugal represents 40% of the national olive grove area and produces 70% of the national olive oil production (INE, 2017).  </w:t>
      </w:r>
      <w:r>
        <w:rPr>
          <w:rFonts w:ascii="Times New Roman" w:hAnsi="Times New Roman" w:cs="Times New Roman"/>
          <w:sz w:val="24"/>
          <w:szCs w:val="24"/>
        </w:rPr>
        <w:t>Out o</w:t>
      </w:r>
      <w:r w:rsidRPr="005A0420">
        <w:rPr>
          <w:rFonts w:ascii="Times New Roman" w:hAnsi="Times New Roman" w:cs="Times New Roman"/>
          <w:sz w:val="24"/>
          <w:szCs w:val="24"/>
        </w:rPr>
        <w:t>f a</w:t>
      </w:r>
      <w:r>
        <w:rPr>
          <w:rFonts w:ascii="Times New Roman" w:hAnsi="Times New Roman" w:cs="Times New Roman"/>
          <w:sz w:val="24"/>
          <w:szCs w:val="24"/>
        </w:rPr>
        <w:t xml:space="preserve"> total national area of </w:t>
      </w:r>
      <w:r w:rsidRPr="005A0420">
        <w:rPr>
          <w:rFonts w:ascii="Times New Roman" w:hAnsi="Times New Roman" w:cs="Times New Roman"/>
          <w:sz w:val="24"/>
          <w:szCs w:val="24"/>
        </w:rPr>
        <w:t>347</w:t>
      </w:r>
      <w:r>
        <w:rPr>
          <w:rFonts w:ascii="Times New Roman" w:hAnsi="Times New Roman" w:cs="Times New Roman"/>
          <w:sz w:val="24"/>
          <w:szCs w:val="24"/>
        </w:rPr>
        <w:t xml:space="preserve"> thousand </w:t>
      </w:r>
      <w:r w:rsidRPr="005A0420">
        <w:rPr>
          <w:rFonts w:ascii="Times New Roman" w:hAnsi="Times New Roman" w:cs="Times New Roman"/>
          <w:sz w:val="24"/>
          <w:szCs w:val="24"/>
        </w:rPr>
        <w:t xml:space="preserve">hectares of olive groves, 6% </w:t>
      </w:r>
      <w:r>
        <w:rPr>
          <w:rFonts w:ascii="Times New Roman" w:hAnsi="Times New Roman" w:cs="Times New Roman"/>
          <w:sz w:val="24"/>
          <w:szCs w:val="24"/>
        </w:rPr>
        <w:t xml:space="preserve">is on </w:t>
      </w:r>
      <w:r w:rsidRPr="005A0420">
        <w:rPr>
          <w:rFonts w:ascii="Times New Roman" w:hAnsi="Times New Roman" w:cs="Times New Roman"/>
          <w:sz w:val="24"/>
          <w:szCs w:val="24"/>
        </w:rPr>
        <w:t xml:space="preserve">olive groves in intensive and super-intensive systems, located mainly in the Alentejo area (GPP, 2020). </w:t>
      </w:r>
    </w:p>
    <w:p w14:paraId="021AED4E" w14:textId="77777777" w:rsidR="00111CC1" w:rsidRDefault="00111CC1" w:rsidP="003C0995">
      <w:pPr>
        <w:spacing w:line="480" w:lineRule="auto"/>
        <w:jc w:val="both"/>
        <w:rPr>
          <w:rFonts w:ascii="Times New Roman" w:hAnsi="Times New Roman" w:cs="Times New Roman"/>
          <w:b/>
          <w:bCs/>
          <w:sz w:val="24"/>
          <w:szCs w:val="24"/>
        </w:rPr>
      </w:pPr>
    </w:p>
    <w:p w14:paraId="102A07AE" w14:textId="45B31434" w:rsidR="008B6B4C" w:rsidRDefault="0013523A" w:rsidP="003C0995">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Brief overview of sustainability assessment methods  </w:t>
      </w:r>
    </w:p>
    <w:p w14:paraId="393A42DA" w14:textId="25824644" w:rsidR="003C0995" w:rsidRPr="003C0995" w:rsidRDefault="00883350" w:rsidP="003C0995">
      <w:pPr>
        <w:spacing w:line="480" w:lineRule="auto"/>
        <w:jc w:val="both"/>
        <w:rPr>
          <w:rFonts w:ascii="Times New Roman" w:hAnsi="Times New Roman" w:cs="Times New Roman"/>
          <w:sz w:val="24"/>
          <w:szCs w:val="24"/>
        </w:rPr>
      </w:pPr>
      <w:r w:rsidRPr="00883350">
        <w:rPr>
          <w:rFonts w:ascii="Times New Roman" w:hAnsi="Times New Roman" w:cs="Times New Roman"/>
          <w:sz w:val="24"/>
          <w:szCs w:val="24"/>
        </w:rPr>
        <w:t xml:space="preserve">For Zhang &amp; Zhu </w:t>
      </w:r>
      <w:r w:rsidR="006B4363">
        <w:rPr>
          <w:rFonts w:ascii="Times New Roman" w:hAnsi="Times New Roman" w:cs="Times New Roman"/>
          <w:sz w:val="24"/>
          <w:szCs w:val="24"/>
        </w:rPr>
        <w:t>(</w:t>
      </w:r>
      <w:r w:rsidRPr="00883350">
        <w:rPr>
          <w:rFonts w:ascii="Times New Roman" w:hAnsi="Times New Roman" w:cs="Times New Roman"/>
          <w:sz w:val="24"/>
          <w:szCs w:val="24"/>
        </w:rPr>
        <w:t xml:space="preserve">2020:2) "sustainability can be understood as the achievement of higher levels of well-being distributed more equitably within ecological </w:t>
      </w:r>
      <w:proofErr w:type="spellStart"/>
      <w:r w:rsidRPr="00883350">
        <w:rPr>
          <w:rFonts w:ascii="Times New Roman" w:hAnsi="Times New Roman" w:cs="Times New Roman"/>
          <w:sz w:val="24"/>
          <w:szCs w:val="24"/>
        </w:rPr>
        <w:t>limits</w:t>
      </w:r>
      <w:proofErr w:type="gramStart"/>
      <w:r w:rsidRPr="00883350">
        <w:rPr>
          <w:rFonts w:ascii="Times New Roman" w:hAnsi="Times New Roman" w:cs="Times New Roman"/>
          <w:sz w:val="24"/>
          <w:szCs w:val="24"/>
        </w:rPr>
        <w:t>".</w:t>
      </w:r>
      <w:r w:rsidR="003C0995" w:rsidRPr="003C0995">
        <w:rPr>
          <w:rFonts w:ascii="Times New Roman" w:hAnsi="Times New Roman" w:cs="Times New Roman"/>
          <w:sz w:val="24"/>
          <w:szCs w:val="24"/>
        </w:rPr>
        <w:t>Sustainable</w:t>
      </w:r>
      <w:proofErr w:type="spellEnd"/>
      <w:proofErr w:type="gramEnd"/>
      <w:r w:rsidR="003C0995" w:rsidRPr="003C0995">
        <w:rPr>
          <w:rFonts w:ascii="Times New Roman" w:hAnsi="Times New Roman" w:cs="Times New Roman"/>
          <w:sz w:val="24"/>
          <w:szCs w:val="24"/>
        </w:rPr>
        <w:t xml:space="preserve"> </w:t>
      </w:r>
      <w:r w:rsidR="003C0995" w:rsidRPr="003C0995">
        <w:rPr>
          <w:rFonts w:ascii="Times New Roman" w:hAnsi="Times New Roman" w:cs="Times New Roman"/>
          <w:sz w:val="24"/>
          <w:szCs w:val="24"/>
        </w:rPr>
        <w:lastRenderedPageBreak/>
        <w:t xml:space="preserve">development </w:t>
      </w:r>
      <w:r w:rsidR="003C0995" w:rsidRPr="0088447C">
        <w:rPr>
          <w:rFonts w:ascii="Times New Roman" w:hAnsi="Times New Roman" w:cs="Times New Roman"/>
          <w:sz w:val="24"/>
          <w:szCs w:val="24"/>
        </w:rPr>
        <w:t xml:space="preserve">is proposed based on the </w:t>
      </w:r>
      <w:r w:rsidR="00543197" w:rsidRPr="0088447C">
        <w:rPr>
          <w:rFonts w:ascii="Times New Roman" w:hAnsi="Times New Roman" w:cs="Times New Roman"/>
          <w:sz w:val="24"/>
          <w:szCs w:val="24"/>
        </w:rPr>
        <w:t>“</w:t>
      </w:r>
      <w:r w:rsidR="003C0995" w:rsidRPr="0088447C">
        <w:rPr>
          <w:rFonts w:ascii="Times New Roman" w:hAnsi="Times New Roman" w:cs="Times New Roman"/>
          <w:sz w:val="24"/>
          <w:szCs w:val="24"/>
        </w:rPr>
        <w:t>Ends-Means Spectrum</w:t>
      </w:r>
      <w:r w:rsidR="00543197" w:rsidRPr="0088447C">
        <w:rPr>
          <w:rFonts w:ascii="Times New Roman" w:hAnsi="Times New Roman" w:cs="Times New Roman"/>
          <w:sz w:val="24"/>
          <w:szCs w:val="24"/>
        </w:rPr>
        <w:t>”</w:t>
      </w:r>
      <w:r w:rsidR="003C0995" w:rsidRPr="0088447C">
        <w:rPr>
          <w:rFonts w:ascii="Times New Roman" w:hAnsi="Times New Roman" w:cs="Times New Roman"/>
          <w:sz w:val="24"/>
          <w:szCs w:val="24"/>
        </w:rPr>
        <w:t xml:space="preserve"> and strong sustainability, which underline that improving well-being is the ultimate goal and ecological consumption is the ultimate means and has biophysical limits</w:t>
      </w:r>
      <w:r w:rsidR="003C0995" w:rsidRPr="003C0995">
        <w:rPr>
          <w:rFonts w:ascii="Times New Roman" w:hAnsi="Times New Roman" w:cs="Times New Roman"/>
          <w:sz w:val="24"/>
          <w:szCs w:val="24"/>
        </w:rPr>
        <w:t xml:space="preserve"> (</w:t>
      </w:r>
      <w:r w:rsidR="00877446">
        <w:rPr>
          <w:rFonts w:ascii="Times New Roman" w:hAnsi="Times New Roman" w:cs="Times New Roman"/>
          <w:sz w:val="24"/>
          <w:szCs w:val="24"/>
        </w:rPr>
        <w:t xml:space="preserve">Daly &amp; Farley, 2004; </w:t>
      </w:r>
      <w:r w:rsidR="003C0995" w:rsidRPr="003C0995">
        <w:rPr>
          <w:rFonts w:ascii="Times New Roman" w:hAnsi="Times New Roman" w:cs="Times New Roman"/>
          <w:sz w:val="24"/>
          <w:szCs w:val="24"/>
        </w:rPr>
        <w:t xml:space="preserve">Zhang &amp; Zhu, 2020).  </w:t>
      </w:r>
      <w:r w:rsidR="00964746" w:rsidRPr="00964746">
        <w:rPr>
          <w:rFonts w:ascii="Times New Roman" w:hAnsi="Times New Roman" w:cs="Times New Roman"/>
          <w:sz w:val="24"/>
          <w:szCs w:val="24"/>
        </w:rPr>
        <w:t xml:space="preserve">The term ‘‘sustainable agriculture’’ means </w:t>
      </w:r>
      <w:r w:rsidR="004917B6">
        <w:rPr>
          <w:rFonts w:ascii="Times New Roman" w:hAnsi="Times New Roman" w:cs="Times New Roman"/>
          <w:sz w:val="24"/>
          <w:szCs w:val="24"/>
        </w:rPr>
        <w:t>“</w:t>
      </w:r>
      <w:r w:rsidR="00964746" w:rsidRPr="00964746">
        <w:rPr>
          <w:rFonts w:ascii="Times New Roman" w:hAnsi="Times New Roman" w:cs="Times New Roman"/>
          <w:sz w:val="24"/>
          <w:szCs w:val="24"/>
        </w:rPr>
        <w:t>an integrated system of plant and animal production practices having a site-specific application that will, over the long-term— (A) satisfy human food and fiber needs; (B) enhance environmental quality and the natural resource base upon which the agriculture economy depends; (C) make the most efficient use of nonrenewable resources and on-farm resources and integrate, where appropriate, natural biological cycles and controls; (D) sustain the economic viability of farm operations; and (E) enhance the quality of life for farmers and society as a whole</w:t>
      </w:r>
      <w:r w:rsidR="004917B6">
        <w:rPr>
          <w:rFonts w:ascii="Times New Roman" w:hAnsi="Times New Roman" w:cs="Times New Roman"/>
          <w:sz w:val="24"/>
          <w:szCs w:val="24"/>
        </w:rPr>
        <w:t>” (USDA/NIFA, 2002)</w:t>
      </w:r>
    </w:p>
    <w:p w14:paraId="6973B731" w14:textId="71D6C4D9" w:rsidR="00DD443B" w:rsidRDefault="003C0995" w:rsidP="00DD443B">
      <w:pPr>
        <w:spacing w:line="480" w:lineRule="auto"/>
        <w:jc w:val="both"/>
        <w:rPr>
          <w:rFonts w:ascii="Times New Roman" w:hAnsi="Times New Roman" w:cs="Times New Roman"/>
          <w:sz w:val="24"/>
          <w:szCs w:val="24"/>
        </w:rPr>
      </w:pPr>
      <w:r w:rsidRPr="003C0995">
        <w:rPr>
          <w:rFonts w:ascii="Times New Roman" w:hAnsi="Times New Roman" w:cs="Times New Roman"/>
          <w:sz w:val="24"/>
          <w:szCs w:val="24"/>
        </w:rPr>
        <w:t xml:space="preserve"> Climate change and increasing urbanization pressures add urgency to the challenge of ensuring global food security without compromising the sustainability of social-ecological systems (Garnett et al. 2013). </w:t>
      </w:r>
      <w:r w:rsidR="00DD443B" w:rsidRPr="00DD443B">
        <w:rPr>
          <w:rFonts w:ascii="Times New Roman" w:hAnsi="Times New Roman" w:cs="Times New Roman"/>
          <w:sz w:val="24"/>
          <w:szCs w:val="24"/>
        </w:rPr>
        <w:t>Olive farming has presented changes aiming at increasing productivity and profitability and, according to Caruso et al., (2014) in recent years, the diversity of olive grove management types in the main growing areas has thus increased and, intensification techniques have been widely adopted. This intensification differs from the traditional structure in relation to the performance and technique adopted, such as irrigation, fertilization, mechanical harvesting and pruning. By the rapid adoption and demands of this intensification raises doubts about its future sustainability (</w:t>
      </w:r>
      <w:proofErr w:type="spellStart"/>
      <w:r w:rsidR="00DD443B" w:rsidRPr="00DD443B">
        <w:rPr>
          <w:rFonts w:ascii="Times New Roman" w:hAnsi="Times New Roman" w:cs="Times New Roman"/>
          <w:sz w:val="24"/>
          <w:szCs w:val="24"/>
        </w:rPr>
        <w:t>Mairech</w:t>
      </w:r>
      <w:proofErr w:type="spellEnd"/>
      <w:r w:rsidR="00DD443B" w:rsidRPr="00DD443B">
        <w:rPr>
          <w:rFonts w:ascii="Times New Roman" w:hAnsi="Times New Roman" w:cs="Times New Roman"/>
          <w:sz w:val="24"/>
          <w:szCs w:val="24"/>
        </w:rPr>
        <w:t>, et al., 2021).</w:t>
      </w:r>
      <w:r w:rsidR="00DD443B">
        <w:rPr>
          <w:rFonts w:ascii="Times New Roman" w:hAnsi="Times New Roman" w:cs="Times New Roman"/>
          <w:sz w:val="24"/>
          <w:szCs w:val="24"/>
        </w:rPr>
        <w:t xml:space="preserve"> Therefore, </w:t>
      </w:r>
      <w:r w:rsidR="00DD443B" w:rsidRPr="003C0995">
        <w:rPr>
          <w:rFonts w:ascii="Times New Roman" w:hAnsi="Times New Roman" w:cs="Times New Roman"/>
          <w:sz w:val="24"/>
          <w:szCs w:val="24"/>
        </w:rPr>
        <w:t>the adoption of innovative production strategies is necessary to undertake sustainability pathways. The impacts must be assessed so that corrective actions can be taken and public programs and policies that promote them can be shaped.</w:t>
      </w:r>
      <w:r w:rsidR="00264F22">
        <w:rPr>
          <w:rFonts w:ascii="Times New Roman" w:hAnsi="Times New Roman" w:cs="Times New Roman"/>
          <w:sz w:val="24"/>
          <w:szCs w:val="24"/>
        </w:rPr>
        <w:t xml:space="preserve"> </w:t>
      </w:r>
      <w:r w:rsidR="00264F22" w:rsidRPr="00264F22">
        <w:rPr>
          <w:rFonts w:ascii="Times New Roman" w:hAnsi="Times New Roman" w:cs="Times New Roman"/>
          <w:sz w:val="24"/>
          <w:szCs w:val="24"/>
        </w:rPr>
        <w:t xml:space="preserve">As an </w:t>
      </w:r>
      <w:proofErr w:type="gramStart"/>
      <w:r w:rsidR="00264F22" w:rsidRPr="00264F22">
        <w:rPr>
          <w:rFonts w:ascii="Times New Roman" w:hAnsi="Times New Roman" w:cs="Times New Roman"/>
          <w:sz w:val="24"/>
          <w:szCs w:val="24"/>
        </w:rPr>
        <w:t>example</w:t>
      </w:r>
      <w:proofErr w:type="gramEnd"/>
      <w:r w:rsidR="00264F22" w:rsidRPr="00264F22">
        <w:rPr>
          <w:rFonts w:ascii="Times New Roman" w:hAnsi="Times New Roman" w:cs="Times New Roman"/>
          <w:sz w:val="24"/>
          <w:szCs w:val="24"/>
        </w:rPr>
        <w:t xml:space="preserve"> there is the green direct payment or 'greening' which according to European Commission (2021) supports farmers who adopt or maintain agricultural </w:t>
      </w:r>
      <w:r w:rsidR="00264F22" w:rsidRPr="00264F22">
        <w:rPr>
          <w:rFonts w:ascii="Times New Roman" w:hAnsi="Times New Roman" w:cs="Times New Roman"/>
          <w:sz w:val="24"/>
          <w:szCs w:val="24"/>
        </w:rPr>
        <w:lastRenderedPageBreak/>
        <w:t>practices that contribute to EU environmental and climate objectives through reward. Under the new Common Agricultural Policy 2023-2027 (CAP 2023-2027) that will start in January 2023, there will be stronger incentives for climate and environmentally friendly farming practices through receipt of green direct payment if they comply with some mandatory practices that benefit the environment (soil and biodiversity in particular).</w:t>
      </w:r>
      <w:r w:rsidR="00DD443B" w:rsidRPr="003C0995">
        <w:rPr>
          <w:rFonts w:ascii="Times New Roman" w:hAnsi="Times New Roman" w:cs="Times New Roman"/>
          <w:sz w:val="24"/>
          <w:szCs w:val="24"/>
        </w:rPr>
        <w:t xml:space="preserve"> </w:t>
      </w:r>
    </w:p>
    <w:p w14:paraId="34B17B9F" w14:textId="26BE5864" w:rsidR="003C0995" w:rsidRPr="003C0995" w:rsidRDefault="003C0995" w:rsidP="003C0995">
      <w:pPr>
        <w:spacing w:line="480" w:lineRule="auto"/>
        <w:jc w:val="both"/>
        <w:rPr>
          <w:rFonts w:ascii="Times New Roman" w:hAnsi="Times New Roman" w:cs="Times New Roman"/>
          <w:sz w:val="24"/>
          <w:szCs w:val="24"/>
        </w:rPr>
      </w:pPr>
      <w:r w:rsidRPr="003C0995">
        <w:rPr>
          <w:rFonts w:ascii="Times New Roman" w:hAnsi="Times New Roman" w:cs="Times New Roman"/>
          <w:sz w:val="24"/>
          <w:szCs w:val="24"/>
        </w:rPr>
        <w:t>Improving product sustainability can be achieved by maximizing economic and social values while reducing environmental impact and cost (</w:t>
      </w:r>
      <w:proofErr w:type="spellStart"/>
      <w:r w:rsidRPr="003C0995">
        <w:rPr>
          <w:rFonts w:ascii="Times New Roman" w:hAnsi="Times New Roman" w:cs="Times New Roman"/>
          <w:sz w:val="24"/>
          <w:szCs w:val="24"/>
        </w:rPr>
        <w:t>Hanieh</w:t>
      </w:r>
      <w:proofErr w:type="spellEnd"/>
      <w:r w:rsidRPr="003C0995">
        <w:rPr>
          <w:rFonts w:ascii="Times New Roman" w:hAnsi="Times New Roman" w:cs="Times New Roman"/>
          <w:sz w:val="24"/>
          <w:szCs w:val="24"/>
        </w:rPr>
        <w:t xml:space="preserve"> et al., 2020). Therefore, characterizing and quantifying impacts becomes so important to identify the bottlenecks in adopting sustainable management strategies.</w:t>
      </w:r>
    </w:p>
    <w:p w14:paraId="77BA212D" w14:textId="71EA8E58" w:rsidR="003C0995" w:rsidRPr="007E35DC" w:rsidRDefault="007E35DC" w:rsidP="003C0995">
      <w:pPr>
        <w:spacing w:line="480" w:lineRule="auto"/>
        <w:jc w:val="both"/>
        <w:rPr>
          <w:rFonts w:ascii="Times New Roman" w:hAnsi="Times New Roman" w:cs="Times New Roman"/>
          <w:sz w:val="24"/>
          <w:szCs w:val="24"/>
        </w:rPr>
      </w:pPr>
      <w:r w:rsidRPr="007E35DC">
        <w:rPr>
          <w:rFonts w:ascii="Times New Roman" w:hAnsi="Times New Roman" w:cs="Times New Roman"/>
          <w:sz w:val="24"/>
          <w:szCs w:val="24"/>
        </w:rPr>
        <w:t xml:space="preserve">Within the life cycle methodologies and that help to assess impacts, there is Life Cycle Thinking (LCT), which concerns the conceptual part and Life Cycle Management (LCM) which is its operational complement. They integrate sustainability priorities throughout the production process, in a systematic way, to improve design, innovation and evaluation activities </w:t>
      </w:r>
      <w:r>
        <w:rPr>
          <w:rFonts w:ascii="Times New Roman" w:hAnsi="Times New Roman" w:cs="Times New Roman"/>
          <w:sz w:val="24"/>
          <w:szCs w:val="24"/>
        </w:rPr>
        <w:t>(</w:t>
      </w:r>
      <w:r w:rsidR="003C0995" w:rsidRPr="007E35DC">
        <w:rPr>
          <w:rFonts w:ascii="Times New Roman" w:hAnsi="Times New Roman" w:cs="Times New Roman"/>
          <w:sz w:val="24"/>
          <w:szCs w:val="24"/>
        </w:rPr>
        <w:t>De Luca et al., 2017).</w:t>
      </w:r>
    </w:p>
    <w:p w14:paraId="351ED190" w14:textId="77777777" w:rsidR="00C419D7" w:rsidRDefault="00C419D7" w:rsidP="000A18D4">
      <w:pPr>
        <w:spacing w:line="480" w:lineRule="auto"/>
        <w:jc w:val="both"/>
        <w:rPr>
          <w:rFonts w:ascii="Times New Roman" w:hAnsi="Times New Roman" w:cs="Times New Roman"/>
          <w:sz w:val="24"/>
          <w:szCs w:val="24"/>
        </w:rPr>
      </w:pPr>
      <w:r w:rsidRPr="00C419D7">
        <w:rPr>
          <w:rFonts w:ascii="Times New Roman" w:hAnsi="Times New Roman" w:cs="Times New Roman"/>
          <w:sz w:val="24"/>
          <w:szCs w:val="24"/>
        </w:rPr>
        <w:t xml:space="preserve">For </w:t>
      </w:r>
      <w:proofErr w:type="spellStart"/>
      <w:r w:rsidRPr="00C419D7">
        <w:rPr>
          <w:rFonts w:ascii="Times New Roman" w:hAnsi="Times New Roman" w:cs="Times New Roman"/>
          <w:sz w:val="24"/>
          <w:szCs w:val="24"/>
        </w:rPr>
        <w:t>Sonnemann</w:t>
      </w:r>
      <w:proofErr w:type="spellEnd"/>
      <w:r w:rsidRPr="00C419D7">
        <w:rPr>
          <w:rFonts w:ascii="Times New Roman" w:hAnsi="Times New Roman" w:cs="Times New Roman"/>
          <w:sz w:val="24"/>
          <w:szCs w:val="24"/>
        </w:rPr>
        <w:t xml:space="preserve"> et al. (2015) within LCM there are different tools and concepts that can be used, for example LCA, LCC, </w:t>
      </w:r>
      <w:proofErr w:type="spellStart"/>
      <w:r w:rsidRPr="00C419D7">
        <w:rPr>
          <w:rFonts w:ascii="Times New Roman" w:hAnsi="Times New Roman" w:cs="Times New Roman"/>
          <w:sz w:val="24"/>
          <w:szCs w:val="24"/>
        </w:rPr>
        <w:t>sLCA</w:t>
      </w:r>
      <w:proofErr w:type="spellEnd"/>
      <w:r w:rsidRPr="00C419D7">
        <w:rPr>
          <w:rFonts w:ascii="Times New Roman" w:hAnsi="Times New Roman" w:cs="Times New Roman"/>
          <w:sz w:val="24"/>
          <w:szCs w:val="24"/>
        </w:rPr>
        <w:t xml:space="preserve">, organizational LCA (OLCA), hotspot analysis, different forms of water footprint and carbon footprint, cost-benefit analysis (CBA), material flow analysis (MFA), substance flow analysis (SFA), input-output analysis (IOA), environmental risk assessment (ERA), among others.   </w:t>
      </w:r>
    </w:p>
    <w:p w14:paraId="192C082C" w14:textId="5BE9D860" w:rsidR="000A18D4" w:rsidRPr="006D68C6" w:rsidRDefault="009C04FD" w:rsidP="000A18D4">
      <w:pPr>
        <w:spacing w:line="480" w:lineRule="auto"/>
        <w:jc w:val="both"/>
        <w:rPr>
          <w:rFonts w:ascii="Times New Roman" w:hAnsi="Times New Roman" w:cs="Times New Roman"/>
          <w:sz w:val="24"/>
          <w:szCs w:val="24"/>
        </w:rPr>
      </w:pPr>
      <w:r w:rsidRPr="009C04FD">
        <w:rPr>
          <w:rFonts w:ascii="Times New Roman" w:hAnsi="Times New Roman" w:cs="Times New Roman"/>
          <w:sz w:val="24"/>
          <w:szCs w:val="24"/>
        </w:rPr>
        <w:t>Among the many environmental and economic studies (leaving aside the social aspect) on olive groves, we can highlight for example</w:t>
      </w:r>
      <w:r w:rsidR="000A18D4" w:rsidRPr="006D68C6">
        <w:rPr>
          <w:rFonts w:ascii="Times New Roman" w:hAnsi="Times New Roman" w:cs="Times New Roman"/>
          <w:sz w:val="24"/>
          <w:szCs w:val="24"/>
        </w:rPr>
        <w:t xml:space="preserve">, Mohamad et al. (2014) </w:t>
      </w:r>
      <w:r w:rsidR="0082474E">
        <w:rPr>
          <w:rFonts w:ascii="Times New Roman" w:hAnsi="Times New Roman" w:cs="Times New Roman"/>
          <w:sz w:val="24"/>
          <w:szCs w:val="24"/>
        </w:rPr>
        <w:t>compare</w:t>
      </w:r>
      <w:r w:rsidR="000A18D4" w:rsidRPr="006D68C6">
        <w:rPr>
          <w:rFonts w:ascii="Times New Roman" w:hAnsi="Times New Roman" w:cs="Times New Roman"/>
          <w:sz w:val="24"/>
          <w:szCs w:val="24"/>
        </w:rPr>
        <w:t xml:space="preserve"> environmental impacts and economic performances between organic and conventional olive farming systems in the Puglia region (Italy) using LCA to assess environmental </w:t>
      </w:r>
      <w:r w:rsidR="000A18D4" w:rsidRPr="006D68C6">
        <w:rPr>
          <w:rFonts w:ascii="Times New Roman" w:hAnsi="Times New Roman" w:cs="Times New Roman"/>
          <w:sz w:val="24"/>
          <w:szCs w:val="24"/>
        </w:rPr>
        <w:lastRenderedPageBreak/>
        <w:t xml:space="preserve">impacts, and LCC to assess the economic performance of the studied systems. The study by </w:t>
      </w:r>
      <w:r w:rsidR="000B2016">
        <w:rPr>
          <w:rFonts w:ascii="Times New Roman" w:hAnsi="Times New Roman" w:cs="Times New Roman"/>
          <w:sz w:val="24"/>
          <w:szCs w:val="24"/>
        </w:rPr>
        <w:t xml:space="preserve">De </w:t>
      </w:r>
      <w:r w:rsidR="000A18D4" w:rsidRPr="006D68C6">
        <w:rPr>
          <w:rFonts w:ascii="Times New Roman" w:hAnsi="Times New Roman" w:cs="Times New Roman"/>
          <w:sz w:val="24"/>
          <w:szCs w:val="24"/>
        </w:rPr>
        <w:t xml:space="preserve">Gennaro et al., (2012) performs the environmental and economic assessment of intensive and super-intensive systems by integrating the two methods using a common database. </w:t>
      </w:r>
    </w:p>
    <w:p w14:paraId="49423FC0" w14:textId="4BE9FFD8" w:rsidR="000A18D4" w:rsidRPr="006D68C6" w:rsidRDefault="000A18D4" w:rsidP="000A18D4">
      <w:pPr>
        <w:spacing w:line="480" w:lineRule="auto"/>
        <w:jc w:val="both"/>
        <w:rPr>
          <w:rFonts w:ascii="Times New Roman" w:hAnsi="Times New Roman" w:cs="Times New Roman"/>
          <w:sz w:val="24"/>
          <w:szCs w:val="24"/>
        </w:rPr>
      </w:pPr>
      <w:r w:rsidRPr="006D68C6">
        <w:rPr>
          <w:rFonts w:ascii="Times New Roman" w:hAnsi="Times New Roman" w:cs="Times New Roman"/>
          <w:sz w:val="24"/>
          <w:szCs w:val="24"/>
        </w:rPr>
        <w:t>In order to obtain a complete assessment of the impacts</w:t>
      </w:r>
      <w:r>
        <w:rPr>
          <w:rFonts w:ascii="Times New Roman" w:hAnsi="Times New Roman" w:cs="Times New Roman"/>
          <w:sz w:val="24"/>
          <w:szCs w:val="24"/>
        </w:rPr>
        <w:t>,</w:t>
      </w:r>
      <w:r w:rsidRPr="006D68C6">
        <w:rPr>
          <w:rFonts w:ascii="Times New Roman" w:hAnsi="Times New Roman" w:cs="Times New Roman"/>
          <w:sz w:val="24"/>
          <w:szCs w:val="24"/>
        </w:rPr>
        <w:t xml:space="preserve"> it can be seen that the joint use of environmental, social and economic analysis tools and methodologies proves to be effective, as it supports decision making and assists the formulation of strategic actions to improve the sustainable management of olive production systems (</w:t>
      </w:r>
      <w:proofErr w:type="spellStart"/>
      <w:r w:rsidRPr="006D68C6">
        <w:rPr>
          <w:rFonts w:ascii="Times New Roman" w:hAnsi="Times New Roman" w:cs="Times New Roman"/>
          <w:sz w:val="24"/>
          <w:szCs w:val="24"/>
        </w:rPr>
        <w:t>Remmen</w:t>
      </w:r>
      <w:proofErr w:type="spellEnd"/>
      <w:r w:rsidRPr="006D68C6">
        <w:rPr>
          <w:rFonts w:ascii="Times New Roman" w:hAnsi="Times New Roman" w:cs="Times New Roman"/>
          <w:sz w:val="24"/>
          <w:szCs w:val="24"/>
        </w:rPr>
        <w:t xml:space="preserve"> et al. 2007). According to </w:t>
      </w:r>
      <w:proofErr w:type="spellStart"/>
      <w:r w:rsidRPr="006D68C6">
        <w:rPr>
          <w:rFonts w:ascii="Times New Roman" w:hAnsi="Times New Roman" w:cs="Times New Roman"/>
          <w:sz w:val="24"/>
          <w:szCs w:val="24"/>
        </w:rPr>
        <w:t>Finkbeiner</w:t>
      </w:r>
      <w:proofErr w:type="spellEnd"/>
      <w:r w:rsidRPr="006D68C6">
        <w:rPr>
          <w:rFonts w:ascii="Times New Roman" w:hAnsi="Times New Roman" w:cs="Times New Roman"/>
          <w:sz w:val="24"/>
          <w:szCs w:val="24"/>
        </w:rPr>
        <w:t xml:space="preserve"> et al. (2010) and UNEP (2011)</w:t>
      </w:r>
      <w:r w:rsidR="0082474E">
        <w:rPr>
          <w:rFonts w:ascii="Times New Roman" w:hAnsi="Times New Roman" w:cs="Times New Roman"/>
          <w:sz w:val="24"/>
          <w:szCs w:val="24"/>
        </w:rPr>
        <w:t>,</w:t>
      </w:r>
      <w:r w:rsidRPr="006D68C6">
        <w:rPr>
          <w:rFonts w:ascii="Times New Roman" w:hAnsi="Times New Roman" w:cs="Times New Roman"/>
          <w:sz w:val="24"/>
          <w:szCs w:val="24"/>
        </w:rPr>
        <w:t xml:space="preserve"> life cycle sustainability assessment (LCSA) is the combination of LCA, LCC and </w:t>
      </w:r>
      <w:proofErr w:type="spellStart"/>
      <w:r w:rsidR="000526A9">
        <w:rPr>
          <w:rFonts w:ascii="Times New Roman" w:hAnsi="Times New Roman" w:cs="Times New Roman"/>
          <w:sz w:val="24"/>
          <w:szCs w:val="24"/>
        </w:rPr>
        <w:t>s</w:t>
      </w:r>
      <w:r w:rsidRPr="006D68C6">
        <w:rPr>
          <w:rFonts w:ascii="Times New Roman" w:hAnsi="Times New Roman" w:cs="Times New Roman"/>
          <w:sz w:val="24"/>
          <w:szCs w:val="24"/>
        </w:rPr>
        <w:t>LCA</w:t>
      </w:r>
      <w:proofErr w:type="spellEnd"/>
      <w:r w:rsidRPr="006D68C6">
        <w:rPr>
          <w:rFonts w:ascii="Times New Roman" w:hAnsi="Times New Roman" w:cs="Times New Roman"/>
          <w:sz w:val="24"/>
          <w:szCs w:val="24"/>
        </w:rPr>
        <w:t xml:space="preserve"> to assess the three dimensions of sustainability for products. </w:t>
      </w:r>
      <w:r w:rsidR="006B4363">
        <w:rPr>
          <w:rFonts w:ascii="Times New Roman" w:hAnsi="Times New Roman" w:cs="Times New Roman"/>
          <w:sz w:val="24"/>
          <w:szCs w:val="24"/>
        </w:rPr>
        <w:t>In this study and several others, such as that of Sala et al. (2017), the importance of complementing LCA with other scientific methods and domains (environmental, social and economic) is highlighted enabling LCA to become a key element for the sustainability of food systems</w:t>
      </w:r>
      <w:r w:rsidRPr="006D68C6">
        <w:rPr>
          <w:rFonts w:ascii="Times New Roman" w:hAnsi="Times New Roman" w:cs="Times New Roman"/>
          <w:sz w:val="24"/>
          <w:szCs w:val="24"/>
        </w:rPr>
        <w:t>.</w:t>
      </w:r>
    </w:p>
    <w:p w14:paraId="4833D66D" w14:textId="5202D4B2" w:rsidR="00263AB2" w:rsidRPr="006D68C6" w:rsidRDefault="00263AB2" w:rsidP="00263AB2">
      <w:pPr>
        <w:spacing w:line="480" w:lineRule="auto"/>
        <w:jc w:val="both"/>
        <w:rPr>
          <w:rFonts w:ascii="Times New Roman" w:hAnsi="Times New Roman" w:cs="Times New Roman"/>
          <w:sz w:val="24"/>
          <w:szCs w:val="24"/>
        </w:rPr>
      </w:pPr>
      <w:r w:rsidRPr="00E857CD">
        <w:rPr>
          <w:rFonts w:ascii="Times New Roman" w:hAnsi="Times New Roman" w:cs="Times New Roman"/>
          <w:sz w:val="24"/>
          <w:szCs w:val="24"/>
        </w:rPr>
        <w:t xml:space="preserve">De Luca et al., (2021) </w:t>
      </w:r>
      <w:r w:rsidR="00E857CD">
        <w:rPr>
          <w:rFonts w:ascii="Times New Roman" w:hAnsi="Times New Roman" w:cs="Times New Roman"/>
          <w:sz w:val="24"/>
          <w:szCs w:val="24"/>
        </w:rPr>
        <w:t>proposed</w:t>
      </w:r>
      <w:r w:rsidR="00E857CD" w:rsidRPr="00E857CD">
        <w:rPr>
          <w:rFonts w:ascii="Times New Roman" w:hAnsi="Times New Roman" w:cs="Times New Roman"/>
          <w:sz w:val="24"/>
          <w:szCs w:val="24"/>
        </w:rPr>
        <w:t xml:space="preserve"> </w:t>
      </w:r>
      <w:r w:rsidR="00E857CD">
        <w:rPr>
          <w:rFonts w:ascii="Times New Roman" w:hAnsi="Times New Roman" w:cs="Times New Roman"/>
          <w:sz w:val="24"/>
          <w:szCs w:val="24"/>
        </w:rPr>
        <w:t xml:space="preserve">and are </w:t>
      </w:r>
      <w:r w:rsidR="00FF762B">
        <w:rPr>
          <w:rFonts w:ascii="Times New Roman" w:hAnsi="Times New Roman" w:cs="Times New Roman"/>
          <w:sz w:val="24"/>
          <w:szCs w:val="24"/>
        </w:rPr>
        <w:t xml:space="preserve">in </w:t>
      </w:r>
      <w:r w:rsidR="00E857CD">
        <w:rPr>
          <w:rFonts w:ascii="Times New Roman" w:hAnsi="Times New Roman" w:cs="Times New Roman"/>
          <w:sz w:val="24"/>
          <w:szCs w:val="24"/>
        </w:rPr>
        <w:t xml:space="preserve">working </w:t>
      </w:r>
      <w:r w:rsidR="00FF762B">
        <w:rPr>
          <w:rFonts w:ascii="Times New Roman" w:hAnsi="Times New Roman" w:cs="Times New Roman"/>
          <w:sz w:val="24"/>
          <w:szCs w:val="24"/>
        </w:rPr>
        <w:t>progress for</w:t>
      </w:r>
      <w:r w:rsidR="00E857CD">
        <w:rPr>
          <w:rFonts w:ascii="Times New Roman" w:hAnsi="Times New Roman" w:cs="Times New Roman"/>
          <w:sz w:val="24"/>
          <w:szCs w:val="24"/>
        </w:rPr>
        <w:t xml:space="preserve"> the joint application of </w:t>
      </w:r>
      <w:r w:rsidRPr="00E857CD">
        <w:rPr>
          <w:rFonts w:ascii="Times New Roman" w:hAnsi="Times New Roman" w:cs="Times New Roman"/>
          <w:sz w:val="24"/>
          <w:szCs w:val="24"/>
        </w:rPr>
        <w:t>LCC, LCA,</w:t>
      </w:r>
      <w:r w:rsidR="00E857CD">
        <w:rPr>
          <w:rFonts w:ascii="Times New Roman" w:hAnsi="Times New Roman" w:cs="Times New Roman"/>
          <w:sz w:val="24"/>
          <w:szCs w:val="24"/>
        </w:rPr>
        <w:t xml:space="preserve"> and</w:t>
      </w:r>
      <w:r w:rsidRPr="00E857CD">
        <w:rPr>
          <w:rFonts w:ascii="Times New Roman" w:hAnsi="Times New Roman" w:cs="Times New Roman"/>
          <w:sz w:val="24"/>
          <w:szCs w:val="24"/>
        </w:rPr>
        <w:t xml:space="preserve"> </w:t>
      </w:r>
      <w:proofErr w:type="spellStart"/>
      <w:proofErr w:type="gramStart"/>
      <w:r w:rsidR="00E857CD">
        <w:rPr>
          <w:rFonts w:ascii="Times New Roman" w:hAnsi="Times New Roman" w:cs="Times New Roman"/>
          <w:sz w:val="24"/>
          <w:szCs w:val="24"/>
        </w:rPr>
        <w:t>sLCA</w:t>
      </w:r>
      <w:proofErr w:type="spellEnd"/>
      <w:r w:rsidR="00E857CD">
        <w:rPr>
          <w:rFonts w:ascii="Times New Roman" w:hAnsi="Times New Roman" w:cs="Times New Roman"/>
          <w:sz w:val="24"/>
          <w:szCs w:val="24"/>
        </w:rPr>
        <w:t xml:space="preserve">  as</w:t>
      </w:r>
      <w:proofErr w:type="gramEnd"/>
      <w:r w:rsidR="00E857CD">
        <w:rPr>
          <w:rFonts w:ascii="Times New Roman" w:hAnsi="Times New Roman" w:cs="Times New Roman"/>
          <w:sz w:val="24"/>
          <w:szCs w:val="24"/>
        </w:rPr>
        <w:t xml:space="preserve"> in De Luca et al. (2018)</w:t>
      </w:r>
      <w:r w:rsidRPr="00E857CD">
        <w:rPr>
          <w:rFonts w:ascii="Times New Roman" w:hAnsi="Times New Roman" w:cs="Times New Roman"/>
          <w:sz w:val="24"/>
          <w:szCs w:val="24"/>
        </w:rPr>
        <w:t xml:space="preserve">, with </w:t>
      </w:r>
      <w:r w:rsidR="00E85838">
        <w:rPr>
          <w:rFonts w:ascii="Times New Roman" w:hAnsi="Times New Roman" w:cs="Times New Roman"/>
          <w:sz w:val="24"/>
          <w:szCs w:val="24"/>
        </w:rPr>
        <w:t xml:space="preserve">a further assessment method named </w:t>
      </w:r>
      <w:r w:rsidRPr="00E857CD">
        <w:rPr>
          <w:rFonts w:ascii="Times New Roman" w:hAnsi="Times New Roman" w:cs="Times New Roman"/>
          <w:sz w:val="24"/>
          <w:szCs w:val="24"/>
        </w:rPr>
        <w:t>Social Agr</w:t>
      </w:r>
      <w:r w:rsidR="00E857CD">
        <w:rPr>
          <w:rFonts w:ascii="Times New Roman" w:hAnsi="Times New Roman" w:cs="Times New Roman"/>
          <w:sz w:val="24"/>
          <w:szCs w:val="24"/>
        </w:rPr>
        <w:t>arian</w:t>
      </w:r>
      <w:r w:rsidRPr="00E857CD">
        <w:rPr>
          <w:rFonts w:ascii="Times New Roman" w:hAnsi="Times New Roman" w:cs="Times New Roman"/>
          <w:sz w:val="24"/>
          <w:szCs w:val="24"/>
        </w:rPr>
        <w:t xml:space="preserve"> Metabolism (SAM) </w:t>
      </w:r>
      <w:r w:rsidR="00E857CD">
        <w:rPr>
          <w:rFonts w:ascii="Times New Roman" w:hAnsi="Times New Roman" w:cs="Times New Roman"/>
          <w:sz w:val="24"/>
          <w:szCs w:val="24"/>
        </w:rPr>
        <w:t xml:space="preserve">as in </w:t>
      </w:r>
      <w:r w:rsidR="00E857CD" w:rsidRPr="00EA6986">
        <w:rPr>
          <w:rFonts w:ascii="Times New Roman" w:hAnsi="Times New Roman" w:cs="Times New Roman"/>
          <w:sz w:val="24"/>
          <w:szCs w:val="24"/>
        </w:rPr>
        <w:t>González de Molina</w:t>
      </w:r>
      <w:r w:rsidR="00E857CD" w:rsidRPr="00E857CD">
        <w:rPr>
          <w:rFonts w:ascii="Times New Roman" w:hAnsi="Times New Roman" w:cs="Times New Roman"/>
          <w:sz w:val="24"/>
          <w:szCs w:val="24"/>
        </w:rPr>
        <w:t xml:space="preserve"> </w:t>
      </w:r>
      <w:r w:rsidR="00E857CD">
        <w:rPr>
          <w:rFonts w:ascii="Times New Roman" w:hAnsi="Times New Roman" w:cs="Times New Roman"/>
          <w:sz w:val="24"/>
          <w:szCs w:val="24"/>
        </w:rPr>
        <w:t>et al. (2020)</w:t>
      </w:r>
      <w:r w:rsidR="00E85838">
        <w:rPr>
          <w:rFonts w:ascii="Times New Roman" w:hAnsi="Times New Roman" w:cs="Times New Roman"/>
          <w:sz w:val="24"/>
          <w:szCs w:val="24"/>
        </w:rPr>
        <w:t xml:space="preserve">, </w:t>
      </w:r>
      <w:r w:rsidR="00E857CD">
        <w:rPr>
          <w:rFonts w:ascii="Times New Roman" w:hAnsi="Times New Roman" w:cs="Times New Roman"/>
          <w:sz w:val="24"/>
          <w:szCs w:val="24"/>
        </w:rPr>
        <w:t xml:space="preserve">in order to evaluate sustainable technological solutions applied in olive farms compared to typical managerial approaches. </w:t>
      </w:r>
    </w:p>
    <w:p w14:paraId="78E035FC" w14:textId="4D57DB8B" w:rsidR="00F85FF1" w:rsidRPr="00263AB2" w:rsidRDefault="00D775C9" w:rsidP="00263AB2">
      <w:pPr>
        <w:spacing w:line="480" w:lineRule="auto"/>
        <w:jc w:val="both"/>
        <w:rPr>
          <w:rFonts w:ascii="Times New Roman" w:hAnsi="Times New Roman" w:cs="Times New Roman"/>
          <w:color w:val="FF0000"/>
          <w:sz w:val="24"/>
          <w:szCs w:val="24"/>
        </w:rPr>
      </w:pPr>
      <w:r w:rsidRPr="00D775C9">
        <w:rPr>
          <w:rFonts w:ascii="Times New Roman" w:hAnsi="Times New Roman" w:cs="Times New Roman"/>
          <w:sz w:val="24"/>
          <w:szCs w:val="24"/>
        </w:rPr>
        <w:t>From an environmental perspective</w:t>
      </w:r>
      <w:r w:rsidR="0017519D">
        <w:rPr>
          <w:rFonts w:ascii="Times New Roman" w:hAnsi="Times New Roman" w:cs="Times New Roman"/>
          <w:sz w:val="24"/>
          <w:szCs w:val="24"/>
        </w:rPr>
        <w:t>,</w:t>
      </w:r>
      <w:r w:rsidRPr="00D775C9">
        <w:rPr>
          <w:rFonts w:ascii="Times New Roman" w:hAnsi="Times New Roman" w:cs="Times New Roman"/>
          <w:sz w:val="24"/>
          <w:szCs w:val="24"/>
        </w:rPr>
        <w:t xml:space="preserve"> LCA is a technique that identifies </w:t>
      </w:r>
      <w:r w:rsidR="00E85838">
        <w:rPr>
          <w:rFonts w:ascii="Times New Roman" w:hAnsi="Times New Roman" w:cs="Times New Roman"/>
          <w:sz w:val="24"/>
          <w:szCs w:val="24"/>
        </w:rPr>
        <w:t>“</w:t>
      </w:r>
      <w:proofErr w:type="gramStart"/>
      <w:r w:rsidRPr="00D775C9">
        <w:rPr>
          <w:rFonts w:ascii="Times New Roman" w:hAnsi="Times New Roman" w:cs="Times New Roman"/>
          <w:sz w:val="24"/>
          <w:szCs w:val="24"/>
        </w:rPr>
        <w:t>where</w:t>
      </w:r>
      <w:r w:rsidR="00E85838">
        <w:rPr>
          <w:rFonts w:ascii="Times New Roman" w:hAnsi="Times New Roman" w:cs="Times New Roman"/>
          <w:sz w:val="24"/>
          <w:szCs w:val="24"/>
        </w:rPr>
        <w:t>“</w:t>
      </w:r>
      <w:r w:rsidR="00E85838" w:rsidRPr="00D775C9">
        <w:rPr>
          <w:rFonts w:ascii="Times New Roman" w:hAnsi="Times New Roman" w:cs="Times New Roman"/>
          <w:sz w:val="24"/>
          <w:szCs w:val="24"/>
        </w:rPr>
        <w:t xml:space="preserve"> </w:t>
      </w:r>
      <w:r w:rsidRPr="00D775C9">
        <w:rPr>
          <w:rFonts w:ascii="Times New Roman" w:hAnsi="Times New Roman" w:cs="Times New Roman"/>
          <w:sz w:val="24"/>
          <w:szCs w:val="24"/>
        </w:rPr>
        <w:t>and</w:t>
      </w:r>
      <w:proofErr w:type="gramEnd"/>
      <w:r w:rsidRPr="00D775C9">
        <w:rPr>
          <w:rFonts w:ascii="Times New Roman" w:hAnsi="Times New Roman" w:cs="Times New Roman"/>
          <w:sz w:val="24"/>
          <w:szCs w:val="24"/>
        </w:rPr>
        <w:t xml:space="preserve"> </w:t>
      </w:r>
      <w:r w:rsidR="00E85838">
        <w:rPr>
          <w:rFonts w:ascii="Times New Roman" w:hAnsi="Times New Roman" w:cs="Times New Roman"/>
          <w:sz w:val="24"/>
          <w:szCs w:val="24"/>
        </w:rPr>
        <w:t>”</w:t>
      </w:r>
      <w:r w:rsidRPr="00D775C9">
        <w:rPr>
          <w:rFonts w:ascii="Times New Roman" w:hAnsi="Times New Roman" w:cs="Times New Roman"/>
          <w:sz w:val="24"/>
          <w:szCs w:val="24"/>
        </w:rPr>
        <w:t>how</w:t>
      </w:r>
      <w:r w:rsidR="00E85838">
        <w:rPr>
          <w:rFonts w:ascii="Times New Roman" w:hAnsi="Times New Roman" w:cs="Times New Roman"/>
          <w:sz w:val="24"/>
          <w:szCs w:val="24"/>
        </w:rPr>
        <w:t>“</w:t>
      </w:r>
      <w:r w:rsidR="00E85838" w:rsidRPr="00D775C9">
        <w:rPr>
          <w:rFonts w:ascii="Times New Roman" w:hAnsi="Times New Roman" w:cs="Times New Roman"/>
          <w:sz w:val="24"/>
          <w:szCs w:val="24"/>
        </w:rPr>
        <w:t xml:space="preserve"> </w:t>
      </w:r>
      <w:r w:rsidRPr="00D775C9">
        <w:rPr>
          <w:rFonts w:ascii="Times New Roman" w:hAnsi="Times New Roman" w:cs="Times New Roman"/>
          <w:sz w:val="24"/>
          <w:szCs w:val="24"/>
        </w:rPr>
        <w:t xml:space="preserve">resources are consumed and emissions occur, during the life cycle of a product/service. </w:t>
      </w:r>
      <w:r w:rsidR="007D7290" w:rsidRPr="007D7290">
        <w:rPr>
          <w:rFonts w:ascii="Times New Roman" w:hAnsi="Times New Roman" w:cs="Times New Roman"/>
          <w:sz w:val="24"/>
          <w:szCs w:val="24"/>
        </w:rPr>
        <w:t xml:space="preserve">It ensures that impacts throughout this cycle are addressed in an integrated way, depending on the purpose and scope of the analysis </w:t>
      </w:r>
      <w:r w:rsidRPr="00D775C9">
        <w:rPr>
          <w:rFonts w:ascii="Times New Roman" w:hAnsi="Times New Roman" w:cs="Times New Roman"/>
          <w:sz w:val="24"/>
          <w:szCs w:val="24"/>
        </w:rPr>
        <w:t>(</w:t>
      </w:r>
      <w:proofErr w:type="spellStart"/>
      <w:r w:rsidRPr="00D775C9">
        <w:rPr>
          <w:rFonts w:ascii="Times New Roman" w:hAnsi="Times New Roman" w:cs="Times New Roman"/>
          <w:sz w:val="24"/>
          <w:szCs w:val="24"/>
        </w:rPr>
        <w:t>Cellura</w:t>
      </w:r>
      <w:proofErr w:type="spellEnd"/>
      <w:r w:rsidRPr="00D775C9">
        <w:rPr>
          <w:rFonts w:ascii="Times New Roman" w:hAnsi="Times New Roman" w:cs="Times New Roman"/>
          <w:sz w:val="24"/>
          <w:szCs w:val="24"/>
        </w:rPr>
        <w:t xml:space="preserve"> et al., 2012; Kyriakopoulos, 2007). It is the compilation and evaluation of the inputs, outputs and potential environmental impacts of a product</w:t>
      </w:r>
      <w:r w:rsidR="0017519D">
        <w:rPr>
          <w:rFonts w:ascii="Times New Roman" w:hAnsi="Times New Roman" w:cs="Times New Roman"/>
          <w:sz w:val="24"/>
          <w:szCs w:val="24"/>
        </w:rPr>
        <w:t>ion</w:t>
      </w:r>
      <w:r w:rsidRPr="00D775C9">
        <w:rPr>
          <w:rFonts w:ascii="Times New Roman" w:hAnsi="Times New Roman" w:cs="Times New Roman"/>
          <w:sz w:val="24"/>
          <w:szCs w:val="24"/>
        </w:rPr>
        <w:t xml:space="preserve"> system throughout its life cycle (ISO, </w:t>
      </w:r>
      <w:r w:rsidRPr="00D775C9">
        <w:rPr>
          <w:rFonts w:ascii="Times New Roman" w:hAnsi="Times New Roman" w:cs="Times New Roman"/>
          <w:sz w:val="24"/>
          <w:szCs w:val="24"/>
        </w:rPr>
        <w:lastRenderedPageBreak/>
        <w:t>2006</w:t>
      </w:r>
      <w:r w:rsidR="00772BD3">
        <w:rPr>
          <w:rFonts w:ascii="Times New Roman" w:hAnsi="Times New Roman" w:cs="Times New Roman"/>
          <w:sz w:val="24"/>
          <w:szCs w:val="24"/>
        </w:rPr>
        <w:t xml:space="preserve"> </w:t>
      </w:r>
      <w:r w:rsidRPr="00D775C9">
        <w:rPr>
          <w:rFonts w:ascii="Times New Roman" w:hAnsi="Times New Roman" w:cs="Times New Roman"/>
          <w:sz w:val="24"/>
          <w:szCs w:val="24"/>
        </w:rPr>
        <w:t>a, b). A set of indicators, corresponding to different impact categories, are calculated using data available from dedicated databases through specific software for impact characteri</w:t>
      </w:r>
      <w:r w:rsidR="0017519D">
        <w:rPr>
          <w:rFonts w:ascii="Times New Roman" w:hAnsi="Times New Roman" w:cs="Times New Roman"/>
          <w:sz w:val="24"/>
          <w:szCs w:val="24"/>
        </w:rPr>
        <w:t>z</w:t>
      </w:r>
      <w:r w:rsidRPr="00D775C9">
        <w:rPr>
          <w:rFonts w:ascii="Times New Roman" w:hAnsi="Times New Roman" w:cs="Times New Roman"/>
          <w:sz w:val="24"/>
          <w:szCs w:val="24"/>
        </w:rPr>
        <w:t xml:space="preserve">ation. </w:t>
      </w:r>
    </w:p>
    <w:p w14:paraId="4C83EDE5" w14:textId="7B124CD3" w:rsidR="00F85FF1" w:rsidRDefault="0080046F" w:rsidP="006064D2">
      <w:pPr>
        <w:spacing w:line="480" w:lineRule="auto"/>
        <w:jc w:val="both"/>
        <w:rPr>
          <w:rFonts w:ascii="Times New Roman" w:hAnsi="Times New Roman" w:cs="Times New Roman"/>
          <w:sz w:val="24"/>
          <w:szCs w:val="24"/>
        </w:rPr>
      </w:pPr>
      <w:r w:rsidRPr="0080046F">
        <w:rPr>
          <w:rFonts w:ascii="Times New Roman" w:hAnsi="Times New Roman" w:cs="Times New Roman"/>
          <w:sz w:val="24"/>
          <w:szCs w:val="24"/>
        </w:rPr>
        <w:t>Aware of the economic importance of olives in several countries, olive oil production is linked to several adverse effects on the environment, such as resource depletion, land degradation, air emissions, and waste generation. These impacts can vary substantially according to the practices and techniques adopted in this sector (</w:t>
      </w:r>
      <w:proofErr w:type="spellStart"/>
      <w:r w:rsidRPr="0080046F">
        <w:rPr>
          <w:rFonts w:ascii="Times New Roman" w:hAnsi="Times New Roman" w:cs="Times New Roman"/>
          <w:sz w:val="24"/>
          <w:szCs w:val="24"/>
        </w:rPr>
        <w:t>Salomone</w:t>
      </w:r>
      <w:proofErr w:type="spellEnd"/>
      <w:r w:rsidRPr="0080046F">
        <w:rPr>
          <w:rFonts w:ascii="Times New Roman" w:hAnsi="Times New Roman" w:cs="Times New Roman"/>
          <w:sz w:val="24"/>
          <w:szCs w:val="24"/>
        </w:rPr>
        <w:t xml:space="preserve"> and </w:t>
      </w:r>
      <w:proofErr w:type="spellStart"/>
      <w:r w:rsidRPr="0080046F">
        <w:rPr>
          <w:rFonts w:ascii="Times New Roman" w:hAnsi="Times New Roman" w:cs="Times New Roman"/>
          <w:sz w:val="24"/>
          <w:szCs w:val="24"/>
        </w:rPr>
        <w:t>Ioppolo</w:t>
      </w:r>
      <w:proofErr w:type="spellEnd"/>
      <w:r w:rsidRPr="0080046F">
        <w:rPr>
          <w:rFonts w:ascii="Times New Roman" w:hAnsi="Times New Roman" w:cs="Times New Roman"/>
          <w:sz w:val="24"/>
          <w:szCs w:val="24"/>
        </w:rPr>
        <w:t xml:space="preserve"> 2012).</w:t>
      </w:r>
      <w:r>
        <w:rPr>
          <w:rFonts w:ascii="Times New Roman" w:hAnsi="Times New Roman" w:cs="Times New Roman"/>
          <w:sz w:val="24"/>
          <w:szCs w:val="24"/>
        </w:rPr>
        <w:t xml:space="preserve"> </w:t>
      </w:r>
      <w:r w:rsidR="00F85FF1" w:rsidRPr="006064D2">
        <w:rPr>
          <w:rFonts w:ascii="Times New Roman" w:hAnsi="Times New Roman" w:cs="Times New Roman"/>
          <w:sz w:val="24"/>
          <w:szCs w:val="24"/>
        </w:rPr>
        <w:t>As a consequence, tools such as LCA are becoming increasingly important for this type of industry (</w:t>
      </w:r>
      <w:proofErr w:type="spellStart"/>
      <w:r w:rsidR="00F85FF1" w:rsidRPr="006064D2">
        <w:rPr>
          <w:rFonts w:ascii="Times New Roman" w:hAnsi="Times New Roman" w:cs="Times New Roman"/>
          <w:sz w:val="24"/>
          <w:szCs w:val="24"/>
        </w:rPr>
        <w:t>Salomone</w:t>
      </w:r>
      <w:proofErr w:type="spellEnd"/>
      <w:r w:rsidR="00F85FF1" w:rsidRPr="006064D2">
        <w:rPr>
          <w:rFonts w:ascii="Times New Roman" w:hAnsi="Times New Roman" w:cs="Times New Roman"/>
          <w:sz w:val="24"/>
          <w:szCs w:val="24"/>
        </w:rPr>
        <w:t xml:space="preserve"> et al., 2015). In this sector, especially agricultural production represents the critical phase of LCA, due to the need to model the interactions between biological phenomena and human activities that may increase the uncertainty of the results (</w:t>
      </w:r>
      <w:proofErr w:type="spellStart"/>
      <w:r w:rsidR="00F85FF1" w:rsidRPr="006064D2">
        <w:rPr>
          <w:rFonts w:ascii="Times New Roman" w:hAnsi="Times New Roman" w:cs="Times New Roman"/>
          <w:sz w:val="24"/>
          <w:szCs w:val="24"/>
        </w:rPr>
        <w:t>Cerutti</w:t>
      </w:r>
      <w:proofErr w:type="spellEnd"/>
      <w:r w:rsidR="00F85FF1" w:rsidRPr="006064D2">
        <w:rPr>
          <w:rFonts w:ascii="Times New Roman" w:hAnsi="Times New Roman" w:cs="Times New Roman"/>
          <w:sz w:val="24"/>
          <w:szCs w:val="24"/>
        </w:rPr>
        <w:t xml:space="preserve"> et al., 2015).</w:t>
      </w:r>
    </w:p>
    <w:p w14:paraId="7C4A5303" w14:textId="76D3A993" w:rsidR="00F85FF1" w:rsidRPr="00032AA9" w:rsidRDefault="00F85FF1" w:rsidP="006064D2">
      <w:pPr>
        <w:spacing w:line="480" w:lineRule="auto"/>
        <w:jc w:val="both"/>
        <w:rPr>
          <w:rFonts w:ascii="Times New Roman" w:hAnsi="Times New Roman" w:cs="Times New Roman"/>
          <w:color w:val="FF0000"/>
          <w:sz w:val="24"/>
          <w:szCs w:val="24"/>
        </w:rPr>
      </w:pPr>
      <w:r w:rsidRPr="006064D2">
        <w:rPr>
          <w:rFonts w:ascii="Times New Roman" w:hAnsi="Times New Roman" w:cs="Times New Roman"/>
          <w:sz w:val="24"/>
          <w:szCs w:val="24"/>
        </w:rPr>
        <w:t>LCC is an economic tool that allows important decisions to be adopted in the design, development and implementation of projects/products (</w:t>
      </w:r>
      <w:r w:rsidR="00DA15F4">
        <w:rPr>
          <w:rFonts w:ascii="Times New Roman" w:hAnsi="Times New Roman" w:cs="Times New Roman"/>
          <w:sz w:val="24"/>
          <w:szCs w:val="24"/>
        </w:rPr>
        <w:t xml:space="preserve">ISO, 2008; </w:t>
      </w:r>
      <w:r w:rsidRPr="006064D2">
        <w:rPr>
          <w:rFonts w:ascii="Times New Roman" w:hAnsi="Times New Roman" w:cs="Times New Roman"/>
          <w:sz w:val="24"/>
          <w:szCs w:val="24"/>
        </w:rPr>
        <w:t>Farr, 2011). It performs the economic valuation of resources (</w:t>
      </w:r>
      <w:proofErr w:type="gramStart"/>
      <w:r w:rsidRPr="006064D2">
        <w:rPr>
          <w:rFonts w:ascii="Times New Roman" w:hAnsi="Times New Roman" w:cs="Times New Roman"/>
          <w:sz w:val="24"/>
          <w:szCs w:val="24"/>
        </w:rPr>
        <w:t>i.e.</w:t>
      </w:r>
      <w:proofErr w:type="gramEnd"/>
      <w:r w:rsidRPr="006064D2">
        <w:rPr>
          <w:rFonts w:ascii="Times New Roman" w:hAnsi="Times New Roman" w:cs="Times New Roman"/>
          <w:sz w:val="24"/>
          <w:szCs w:val="24"/>
        </w:rPr>
        <w:t xml:space="preserve"> inputs) and environmental impacts (i.e. externalities) and identifies the bottlenecks of adopting a sustainable strategy (Farr, 2011). LCC is dedicated to the elaboration of an account of all costs generated throughout the life cycle (</w:t>
      </w:r>
      <w:proofErr w:type="spellStart"/>
      <w:r w:rsidR="007C7EB2" w:rsidRPr="006064D2">
        <w:rPr>
          <w:rFonts w:ascii="Times New Roman" w:hAnsi="Times New Roman" w:cs="Times New Roman"/>
          <w:sz w:val="24"/>
          <w:szCs w:val="24"/>
        </w:rPr>
        <w:t>Hunkeler</w:t>
      </w:r>
      <w:proofErr w:type="spellEnd"/>
      <w:r w:rsidR="007C7EB2" w:rsidRPr="006064D2">
        <w:rPr>
          <w:rFonts w:ascii="Times New Roman" w:hAnsi="Times New Roman" w:cs="Times New Roman"/>
          <w:sz w:val="24"/>
          <w:szCs w:val="24"/>
        </w:rPr>
        <w:t xml:space="preserve"> et al., 2008</w:t>
      </w:r>
      <w:r w:rsidR="007C7EB2">
        <w:rPr>
          <w:rFonts w:ascii="Times New Roman" w:hAnsi="Times New Roman" w:cs="Times New Roman"/>
          <w:sz w:val="24"/>
          <w:szCs w:val="24"/>
        </w:rPr>
        <w:t>;</w:t>
      </w:r>
      <w:r w:rsidR="007C7EB2" w:rsidRPr="006064D2">
        <w:rPr>
          <w:rFonts w:ascii="Times New Roman" w:hAnsi="Times New Roman" w:cs="Times New Roman"/>
          <w:sz w:val="24"/>
          <w:szCs w:val="24"/>
        </w:rPr>
        <w:t xml:space="preserve"> </w:t>
      </w:r>
      <w:proofErr w:type="spellStart"/>
      <w:r w:rsidRPr="006064D2">
        <w:rPr>
          <w:rFonts w:ascii="Times New Roman" w:hAnsi="Times New Roman" w:cs="Times New Roman"/>
          <w:sz w:val="24"/>
          <w:szCs w:val="24"/>
        </w:rPr>
        <w:t>Iofrida</w:t>
      </w:r>
      <w:proofErr w:type="spellEnd"/>
      <w:r w:rsidRPr="006064D2">
        <w:rPr>
          <w:rFonts w:ascii="Times New Roman" w:hAnsi="Times New Roman" w:cs="Times New Roman"/>
          <w:sz w:val="24"/>
          <w:szCs w:val="24"/>
        </w:rPr>
        <w:t xml:space="preserve"> et</w:t>
      </w:r>
      <w:r w:rsidR="00B302E6">
        <w:rPr>
          <w:rFonts w:ascii="Times New Roman" w:hAnsi="Times New Roman" w:cs="Times New Roman"/>
          <w:sz w:val="24"/>
          <w:szCs w:val="24"/>
        </w:rPr>
        <w:t xml:space="preserve"> </w:t>
      </w:r>
      <w:r w:rsidRPr="006064D2">
        <w:rPr>
          <w:rFonts w:ascii="Times New Roman" w:hAnsi="Times New Roman" w:cs="Times New Roman"/>
          <w:sz w:val="24"/>
          <w:szCs w:val="24"/>
        </w:rPr>
        <w:t xml:space="preserve">al., 2018). </w:t>
      </w:r>
      <w:r w:rsidR="00155EFA">
        <w:rPr>
          <w:rFonts w:ascii="Times New Roman" w:hAnsi="Times New Roman" w:cs="Times New Roman"/>
          <w:sz w:val="24"/>
          <w:szCs w:val="24"/>
        </w:rPr>
        <w:t xml:space="preserve"> </w:t>
      </w:r>
      <w:r w:rsidR="00155EFA" w:rsidRPr="00155EFA">
        <w:rPr>
          <w:rFonts w:ascii="Times New Roman" w:hAnsi="Times New Roman" w:cs="Times New Roman"/>
          <w:sz w:val="24"/>
          <w:szCs w:val="24"/>
        </w:rPr>
        <w:t>So LCC does put a price on environmental impacts. If all impacts have a price, they can be added up and the product has a price that representing its total environmental burden (Brouwer, 2020).</w:t>
      </w:r>
    </w:p>
    <w:p w14:paraId="169DA78A" w14:textId="217526DC" w:rsidR="0063363E" w:rsidRPr="0063363E" w:rsidRDefault="004E6614" w:rsidP="006336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Within the umbrella of life cycle-based </w:t>
      </w:r>
      <w:proofErr w:type="gramStart"/>
      <w:r>
        <w:rPr>
          <w:rFonts w:ascii="Times New Roman" w:hAnsi="Times New Roman" w:cs="Times New Roman"/>
          <w:sz w:val="24"/>
          <w:szCs w:val="24"/>
        </w:rPr>
        <w:t xml:space="preserve">approaches, </w:t>
      </w:r>
      <w:r w:rsidR="00F85FF1" w:rsidRPr="006064D2">
        <w:rPr>
          <w:rFonts w:ascii="Times New Roman" w:hAnsi="Times New Roman" w:cs="Times New Roman"/>
          <w:sz w:val="24"/>
          <w:szCs w:val="24"/>
        </w:rPr>
        <w:t xml:space="preserve"> social</w:t>
      </w:r>
      <w:proofErr w:type="gramEnd"/>
      <w:r w:rsidR="00F85FF1" w:rsidRPr="006064D2">
        <w:rPr>
          <w:rFonts w:ascii="Times New Roman" w:hAnsi="Times New Roman" w:cs="Times New Roman"/>
          <w:sz w:val="24"/>
          <w:szCs w:val="24"/>
        </w:rPr>
        <w:t xml:space="preserve"> impacts</w:t>
      </w:r>
      <w:r>
        <w:rPr>
          <w:rFonts w:ascii="Times New Roman" w:hAnsi="Times New Roman" w:cs="Times New Roman"/>
          <w:sz w:val="24"/>
          <w:szCs w:val="24"/>
        </w:rPr>
        <w:t xml:space="preserve"> potentially generated from a production process</w:t>
      </w:r>
      <w:r w:rsidR="00F85FF1" w:rsidRPr="006064D2">
        <w:rPr>
          <w:rFonts w:ascii="Times New Roman" w:hAnsi="Times New Roman" w:cs="Times New Roman"/>
          <w:sz w:val="24"/>
          <w:szCs w:val="24"/>
        </w:rPr>
        <w:t xml:space="preserve"> </w:t>
      </w:r>
      <w:r>
        <w:rPr>
          <w:rFonts w:ascii="Times New Roman" w:hAnsi="Times New Roman" w:cs="Times New Roman"/>
          <w:sz w:val="24"/>
          <w:szCs w:val="24"/>
        </w:rPr>
        <w:t xml:space="preserve">are considered by means </w:t>
      </w:r>
      <w:r w:rsidRPr="004E6614">
        <w:rPr>
          <w:rFonts w:ascii="Times New Roman" w:hAnsi="Times New Roman" w:cs="Times New Roman"/>
          <w:sz w:val="24"/>
          <w:szCs w:val="24"/>
        </w:rPr>
        <w:t>the youngest of methodologies</w:t>
      </w:r>
      <w:r>
        <w:rPr>
          <w:rFonts w:ascii="Times New Roman" w:hAnsi="Times New Roman" w:cs="Times New Roman"/>
          <w:sz w:val="24"/>
          <w:szCs w:val="24"/>
        </w:rPr>
        <w:t>,</w:t>
      </w:r>
      <w:r w:rsidRPr="004E6614">
        <w:rPr>
          <w:rFonts w:ascii="Times New Roman" w:hAnsi="Times New Roman" w:cs="Times New Roman"/>
          <w:sz w:val="24"/>
          <w:szCs w:val="24"/>
        </w:rPr>
        <w:t xml:space="preserve"> </w:t>
      </w:r>
      <w:r w:rsidR="00F85FF1" w:rsidRPr="006064D2">
        <w:rPr>
          <w:rFonts w:ascii="Times New Roman" w:hAnsi="Times New Roman" w:cs="Times New Roman"/>
          <w:sz w:val="24"/>
          <w:szCs w:val="24"/>
        </w:rPr>
        <w:t xml:space="preserve"> the </w:t>
      </w:r>
      <w:r>
        <w:rPr>
          <w:rFonts w:ascii="Times New Roman" w:hAnsi="Times New Roman" w:cs="Times New Roman"/>
          <w:sz w:val="24"/>
          <w:szCs w:val="24"/>
        </w:rPr>
        <w:t>“</w:t>
      </w:r>
      <w:r w:rsidR="00F85FF1" w:rsidRPr="006064D2">
        <w:rPr>
          <w:rFonts w:ascii="Times New Roman" w:hAnsi="Times New Roman" w:cs="Times New Roman"/>
          <w:sz w:val="24"/>
          <w:szCs w:val="24"/>
        </w:rPr>
        <w:t>so-called</w:t>
      </w:r>
      <w:r>
        <w:rPr>
          <w:rFonts w:ascii="Times New Roman" w:hAnsi="Times New Roman" w:cs="Times New Roman"/>
          <w:sz w:val="24"/>
          <w:szCs w:val="24"/>
        </w:rPr>
        <w:t>”</w:t>
      </w:r>
      <w:r w:rsidRPr="006064D2">
        <w:rPr>
          <w:rFonts w:ascii="Times New Roman" w:hAnsi="Times New Roman" w:cs="Times New Roman"/>
          <w:sz w:val="24"/>
          <w:szCs w:val="24"/>
        </w:rPr>
        <w:t xml:space="preserve"> </w:t>
      </w:r>
      <w:r>
        <w:rPr>
          <w:rFonts w:ascii="Times New Roman" w:hAnsi="Times New Roman" w:cs="Times New Roman"/>
          <w:sz w:val="24"/>
          <w:szCs w:val="24"/>
        </w:rPr>
        <w:t>s</w:t>
      </w:r>
      <w:r w:rsidRPr="006064D2">
        <w:rPr>
          <w:rFonts w:ascii="Times New Roman" w:hAnsi="Times New Roman" w:cs="Times New Roman"/>
          <w:sz w:val="24"/>
          <w:szCs w:val="24"/>
        </w:rPr>
        <w:t xml:space="preserve">ocial </w:t>
      </w:r>
      <w:r w:rsidR="00F85FF1" w:rsidRPr="006064D2">
        <w:rPr>
          <w:rFonts w:ascii="Times New Roman" w:hAnsi="Times New Roman" w:cs="Times New Roman"/>
          <w:sz w:val="24"/>
          <w:szCs w:val="24"/>
        </w:rPr>
        <w:t xml:space="preserve">LCA, </w:t>
      </w:r>
      <w:r>
        <w:rPr>
          <w:rFonts w:ascii="Times New Roman" w:hAnsi="Times New Roman" w:cs="Times New Roman"/>
          <w:sz w:val="24"/>
          <w:szCs w:val="24"/>
        </w:rPr>
        <w:t xml:space="preserve">that attempts to follow the same procedures and step of LCA, </w:t>
      </w:r>
      <w:r w:rsidRPr="004E6614">
        <w:rPr>
          <w:rFonts w:ascii="Times New Roman" w:hAnsi="Times New Roman" w:cs="Times New Roman"/>
          <w:sz w:val="24"/>
          <w:szCs w:val="24"/>
        </w:rPr>
        <w:t xml:space="preserve">even up to now there has not yet been an unambiguous consensus and a recognized standardization of the method </w:t>
      </w:r>
      <w:r w:rsidR="00F85FF1" w:rsidRPr="006064D2">
        <w:rPr>
          <w:rFonts w:ascii="Times New Roman" w:hAnsi="Times New Roman" w:cs="Times New Roman"/>
          <w:sz w:val="24"/>
          <w:szCs w:val="24"/>
        </w:rPr>
        <w:t xml:space="preserve">l (De Luca, et al., 2015a; De Luca et al. 2015b; </w:t>
      </w:r>
      <w:proofErr w:type="spellStart"/>
      <w:r w:rsidR="00F85FF1" w:rsidRPr="006064D2">
        <w:rPr>
          <w:rFonts w:ascii="Times New Roman" w:hAnsi="Times New Roman" w:cs="Times New Roman"/>
          <w:sz w:val="24"/>
          <w:szCs w:val="24"/>
        </w:rPr>
        <w:t>Iofrida</w:t>
      </w:r>
      <w:proofErr w:type="spellEnd"/>
      <w:r w:rsidR="00F85FF1" w:rsidRPr="006064D2">
        <w:rPr>
          <w:rFonts w:ascii="Times New Roman" w:hAnsi="Times New Roman" w:cs="Times New Roman"/>
          <w:sz w:val="24"/>
          <w:szCs w:val="24"/>
        </w:rPr>
        <w:t xml:space="preserve"> et </w:t>
      </w:r>
      <w:r w:rsidR="00F85FF1" w:rsidRPr="006064D2">
        <w:rPr>
          <w:rFonts w:ascii="Times New Roman" w:hAnsi="Times New Roman" w:cs="Times New Roman"/>
          <w:sz w:val="24"/>
          <w:szCs w:val="24"/>
        </w:rPr>
        <w:lastRenderedPageBreak/>
        <w:t>al., 2018</w:t>
      </w:r>
      <w:r w:rsidR="0035036D">
        <w:rPr>
          <w:rFonts w:ascii="Times New Roman" w:hAnsi="Times New Roman" w:cs="Times New Roman"/>
          <w:sz w:val="24"/>
          <w:szCs w:val="24"/>
        </w:rPr>
        <w:t>a, 2018b</w:t>
      </w:r>
      <w:r w:rsidR="00F85FF1" w:rsidRPr="006064D2">
        <w:rPr>
          <w:rFonts w:ascii="Times New Roman" w:hAnsi="Times New Roman" w:cs="Times New Roman"/>
          <w:sz w:val="24"/>
          <w:szCs w:val="24"/>
        </w:rPr>
        <w:t xml:space="preserve">). </w:t>
      </w:r>
      <w:r w:rsidR="000617E8">
        <w:rPr>
          <w:rFonts w:ascii="Times New Roman" w:hAnsi="Times New Roman" w:cs="Times New Roman"/>
          <w:sz w:val="24"/>
          <w:szCs w:val="24"/>
        </w:rPr>
        <w:t xml:space="preserve">Several approaches have been proposed by </w:t>
      </w:r>
      <w:proofErr w:type="spellStart"/>
      <w:r w:rsidR="000617E8">
        <w:rPr>
          <w:rFonts w:ascii="Times New Roman" w:hAnsi="Times New Roman" w:cs="Times New Roman"/>
          <w:sz w:val="24"/>
          <w:szCs w:val="24"/>
        </w:rPr>
        <w:t>sLCA</w:t>
      </w:r>
      <w:proofErr w:type="spellEnd"/>
      <w:r w:rsidR="000617E8">
        <w:rPr>
          <w:rFonts w:ascii="Times New Roman" w:hAnsi="Times New Roman" w:cs="Times New Roman"/>
          <w:sz w:val="24"/>
          <w:szCs w:val="24"/>
        </w:rPr>
        <w:t xml:space="preserve"> scholars and some of them are described by the “</w:t>
      </w:r>
      <w:r w:rsidR="0063363E" w:rsidRPr="0063363E">
        <w:rPr>
          <w:rFonts w:ascii="Times New Roman" w:hAnsi="Times New Roman" w:cs="Times New Roman"/>
          <w:sz w:val="24"/>
          <w:szCs w:val="24"/>
        </w:rPr>
        <w:t>Guidelines for Social Life Cycle Assessment of Products</w:t>
      </w:r>
      <w:r w:rsidR="000617E8">
        <w:rPr>
          <w:rFonts w:ascii="Times New Roman" w:hAnsi="Times New Roman" w:cs="Times New Roman"/>
          <w:sz w:val="24"/>
          <w:szCs w:val="24"/>
        </w:rPr>
        <w:t>” (UNEP/SETAC, 2012, 2020</w:t>
      </w:r>
      <w:proofErr w:type="gramStart"/>
      <w:r w:rsidR="000617E8">
        <w:rPr>
          <w:rFonts w:ascii="Times New Roman" w:hAnsi="Times New Roman" w:cs="Times New Roman"/>
          <w:sz w:val="24"/>
          <w:szCs w:val="24"/>
        </w:rPr>
        <w:t xml:space="preserve">) </w:t>
      </w:r>
      <w:r w:rsidR="00C11F0F">
        <w:rPr>
          <w:rFonts w:ascii="Times New Roman" w:hAnsi="Times New Roman" w:cs="Times New Roman"/>
          <w:sz w:val="24"/>
          <w:szCs w:val="24"/>
        </w:rPr>
        <w:t>.</w:t>
      </w:r>
      <w:proofErr w:type="gramEnd"/>
      <w:r w:rsidR="0063363E" w:rsidRPr="0063363E">
        <w:rPr>
          <w:rFonts w:ascii="Times New Roman" w:hAnsi="Times New Roman" w:cs="Times New Roman"/>
          <w:sz w:val="24"/>
          <w:szCs w:val="24"/>
        </w:rPr>
        <w:t xml:space="preserve"> </w:t>
      </w:r>
    </w:p>
    <w:p w14:paraId="39311F57" w14:textId="6CA282C5" w:rsidR="0063363E" w:rsidRPr="0063363E" w:rsidRDefault="0063363E" w:rsidP="0063363E">
      <w:pPr>
        <w:spacing w:line="480" w:lineRule="auto"/>
        <w:jc w:val="both"/>
        <w:rPr>
          <w:rFonts w:ascii="Times New Roman" w:hAnsi="Times New Roman" w:cs="Times New Roman"/>
          <w:sz w:val="24"/>
          <w:szCs w:val="24"/>
        </w:rPr>
      </w:pPr>
      <w:r w:rsidRPr="0063363E">
        <w:rPr>
          <w:rFonts w:ascii="Times New Roman" w:hAnsi="Times New Roman" w:cs="Times New Roman"/>
          <w:sz w:val="24"/>
          <w:szCs w:val="24"/>
        </w:rPr>
        <w:t>Social Agrarian Metabolism (SAM) shows itself as a concept that today is perhaps the most powerful theoretical tool to jointly analy</w:t>
      </w:r>
      <w:r w:rsidR="00C03B02">
        <w:rPr>
          <w:rFonts w:ascii="Times New Roman" w:hAnsi="Times New Roman" w:cs="Times New Roman"/>
          <w:sz w:val="24"/>
          <w:szCs w:val="24"/>
        </w:rPr>
        <w:t>z</w:t>
      </w:r>
      <w:r w:rsidRPr="0063363E">
        <w:rPr>
          <w:rFonts w:ascii="Times New Roman" w:hAnsi="Times New Roman" w:cs="Times New Roman"/>
          <w:sz w:val="24"/>
          <w:szCs w:val="24"/>
        </w:rPr>
        <w:t xml:space="preserve">e the relationships between natural and social processes (Toledo 2011). The seminal character of the concept of metabolism comes from Karl Marx (1818-1883), when he draws on an environmental perspective as a way to ground the transformation of society since the capitalist logic is not sustainable and depletes the forces of </w:t>
      </w:r>
      <w:proofErr w:type="spellStart"/>
      <w:r w:rsidRPr="0063363E">
        <w:rPr>
          <w:rFonts w:ascii="Times New Roman" w:hAnsi="Times New Roman" w:cs="Times New Roman"/>
          <w:sz w:val="24"/>
          <w:szCs w:val="24"/>
        </w:rPr>
        <w:t>labo</w:t>
      </w:r>
      <w:r w:rsidR="00B302E6">
        <w:rPr>
          <w:rFonts w:ascii="Times New Roman" w:hAnsi="Times New Roman" w:cs="Times New Roman"/>
          <w:sz w:val="24"/>
          <w:szCs w:val="24"/>
        </w:rPr>
        <w:t>u</w:t>
      </w:r>
      <w:r w:rsidRPr="0063363E">
        <w:rPr>
          <w:rFonts w:ascii="Times New Roman" w:hAnsi="Times New Roman" w:cs="Times New Roman"/>
          <w:sz w:val="24"/>
          <w:szCs w:val="24"/>
        </w:rPr>
        <w:t>r</w:t>
      </w:r>
      <w:proofErr w:type="spellEnd"/>
      <w:r w:rsidRPr="0063363E">
        <w:rPr>
          <w:rFonts w:ascii="Times New Roman" w:hAnsi="Times New Roman" w:cs="Times New Roman"/>
          <w:sz w:val="24"/>
          <w:szCs w:val="24"/>
        </w:rPr>
        <w:t xml:space="preserve"> and the land</w:t>
      </w:r>
      <w:r w:rsidR="005D62CA">
        <w:rPr>
          <w:rFonts w:ascii="Times New Roman" w:hAnsi="Times New Roman" w:cs="Times New Roman"/>
          <w:sz w:val="24"/>
          <w:szCs w:val="24"/>
        </w:rPr>
        <w:t xml:space="preserve"> (Boron et al, 2007)</w:t>
      </w:r>
      <w:r w:rsidRPr="0063363E">
        <w:rPr>
          <w:rFonts w:ascii="Times New Roman" w:hAnsi="Times New Roman" w:cs="Times New Roman"/>
          <w:sz w:val="24"/>
          <w:szCs w:val="24"/>
        </w:rPr>
        <w:t xml:space="preserve">. The concept remained dormant for decades, until the late sixties of the last century, when economists who had worked in the field of social metabolism for decades, rediscovered the concept of social metabolism, even without knowing its origin (Toledo, 2013). It can be understood as the application of the metabolic approach to the field of agriculture, that is, it is the study of biophysical flows that maintain the generation of biomass and environmental services, considering that nature influences particular aspects of social systems in the same way that different social systems influence the environment (González de Molina; Toledo, 2011). </w:t>
      </w:r>
    </w:p>
    <w:p w14:paraId="50937A20" w14:textId="06993733" w:rsidR="00F85FF1" w:rsidRDefault="0063363E" w:rsidP="0063363E">
      <w:pPr>
        <w:spacing w:line="480" w:lineRule="auto"/>
        <w:jc w:val="both"/>
        <w:rPr>
          <w:rFonts w:ascii="Times New Roman" w:hAnsi="Times New Roman" w:cs="Times New Roman"/>
          <w:sz w:val="24"/>
          <w:szCs w:val="24"/>
        </w:rPr>
      </w:pPr>
      <w:r w:rsidRPr="0063363E">
        <w:rPr>
          <w:rFonts w:ascii="Times New Roman" w:hAnsi="Times New Roman" w:cs="Times New Roman"/>
          <w:sz w:val="24"/>
          <w:szCs w:val="24"/>
        </w:rPr>
        <w:t>It is from the exchanges between society and nature that society feeds all the materials, energies and environmental services that humans and their artefacts need to maintain and reproduce (Toledo, 2008).  It refers to the appropriation of biomass by members of society through the management of the agroecosystems present on the land (Guzmán Casado and González de Molina 2017).</w:t>
      </w:r>
    </w:p>
    <w:p w14:paraId="68C4009B" w14:textId="46ADB63D" w:rsidR="00E6698F" w:rsidRPr="00E6698F" w:rsidRDefault="00E6698F" w:rsidP="00E6698F">
      <w:pPr>
        <w:spacing w:line="480" w:lineRule="auto"/>
        <w:jc w:val="both"/>
        <w:rPr>
          <w:rFonts w:ascii="Times New Roman" w:hAnsi="Times New Roman" w:cs="Times New Roman"/>
          <w:sz w:val="24"/>
          <w:szCs w:val="24"/>
        </w:rPr>
      </w:pPr>
      <w:r w:rsidRPr="00E6698F">
        <w:rPr>
          <w:rFonts w:ascii="Times New Roman" w:hAnsi="Times New Roman" w:cs="Times New Roman"/>
          <w:sz w:val="24"/>
          <w:szCs w:val="24"/>
        </w:rPr>
        <w:t xml:space="preserve">The strong interaction between humans and nature, in the context of agriculture, is undeniable and it is also inevitable to think that, because of this strong connection, some environmental problems may occur (Souza, 2013). In the case of olive intensification, the </w:t>
      </w:r>
      <w:r w:rsidRPr="00E6698F">
        <w:rPr>
          <w:rFonts w:ascii="Times New Roman" w:hAnsi="Times New Roman" w:cs="Times New Roman"/>
          <w:sz w:val="24"/>
          <w:szCs w:val="24"/>
        </w:rPr>
        <w:lastRenderedPageBreak/>
        <w:t>negative environmental effects</w:t>
      </w:r>
      <w:r w:rsidR="003B5ADC">
        <w:rPr>
          <w:rFonts w:ascii="Times New Roman" w:hAnsi="Times New Roman" w:cs="Times New Roman"/>
          <w:sz w:val="24"/>
          <w:szCs w:val="24"/>
        </w:rPr>
        <w:t xml:space="preserve">, already cited, </w:t>
      </w:r>
      <w:r w:rsidRPr="00E6698F">
        <w:rPr>
          <w:rFonts w:ascii="Times New Roman" w:hAnsi="Times New Roman" w:cs="Times New Roman"/>
          <w:sz w:val="24"/>
          <w:szCs w:val="24"/>
        </w:rPr>
        <w:t xml:space="preserve">could be reduced </w:t>
      </w:r>
      <w:proofErr w:type="gramStart"/>
      <w:r w:rsidRPr="00E6698F">
        <w:rPr>
          <w:rFonts w:ascii="Times New Roman" w:hAnsi="Times New Roman" w:cs="Times New Roman"/>
          <w:sz w:val="24"/>
          <w:szCs w:val="24"/>
        </w:rPr>
        <w:t xml:space="preserve">considerably </w:t>
      </w:r>
      <w:r w:rsidR="00B302E6">
        <w:rPr>
          <w:rFonts w:ascii="Times New Roman" w:hAnsi="Times New Roman" w:cs="Times New Roman"/>
          <w:sz w:val="24"/>
          <w:szCs w:val="24"/>
        </w:rPr>
        <w:t xml:space="preserve"> using</w:t>
      </w:r>
      <w:proofErr w:type="gramEnd"/>
      <w:r w:rsidRPr="00E6698F">
        <w:rPr>
          <w:rFonts w:ascii="Times New Roman" w:hAnsi="Times New Roman" w:cs="Times New Roman"/>
          <w:sz w:val="24"/>
          <w:szCs w:val="24"/>
        </w:rPr>
        <w:t xml:space="preserve"> appropriate farming practices; and, with appropriate support, traditional low-input plantations could continue to maintain important natural and social values (Pienkowski &amp; M., Beaufoy, 2002). Therefore, whether analyzing economic, environmental and/or social sustainability, the important thing is that this process </w:t>
      </w:r>
      <w:r w:rsidR="00B302E6">
        <w:rPr>
          <w:rFonts w:ascii="Times New Roman" w:hAnsi="Times New Roman" w:cs="Times New Roman"/>
          <w:sz w:val="24"/>
          <w:szCs w:val="24"/>
        </w:rPr>
        <w:t>is</w:t>
      </w:r>
      <w:r w:rsidR="00B302E6" w:rsidRPr="00E6698F">
        <w:rPr>
          <w:rFonts w:ascii="Times New Roman" w:hAnsi="Times New Roman" w:cs="Times New Roman"/>
          <w:sz w:val="24"/>
          <w:szCs w:val="24"/>
        </w:rPr>
        <w:t xml:space="preserve"> </w:t>
      </w:r>
      <w:r w:rsidRPr="00E6698F">
        <w:rPr>
          <w:rFonts w:ascii="Times New Roman" w:hAnsi="Times New Roman" w:cs="Times New Roman"/>
          <w:sz w:val="24"/>
          <w:szCs w:val="24"/>
        </w:rPr>
        <w:t xml:space="preserve">carried out using the right tools that are most adapted to the context studied, producing clear results that have practical applicability. </w:t>
      </w:r>
    </w:p>
    <w:p w14:paraId="42582B9A" w14:textId="77777777" w:rsidR="00E6698F" w:rsidRPr="006D68C6" w:rsidRDefault="00E6698F" w:rsidP="00E6698F">
      <w:pPr>
        <w:spacing w:line="480" w:lineRule="auto"/>
        <w:jc w:val="both"/>
        <w:rPr>
          <w:rFonts w:ascii="Times New Roman" w:hAnsi="Times New Roman" w:cs="Times New Roman"/>
          <w:b/>
          <w:bCs/>
          <w:sz w:val="24"/>
          <w:szCs w:val="24"/>
        </w:rPr>
      </w:pPr>
    </w:p>
    <w:p w14:paraId="45D1E719" w14:textId="62D4E4A9" w:rsidR="006D68C6" w:rsidRPr="006D68C6" w:rsidRDefault="006D68C6" w:rsidP="006D68C6">
      <w:pPr>
        <w:spacing w:line="480" w:lineRule="auto"/>
        <w:jc w:val="both"/>
        <w:rPr>
          <w:rFonts w:ascii="Times New Roman" w:hAnsi="Times New Roman" w:cs="Times New Roman"/>
          <w:b/>
          <w:bCs/>
          <w:sz w:val="24"/>
          <w:szCs w:val="24"/>
        </w:rPr>
      </w:pPr>
      <w:r w:rsidRPr="006D68C6">
        <w:rPr>
          <w:rFonts w:ascii="Times New Roman" w:hAnsi="Times New Roman" w:cs="Times New Roman"/>
          <w:b/>
          <w:bCs/>
          <w:sz w:val="24"/>
          <w:szCs w:val="24"/>
        </w:rPr>
        <w:t>M</w:t>
      </w:r>
      <w:r w:rsidR="001A7324">
        <w:rPr>
          <w:rFonts w:ascii="Times New Roman" w:hAnsi="Times New Roman" w:cs="Times New Roman"/>
          <w:b/>
          <w:bCs/>
          <w:sz w:val="24"/>
          <w:szCs w:val="24"/>
        </w:rPr>
        <w:t>ethodology</w:t>
      </w:r>
    </w:p>
    <w:p w14:paraId="42FA5854" w14:textId="2C8A9FEE" w:rsidR="00263AB2" w:rsidRPr="00263AB2" w:rsidRDefault="00EF1188" w:rsidP="006D68C6">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263AB2" w:rsidRPr="00263AB2">
        <w:rPr>
          <w:rFonts w:ascii="Times New Roman" w:hAnsi="Times New Roman" w:cs="Times New Roman"/>
          <w:sz w:val="24"/>
          <w:szCs w:val="24"/>
        </w:rPr>
        <w:t xml:space="preserve">he choice </w:t>
      </w:r>
      <w:r>
        <w:rPr>
          <w:rFonts w:ascii="Times New Roman" w:hAnsi="Times New Roman" w:cs="Times New Roman"/>
          <w:sz w:val="24"/>
          <w:szCs w:val="24"/>
        </w:rPr>
        <w:t xml:space="preserve">to highlight in this paper some evaluation </w:t>
      </w:r>
      <w:r w:rsidR="00263AB2" w:rsidRPr="00263AB2">
        <w:rPr>
          <w:rFonts w:ascii="Times New Roman" w:hAnsi="Times New Roman" w:cs="Times New Roman"/>
          <w:sz w:val="24"/>
          <w:szCs w:val="24"/>
        </w:rPr>
        <w:t xml:space="preserve">tools </w:t>
      </w:r>
      <w:proofErr w:type="gramStart"/>
      <w:r w:rsidR="00263AB2" w:rsidRPr="00263AB2">
        <w:rPr>
          <w:rFonts w:ascii="Times New Roman" w:hAnsi="Times New Roman" w:cs="Times New Roman"/>
          <w:sz w:val="24"/>
          <w:szCs w:val="24"/>
        </w:rPr>
        <w:t>follows</w:t>
      </w:r>
      <w:proofErr w:type="gramEnd"/>
      <w:r w:rsidR="00263AB2" w:rsidRPr="00263AB2">
        <w:rPr>
          <w:rFonts w:ascii="Times New Roman" w:hAnsi="Times New Roman" w:cs="Times New Roman"/>
          <w:sz w:val="24"/>
          <w:szCs w:val="24"/>
        </w:rPr>
        <w:t xml:space="preserve"> the combined methodology proposed by De Luca et al., (2021</w:t>
      </w:r>
      <w:r>
        <w:rPr>
          <w:rFonts w:ascii="Times New Roman" w:hAnsi="Times New Roman" w:cs="Times New Roman"/>
          <w:sz w:val="24"/>
          <w:szCs w:val="24"/>
        </w:rPr>
        <w:t>a, 2021b</w:t>
      </w:r>
      <w:r w:rsidR="00263AB2" w:rsidRPr="00263AB2">
        <w:rPr>
          <w:rFonts w:ascii="Times New Roman" w:hAnsi="Times New Roman" w:cs="Times New Roman"/>
          <w:sz w:val="24"/>
          <w:szCs w:val="24"/>
        </w:rPr>
        <w:t xml:space="preserve">) and Sustainolive (2021), through LCT, with selected methods of LCC, LCA, </w:t>
      </w:r>
      <w:r>
        <w:rPr>
          <w:rFonts w:ascii="Times New Roman" w:hAnsi="Times New Roman" w:cs="Times New Roman"/>
          <w:sz w:val="24"/>
          <w:szCs w:val="24"/>
        </w:rPr>
        <w:t>s</w:t>
      </w:r>
      <w:r w:rsidR="00263AB2" w:rsidRPr="00263AB2">
        <w:rPr>
          <w:rFonts w:ascii="Times New Roman" w:hAnsi="Times New Roman" w:cs="Times New Roman"/>
          <w:sz w:val="24"/>
          <w:szCs w:val="24"/>
        </w:rPr>
        <w:t>ocial SLCA, and SAM, that</w:t>
      </w:r>
      <w:r>
        <w:rPr>
          <w:rFonts w:ascii="Times New Roman" w:hAnsi="Times New Roman" w:cs="Times New Roman"/>
          <w:sz w:val="24"/>
          <w:szCs w:val="24"/>
        </w:rPr>
        <w:t xml:space="preserve"> will</w:t>
      </w:r>
      <w:r w:rsidR="00263AB2" w:rsidRPr="00263AB2">
        <w:rPr>
          <w:rFonts w:ascii="Times New Roman" w:hAnsi="Times New Roman" w:cs="Times New Roman"/>
          <w:sz w:val="24"/>
          <w:szCs w:val="24"/>
        </w:rPr>
        <w:t xml:space="preserve"> result</w:t>
      </w:r>
      <w:r w:rsidR="00B302E6">
        <w:rPr>
          <w:rFonts w:ascii="Times New Roman" w:hAnsi="Times New Roman" w:cs="Times New Roman"/>
          <w:sz w:val="24"/>
          <w:szCs w:val="24"/>
        </w:rPr>
        <w:t>s</w:t>
      </w:r>
      <w:r>
        <w:rPr>
          <w:rFonts w:ascii="Times New Roman" w:hAnsi="Times New Roman" w:cs="Times New Roman"/>
          <w:sz w:val="24"/>
          <w:szCs w:val="24"/>
        </w:rPr>
        <w:t xml:space="preserve">, </w:t>
      </w:r>
      <w:r w:rsidRPr="00EF1188">
        <w:rPr>
          <w:rFonts w:ascii="Times New Roman" w:hAnsi="Times New Roman" w:cs="Times New Roman"/>
          <w:sz w:val="24"/>
          <w:szCs w:val="24"/>
        </w:rPr>
        <w:t>once the implementation and processing have been conducted</w:t>
      </w:r>
      <w:r>
        <w:rPr>
          <w:rFonts w:ascii="Times New Roman" w:hAnsi="Times New Roman" w:cs="Times New Roman"/>
          <w:sz w:val="24"/>
          <w:szCs w:val="24"/>
        </w:rPr>
        <w:t xml:space="preserve">, </w:t>
      </w:r>
      <w:r w:rsidR="00263AB2" w:rsidRPr="00263AB2">
        <w:rPr>
          <w:rFonts w:ascii="Times New Roman" w:hAnsi="Times New Roman" w:cs="Times New Roman"/>
          <w:sz w:val="24"/>
          <w:szCs w:val="24"/>
        </w:rPr>
        <w:t>in the analysis of costs, economic performance, environmental impacts and social sustainability.</w:t>
      </w:r>
    </w:p>
    <w:p w14:paraId="724CD572" w14:textId="77777777" w:rsidR="002E3346" w:rsidRDefault="002E3346" w:rsidP="006D68C6">
      <w:pPr>
        <w:spacing w:line="480" w:lineRule="auto"/>
        <w:jc w:val="both"/>
        <w:rPr>
          <w:rFonts w:ascii="Times New Roman" w:hAnsi="Times New Roman" w:cs="Times New Roman"/>
          <w:sz w:val="24"/>
          <w:szCs w:val="24"/>
        </w:rPr>
      </w:pPr>
      <w:r w:rsidRPr="002E3346">
        <w:rPr>
          <w:rFonts w:ascii="Times New Roman" w:hAnsi="Times New Roman" w:cs="Times New Roman"/>
          <w:sz w:val="24"/>
          <w:szCs w:val="24"/>
        </w:rPr>
        <w:t>The combination of these approaches, vis-à-vis the ones initially mentioned (environmental and economic, without considering the social aspect), prove to be original, to our knowledge, never have life cycle perspectives been equated with SAM which, according to Gonzales de Molina et al. (2020), measures the mutual dependencies incurred during the interaction between nature and society by measuring the flow of integrated and reproductive biophysical funds.</w:t>
      </w:r>
      <w:r>
        <w:rPr>
          <w:rFonts w:ascii="Times New Roman" w:hAnsi="Times New Roman" w:cs="Times New Roman"/>
          <w:sz w:val="24"/>
          <w:szCs w:val="24"/>
        </w:rPr>
        <w:t xml:space="preserve"> </w:t>
      </w:r>
    </w:p>
    <w:p w14:paraId="595A4913" w14:textId="77722D9D" w:rsidR="006D68C6" w:rsidRDefault="006D68C6" w:rsidP="006D68C6">
      <w:pPr>
        <w:spacing w:line="480" w:lineRule="auto"/>
        <w:jc w:val="both"/>
        <w:rPr>
          <w:rFonts w:ascii="Times New Roman" w:hAnsi="Times New Roman" w:cs="Times New Roman"/>
          <w:sz w:val="24"/>
          <w:szCs w:val="24"/>
        </w:rPr>
      </w:pPr>
      <w:r w:rsidRPr="006D68C6">
        <w:rPr>
          <w:rFonts w:ascii="Times New Roman" w:hAnsi="Times New Roman" w:cs="Times New Roman"/>
          <w:sz w:val="24"/>
          <w:szCs w:val="24"/>
        </w:rPr>
        <w:t xml:space="preserve">LCC as economic tool </w:t>
      </w:r>
      <w:r w:rsidR="00F75E07">
        <w:rPr>
          <w:rFonts w:ascii="Times New Roman" w:hAnsi="Times New Roman" w:cs="Times New Roman"/>
          <w:sz w:val="24"/>
          <w:szCs w:val="24"/>
        </w:rPr>
        <w:t>is susceptible to be</w:t>
      </w:r>
      <w:r w:rsidRPr="006D68C6">
        <w:rPr>
          <w:rFonts w:ascii="Times New Roman" w:hAnsi="Times New Roman" w:cs="Times New Roman"/>
          <w:sz w:val="24"/>
          <w:szCs w:val="24"/>
        </w:rPr>
        <w:t xml:space="preserve"> applied to olive groves and olive oil production systems to support producers, to </w:t>
      </w:r>
      <w:r w:rsidR="00F75E07">
        <w:rPr>
          <w:rFonts w:ascii="Times New Roman" w:hAnsi="Times New Roman" w:cs="Times New Roman"/>
          <w:sz w:val="24"/>
          <w:szCs w:val="24"/>
        </w:rPr>
        <w:t>understand the profitability levels</w:t>
      </w:r>
      <w:r w:rsidRPr="006D68C6">
        <w:rPr>
          <w:rFonts w:ascii="Times New Roman" w:hAnsi="Times New Roman" w:cs="Times New Roman"/>
          <w:sz w:val="24"/>
          <w:szCs w:val="24"/>
        </w:rPr>
        <w:t xml:space="preserve"> of production systems and to inform the long-term management strategy of policy</w:t>
      </w:r>
      <w:r w:rsidR="00B302E6">
        <w:rPr>
          <w:rFonts w:ascii="Times New Roman" w:hAnsi="Times New Roman" w:cs="Times New Roman"/>
          <w:sz w:val="24"/>
          <w:szCs w:val="24"/>
        </w:rPr>
        <w:t>-</w:t>
      </w:r>
      <w:r w:rsidRPr="006D68C6">
        <w:rPr>
          <w:rFonts w:ascii="Times New Roman" w:hAnsi="Times New Roman" w:cs="Times New Roman"/>
          <w:sz w:val="24"/>
          <w:szCs w:val="24"/>
        </w:rPr>
        <w:t>makers.</w:t>
      </w:r>
    </w:p>
    <w:p w14:paraId="402BEEBA" w14:textId="162FACE4" w:rsidR="00032AA9" w:rsidRPr="00032AA9" w:rsidRDefault="00032AA9" w:rsidP="00032AA9">
      <w:pPr>
        <w:spacing w:line="480" w:lineRule="auto"/>
        <w:jc w:val="both"/>
        <w:rPr>
          <w:rFonts w:ascii="Times New Roman" w:hAnsi="Times New Roman" w:cs="Times New Roman"/>
          <w:sz w:val="24"/>
          <w:szCs w:val="24"/>
        </w:rPr>
      </w:pPr>
      <w:r w:rsidRPr="00032AA9">
        <w:rPr>
          <w:rFonts w:ascii="Times New Roman" w:hAnsi="Times New Roman" w:cs="Times New Roman"/>
          <w:sz w:val="24"/>
          <w:szCs w:val="24"/>
        </w:rPr>
        <w:lastRenderedPageBreak/>
        <w:t>LCC looks at the total of direct and indirect, recurring, non-recurring, and other related or estimated costs over the lifetime (</w:t>
      </w:r>
      <w:r w:rsidR="00DA15F4">
        <w:rPr>
          <w:rFonts w:ascii="Times New Roman" w:hAnsi="Times New Roman" w:cs="Times New Roman"/>
          <w:sz w:val="24"/>
          <w:szCs w:val="24"/>
        </w:rPr>
        <w:t xml:space="preserve">ISO, 2008; </w:t>
      </w:r>
      <w:r w:rsidRPr="00032AA9">
        <w:rPr>
          <w:rFonts w:ascii="Times New Roman" w:hAnsi="Times New Roman" w:cs="Times New Roman"/>
          <w:sz w:val="24"/>
          <w:szCs w:val="24"/>
        </w:rPr>
        <w:t>Farr, 2011). That is, all costs incurred in the life cycle of the olive grove (planting costs, operating costs and disposal costs), as well as the revenues obtained by multiplying the average olive production by its market price and adding additional revenues (CAP payment</w:t>
      </w:r>
      <w:r w:rsidR="004E7E16">
        <w:rPr>
          <w:rFonts w:ascii="Times New Roman" w:hAnsi="Times New Roman" w:cs="Times New Roman"/>
          <w:sz w:val="24"/>
          <w:szCs w:val="24"/>
        </w:rPr>
        <w:t>s</w:t>
      </w:r>
      <w:r w:rsidRPr="00032AA9">
        <w:rPr>
          <w:rFonts w:ascii="Times New Roman" w:hAnsi="Times New Roman" w:cs="Times New Roman"/>
          <w:sz w:val="24"/>
          <w:szCs w:val="24"/>
        </w:rPr>
        <w:t>, disposal revenues, etc.) (</w:t>
      </w:r>
      <w:proofErr w:type="spellStart"/>
      <w:r w:rsidRPr="00032AA9">
        <w:rPr>
          <w:rFonts w:ascii="Times New Roman" w:hAnsi="Times New Roman" w:cs="Times New Roman"/>
          <w:sz w:val="24"/>
          <w:szCs w:val="24"/>
        </w:rPr>
        <w:t>Stillitano</w:t>
      </w:r>
      <w:proofErr w:type="spellEnd"/>
      <w:r w:rsidRPr="00032AA9">
        <w:rPr>
          <w:rFonts w:ascii="Times New Roman" w:hAnsi="Times New Roman" w:cs="Times New Roman"/>
          <w:sz w:val="24"/>
          <w:szCs w:val="24"/>
        </w:rPr>
        <w:t xml:space="preserve"> et al., 2016</w:t>
      </w:r>
      <w:r w:rsidR="004E7E16">
        <w:rPr>
          <w:rFonts w:ascii="Times New Roman" w:hAnsi="Times New Roman" w:cs="Times New Roman"/>
          <w:sz w:val="24"/>
          <w:szCs w:val="24"/>
        </w:rPr>
        <w:t xml:space="preserve">; </w:t>
      </w:r>
      <w:proofErr w:type="spellStart"/>
      <w:r w:rsidR="004E7E16">
        <w:rPr>
          <w:rFonts w:ascii="Times New Roman" w:hAnsi="Times New Roman" w:cs="Times New Roman"/>
          <w:sz w:val="24"/>
          <w:szCs w:val="24"/>
        </w:rPr>
        <w:t>Stillitano</w:t>
      </w:r>
      <w:proofErr w:type="spellEnd"/>
      <w:r w:rsidR="004E7E16">
        <w:rPr>
          <w:rFonts w:ascii="Times New Roman" w:hAnsi="Times New Roman" w:cs="Times New Roman"/>
          <w:sz w:val="24"/>
          <w:szCs w:val="24"/>
        </w:rPr>
        <w:t xml:space="preserve"> et al., 2019; Guarino et al., 2019</w:t>
      </w:r>
      <w:r w:rsidRPr="00032AA9">
        <w:rPr>
          <w:rFonts w:ascii="Times New Roman" w:hAnsi="Times New Roman" w:cs="Times New Roman"/>
          <w:sz w:val="24"/>
          <w:szCs w:val="24"/>
        </w:rPr>
        <w:t>).</w:t>
      </w:r>
    </w:p>
    <w:p w14:paraId="5E00CE44" w14:textId="1FD1CC4F" w:rsidR="00263AB2" w:rsidRDefault="006D68C6" w:rsidP="006D68C6">
      <w:pPr>
        <w:spacing w:line="480" w:lineRule="auto"/>
        <w:jc w:val="both"/>
        <w:rPr>
          <w:rFonts w:ascii="Times New Roman" w:hAnsi="Times New Roman" w:cs="Times New Roman"/>
          <w:sz w:val="24"/>
          <w:szCs w:val="24"/>
        </w:rPr>
      </w:pPr>
      <w:r w:rsidRPr="006D68C6">
        <w:rPr>
          <w:rFonts w:ascii="Times New Roman" w:hAnsi="Times New Roman" w:cs="Times New Roman"/>
          <w:sz w:val="24"/>
          <w:szCs w:val="24"/>
        </w:rPr>
        <w:t>Tools such as LCA are becoming increasingly important for the olive industry, both at the agricultural stage and in olive oil production</w:t>
      </w:r>
      <w:r w:rsidR="00BF59CD">
        <w:rPr>
          <w:rFonts w:ascii="Times New Roman" w:hAnsi="Times New Roman" w:cs="Times New Roman"/>
          <w:sz w:val="24"/>
          <w:szCs w:val="24"/>
        </w:rPr>
        <w:t xml:space="preserve"> (Salamone et al., 2015; Romero-</w:t>
      </w:r>
      <w:proofErr w:type="spellStart"/>
      <w:r w:rsidR="00BF59CD">
        <w:rPr>
          <w:rFonts w:ascii="Times New Roman" w:hAnsi="Times New Roman" w:cs="Times New Roman"/>
          <w:sz w:val="24"/>
          <w:szCs w:val="24"/>
        </w:rPr>
        <w:t>Gamez</w:t>
      </w:r>
      <w:proofErr w:type="spellEnd"/>
      <w:r w:rsidR="00BF59CD">
        <w:rPr>
          <w:rFonts w:ascii="Times New Roman" w:hAnsi="Times New Roman" w:cs="Times New Roman"/>
          <w:sz w:val="24"/>
          <w:szCs w:val="24"/>
        </w:rPr>
        <w:t xml:space="preserve"> et al., 2017)</w:t>
      </w:r>
      <w:r w:rsidRPr="006D68C6">
        <w:rPr>
          <w:rFonts w:ascii="Times New Roman" w:hAnsi="Times New Roman" w:cs="Times New Roman"/>
          <w:sz w:val="24"/>
          <w:szCs w:val="24"/>
        </w:rPr>
        <w:t>. Intensive olive growing is a major cause of one of the most serious environmental problems affecting the EU, especially agricultural production</w:t>
      </w:r>
      <w:r w:rsidR="00D71968">
        <w:rPr>
          <w:rFonts w:ascii="Times New Roman" w:hAnsi="Times New Roman" w:cs="Times New Roman"/>
          <w:sz w:val="24"/>
          <w:szCs w:val="24"/>
        </w:rPr>
        <w:t xml:space="preserve"> (Beaufoy, 2001; Marques, 2017).</w:t>
      </w:r>
      <w:r w:rsidR="003C0995">
        <w:rPr>
          <w:rFonts w:ascii="Times New Roman" w:hAnsi="Times New Roman" w:cs="Times New Roman"/>
          <w:sz w:val="24"/>
          <w:szCs w:val="24"/>
        </w:rPr>
        <w:t xml:space="preserve"> </w:t>
      </w:r>
    </w:p>
    <w:p w14:paraId="7A695C79" w14:textId="762FE783" w:rsidR="00263AB2" w:rsidRPr="00032AA9" w:rsidRDefault="00612882" w:rsidP="00263AB2">
      <w:pPr>
        <w:spacing w:line="480" w:lineRule="auto"/>
        <w:jc w:val="both"/>
        <w:rPr>
          <w:rFonts w:ascii="Times New Roman" w:hAnsi="Times New Roman" w:cs="Times New Roman"/>
          <w:sz w:val="24"/>
          <w:szCs w:val="24"/>
        </w:rPr>
      </w:pPr>
      <w:r>
        <w:rPr>
          <w:rFonts w:ascii="Times New Roman" w:hAnsi="Times New Roman" w:cs="Times New Roman"/>
          <w:sz w:val="24"/>
          <w:szCs w:val="24"/>
        </w:rPr>
        <w:t>From a methodological point of view, an appropriate and correct LCA</w:t>
      </w:r>
      <w:r w:rsidR="00263AB2" w:rsidRPr="00032AA9">
        <w:rPr>
          <w:rFonts w:ascii="Times New Roman" w:hAnsi="Times New Roman" w:cs="Times New Roman"/>
          <w:sz w:val="24"/>
          <w:szCs w:val="24"/>
        </w:rPr>
        <w:t xml:space="preserve"> is </w:t>
      </w:r>
      <w:r>
        <w:rPr>
          <w:rFonts w:ascii="Times New Roman" w:hAnsi="Times New Roman" w:cs="Times New Roman"/>
          <w:sz w:val="24"/>
          <w:szCs w:val="24"/>
        </w:rPr>
        <w:t xml:space="preserve">conducted following </w:t>
      </w:r>
      <w:r w:rsidR="00263AB2" w:rsidRPr="00032AA9">
        <w:rPr>
          <w:rFonts w:ascii="Times New Roman" w:hAnsi="Times New Roman" w:cs="Times New Roman"/>
          <w:sz w:val="24"/>
          <w:szCs w:val="24"/>
        </w:rPr>
        <w:t>four standardized steps (Figure 1): purpose and scope definition; inventory analysis; impact assessment; and interpretation (</w:t>
      </w:r>
      <w:r w:rsidR="00E7015E">
        <w:rPr>
          <w:rFonts w:ascii="Times New Roman" w:hAnsi="Times New Roman" w:cs="Times New Roman"/>
          <w:sz w:val="24"/>
          <w:szCs w:val="24"/>
        </w:rPr>
        <w:t>ISO 2016 a, b</w:t>
      </w:r>
      <w:r w:rsidR="00263AB2" w:rsidRPr="00032AA9">
        <w:rPr>
          <w:rFonts w:ascii="Times New Roman" w:hAnsi="Times New Roman" w:cs="Times New Roman"/>
          <w:sz w:val="24"/>
          <w:szCs w:val="24"/>
        </w:rPr>
        <w:t>). Being structured in these phases, regardless of the type of LCA, the process of the assessment remains the same (UNEP/SETAC Life Cycle Initiative, 2012).</w:t>
      </w:r>
    </w:p>
    <w:p w14:paraId="370D75CF" w14:textId="77777777" w:rsidR="00263AB2" w:rsidRPr="00032AA9" w:rsidRDefault="00263AB2" w:rsidP="00263AB2">
      <w:pPr>
        <w:spacing w:line="480" w:lineRule="auto"/>
        <w:jc w:val="both"/>
        <w:rPr>
          <w:rFonts w:ascii="Times New Roman" w:hAnsi="Times New Roman" w:cs="Times New Roman"/>
          <w:b/>
          <w:bCs/>
          <w:sz w:val="24"/>
          <w:szCs w:val="24"/>
        </w:rPr>
      </w:pPr>
      <w:r w:rsidRPr="00032AA9">
        <w:rPr>
          <w:rFonts w:ascii="Times New Roman" w:hAnsi="Times New Roman" w:cs="Times New Roman"/>
          <w:b/>
          <w:bCs/>
          <w:noProof/>
          <w:sz w:val="24"/>
          <w:szCs w:val="24"/>
          <w:lang w:val="pt-PT" w:eastAsia="pt-PT"/>
        </w:rPr>
        <w:drawing>
          <wp:anchor distT="0" distB="0" distL="114300" distR="114300" simplePos="0" relativeHeight="251660288" behindDoc="1" locked="1" layoutInCell="1" allowOverlap="1" wp14:anchorId="5903F894" wp14:editId="08642EF8">
            <wp:simplePos x="0" y="0"/>
            <wp:positionH relativeFrom="column">
              <wp:posOffset>548640</wp:posOffset>
            </wp:positionH>
            <wp:positionV relativeFrom="paragraph">
              <wp:posOffset>56515</wp:posOffset>
            </wp:positionV>
            <wp:extent cx="4442400" cy="2440800"/>
            <wp:effectExtent l="0" t="0" r="0" b="0"/>
            <wp:wrapTight wrapText="bothSides">
              <wp:wrapPolygon edited="0">
                <wp:start x="0" y="0"/>
                <wp:lineTo x="0" y="21415"/>
                <wp:lineTo x="21492" y="21415"/>
                <wp:lineTo x="21492"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2400" cy="244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6D56C0" w14:textId="77777777" w:rsidR="00263AB2" w:rsidRPr="00032AA9" w:rsidRDefault="00263AB2" w:rsidP="00263AB2">
      <w:pPr>
        <w:spacing w:line="480" w:lineRule="auto"/>
        <w:jc w:val="both"/>
        <w:rPr>
          <w:rFonts w:ascii="Times New Roman" w:hAnsi="Times New Roman" w:cs="Times New Roman"/>
          <w:b/>
          <w:bCs/>
          <w:sz w:val="24"/>
          <w:szCs w:val="24"/>
        </w:rPr>
      </w:pPr>
    </w:p>
    <w:p w14:paraId="6FA5C157" w14:textId="77777777" w:rsidR="00263AB2" w:rsidRPr="00032AA9" w:rsidRDefault="00263AB2" w:rsidP="00263AB2">
      <w:pPr>
        <w:spacing w:line="480" w:lineRule="auto"/>
        <w:jc w:val="both"/>
        <w:rPr>
          <w:rFonts w:ascii="Times New Roman" w:hAnsi="Times New Roman" w:cs="Times New Roman"/>
          <w:b/>
          <w:bCs/>
          <w:sz w:val="24"/>
          <w:szCs w:val="24"/>
        </w:rPr>
      </w:pPr>
    </w:p>
    <w:p w14:paraId="44F70C48" w14:textId="77777777" w:rsidR="00263AB2" w:rsidRPr="00032AA9" w:rsidRDefault="00263AB2" w:rsidP="00263AB2">
      <w:pPr>
        <w:spacing w:line="480" w:lineRule="auto"/>
        <w:jc w:val="both"/>
        <w:rPr>
          <w:rFonts w:ascii="Times New Roman" w:hAnsi="Times New Roman" w:cs="Times New Roman"/>
          <w:b/>
          <w:bCs/>
          <w:sz w:val="24"/>
          <w:szCs w:val="24"/>
        </w:rPr>
      </w:pPr>
    </w:p>
    <w:p w14:paraId="549F12BA" w14:textId="77777777" w:rsidR="00263AB2" w:rsidRPr="00032AA9" w:rsidRDefault="00263AB2" w:rsidP="00263AB2">
      <w:pPr>
        <w:spacing w:line="480" w:lineRule="auto"/>
        <w:jc w:val="both"/>
        <w:rPr>
          <w:rFonts w:ascii="Times New Roman" w:hAnsi="Times New Roman" w:cs="Times New Roman"/>
          <w:b/>
          <w:bCs/>
          <w:sz w:val="24"/>
          <w:szCs w:val="24"/>
        </w:rPr>
      </w:pPr>
    </w:p>
    <w:p w14:paraId="759E4AF9" w14:textId="77777777" w:rsidR="00263AB2" w:rsidRPr="00032AA9" w:rsidRDefault="00263AB2" w:rsidP="00263AB2">
      <w:pPr>
        <w:jc w:val="both"/>
      </w:pPr>
    </w:p>
    <w:p w14:paraId="54AF37C1" w14:textId="77777777" w:rsidR="00263AB2" w:rsidRPr="00032AA9" w:rsidRDefault="00263AB2" w:rsidP="00263AB2">
      <w:pPr>
        <w:spacing w:after="0" w:line="240" w:lineRule="auto"/>
        <w:jc w:val="center"/>
        <w:rPr>
          <w:rFonts w:eastAsia="Times New Roman" w:cstheme="minorHAnsi"/>
          <w:sz w:val="16"/>
          <w:szCs w:val="16"/>
          <w:lang w:eastAsia="pt-BR"/>
        </w:rPr>
      </w:pPr>
      <w:r w:rsidRPr="00032AA9">
        <w:rPr>
          <w:sz w:val="18"/>
          <w:szCs w:val="18"/>
        </w:rPr>
        <w:t xml:space="preserve">Figure 1 – Life cycle assessment process </w:t>
      </w:r>
      <w:r w:rsidRPr="00032AA9">
        <w:rPr>
          <w:sz w:val="18"/>
          <w:szCs w:val="18"/>
        </w:rPr>
        <w:br/>
        <w:t>Source</w:t>
      </w:r>
      <w:r w:rsidRPr="00032AA9">
        <w:rPr>
          <w:sz w:val="16"/>
          <w:szCs w:val="16"/>
        </w:rPr>
        <w:t xml:space="preserve">: </w:t>
      </w:r>
      <w:r w:rsidRPr="00032AA9">
        <w:rPr>
          <w:rFonts w:eastAsia="Times New Roman" w:cstheme="minorHAnsi"/>
          <w:sz w:val="16"/>
          <w:szCs w:val="16"/>
          <w:lang w:eastAsia="pt-BR"/>
        </w:rPr>
        <w:t>https://grimstad.uia.no/puls/climatechange2/nns05/13nns05a.htm</w:t>
      </w:r>
    </w:p>
    <w:p w14:paraId="60FAC658" w14:textId="77777777" w:rsidR="00263AB2" w:rsidRPr="00032AA9" w:rsidRDefault="00263AB2" w:rsidP="00263AB2">
      <w:pPr>
        <w:jc w:val="both"/>
        <w:rPr>
          <w:b/>
          <w:bCs/>
        </w:rPr>
      </w:pPr>
    </w:p>
    <w:p w14:paraId="0F981901" w14:textId="299F910A" w:rsidR="00263AB2" w:rsidRPr="00263AB2" w:rsidRDefault="00263AB2" w:rsidP="00263AB2">
      <w:pPr>
        <w:spacing w:line="480" w:lineRule="auto"/>
        <w:jc w:val="both"/>
        <w:rPr>
          <w:rFonts w:ascii="Times New Roman" w:hAnsi="Times New Roman" w:cs="Times New Roman"/>
          <w:color w:val="FF0000"/>
          <w:sz w:val="24"/>
          <w:szCs w:val="24"/>
        </w:rPr>
      </w:pPr>
      <w:r w:rsidRPr="00032AA9">
        <w:rPr>
          <w:rFonts w:ascii="Times New Roman" w:hAnsi="Times New Roman" w:cs="Times New Roman"/>
          <w:sz w:val="24"/>
          <w:szCs w:val="24"/>
        </w:rPr>
        <w:t>The objective is defined according to the main reason for conducting the study, its scope and the target audience for which the results are intended. On the other hand, the definition of the scope considers methodological aspects of the study, such as the establishment of parameters such as function, functional unit and product reference flow, the setting of boundaries, criteria for the allocation of environmental loads, as well as the impact categories to be used in the corresponding naming stage</w:t>
      </w:r>
      <w:r w:rsidR="00635913">
        <w:rPr>
          <w:rFonts w:ascii="Times New Roman" w:hAnsi="Times New Roman" w:cs="Times New Roman"/>
          <w:sz w:val="24"/>
          <w:szCs w:val="24"/>
        </w:rPr>
        <w:t xml:space="preserve"> (</w:t>
      </w:r>
      <w:proofErr w:type="spellStart"/>
      <w:r w:rsidR="00635913">
        <w:rPr>
          <w:rFonts w:ascii="Times New Roman" w:hAnsi="Times New Roman" w:cs="Times New Roman"/>
          <w:sz w:val="24"/>
          <w:szCs w:val="24"/>
        </w:rPr>
        <w:t>Guinée</w:t>
      </w:r>
      <w:proofErr w:type="spellEnd"/>
      <w:r w:rsidR="00635913">
        <w:rPr>
          <w:rFonts w:ascii="Times New Roman" w:hAnsi="Times New Roman" w:cs="Times New Roman"/>
          <w:sz w:val="24"/>
          <w:szCs w:val="24"/>
        </w:rPr>
        <w:t>, 2006; Curran, 2016).</w:t>
      </w:r>
      <w:r w:rsidRPr="00032AA9">
        <w:rPr>
          <w:rFonts w:ascii="Times New Roman" w:hAnsi="Times New Roman" w:cs="Times New Roman"/>
          <w:sz w:val="24"/>
          <w:szCs w:val="24"/>
        </w:rPr>
        <w:t xml:space="preserve"> In the second stage, the Life Cycle Inventory (LCI), there is data collection (primary or secondary), which according to ISO (2006a), as data is collected and knowledge about the system is expanded, new data requirements or limitations may be identified, requiring a change in data collection procedures so that the study objectives can still be met. </w:t>
      </w:r>
      <w:r w:rsidR="00C640A1" w:rsidRPr="00C640A1">
        <w:rPr>
          <w:rFonts w:ascii="Times New Roman" w:hAnsi="Times New Roman" w:cs="Times New Roman"/>
          <w:sz w:val="24"/>
          <w:szCs w:val="24"/>
        </w:rPr>
        <w:t>There is also the quantification of all variables that relate to the life cycle of a product, process or activity, namely raw materials, energy, transportation, air emissions, effluents, solid waste, among others (</w:t>
      </w:r>
      <w:proofErr w:type="spellStart"/>
      <w:r w:rsidR="00C640A1" w:rsidRPr="00C640A1">
        <w:rPr>
          <w:rFonts w:ascii="Times New Roman" w:hAnsi="Times New Roman" w:cs="Times New Roman"/>
          <w:sz w:val="24"/>
          <w:szCs w:val="24"/>
        </w:rPr>
        <w:t>Seo</w:t>
      </w:r>
      <w:proofErr w:type="spellEnd"/>
      <w:r w:rsidR="00C640A1" w:rsidRPr="00C640A1">
        <w:rPr>
          <w:rFonts w:ascii="Times New Roman" w:hAnsi="Times New Roman" w:cs="Times New Roman"/>
          <w:sz w:val="24"/>
          <w:szCs w:val="24"/>
        </w:rPr>
        <w:t xml:space="preserve"> and </w:t>
      </w:r>
      <w:proofErr w:type="spellStart"/>
      <w:r w:rsidR="00C640A1" w:rsidRPr="00C640A1">
        <w:rPr>
          <w:rFonts w:ascii="Times New Roman" w:hAnsi="Times New Roman" w:cs="Times New Roman"/>
          <w:sz w:val="24"/>
          <w:szCs w:val="24"/>
        </w:rPr>
        <w:t>Kulay</w:t>
      </w:r>
      <w:proofErr w:type="spellEnd"/>
      <w:r w:rsidR="00C640A1" w:rsidRPr="00C640A1">
        <w:rPr>
          <w:rFonts w:ascii="Times New Roman" w:hAnsi="Times New Roman" w:cs="Times New Roman"/>
          <w:sz w:val="24"/>
          <w:szCs w:val="24"/>
        </w:rPr>
        <w:t xml:space="preserve">, 2006; </w:t>
      </w:r>
      <w:proofErr w:type="spellStart"/>
      <w:r w:rsidR="00C640A1" w:rsidRPr="00C640A1">
        <w:rPr>
          <w:rFonts w:ascii="Times New Roman" w:hAnsi="Times New Roman" w:cs="Times New Roman"/>
          <w:sz w:val="24"/>
          <w:szCs w:val="24"/>
        </w:rPr>
        <w:t>Guinée</w:t>
      </w:r>
      <w:proofErr w:type="spellEnd"/>
      <w:r w:rsidR="00C640A1" w:rsidRPr="00C640A1">
        <w:rPr>
          <w:rFonts w:ascii="Times New Roman" w:hAnsi="Times New Roman" w:cs="Times New Roman"/>
          <w:sz w:val="24"/>
          <w:szCs w:val="24"/>
        </w:rPr>
        <w:t xml:space="preserve">, 2006; Curran, 2016). Through the association between inventory data, impact categories and category indicators, Life Cycle Impact Assessment (LCIA) aims to understand these impacts </w:t>
      </w:r>
      <w:r w:rsidRPr="00032AA9">
        <w:rPr>
          <w:rFonts w:ascii="Times New Roman" w:hAnsi="Times New Roman" w:cs="Times New Roman"/>
          <w:sz w:val="24"/>
          <w:szCs w:val="24"/>
        </w:rPr>
        <w:t xml:space="preserve">(ISO, 2006a). </w:t>
      </w:r>
      <w:r w:rsidR="00C640A1" w:rsidRPr="00C640A1">
        <w:rPr>
          <w:rFonts w:ascii="Times New Roman" w:hAnsi="Times New Roman" w:cs="Times New Roman"/>
          <w:sz w:val="24"/>
          <w:szCs w:val="24"/>
        </w:rPr>
        <w:t>It represents a process of understanding and assessing environmental impacts, which is based on the results obtained in the inventory analysis, taking into account the effects that may be caused to the environment and human health. Through the analysis of the results of the inventory and impact assessment phases, the interpretation is performed, which may result in conclusions and recommendations to assist the decision-making process (</w:t>
      </w:r>
      <w:proofErr w:type="spellStart"/>
      <w:r w:rsidR="00C640A1" w:rsidRPr="00C640A1">
        <w:rPr>
          <w:rFonts w:ascii="Times New Roman" w:hAnsi="Times New Roman" w:cs="Times New Roman"/>
          <w:sz w:val="24"/>
          <w:szCs w:val="24"/>
        </w:rPr>
        <w:t>Seo</w:t>
      </w:r>
      <w:proofErr w:type="spellEnd"/>
      <w:r w:rsidR="00C640A1" w:rsidRPr="00C640A1">
        <w:rPr>
          <w:rFonts w:ascii="Times New Roman" w:hAnsi="Times New Roman" w:cs="Times New Roman"/>
          <w:sz w:val="24"/>
          <w:szCs w:val="24"/>
        </w:rPr>
        <w:t xml:space="preserve"> and </w:t>
      </w:r>
      <w:proofErr w:type="spellStart"/>
      <w:r w:rsidR="00C640A1" w:rsidRPr="00C640A1">
        <w:rPr>
          <w:rFonts w:ascii="Times New Roman" w:hAnsi="Times New Roman" w:cs="Times New Roman"/>
          <w:sz w:val="24"/>
          <w:szCs w:val="24"/>
        </w:rPr>
        <w:t>Kulay</w:t>
      </w:r>
      <w:proofErr w:type="spellEnd"/>
      <w:r w:rsidR="00C640A1" w:rsidRPr="00C640A1">
        <w:rPr>
          <w:rFonts w:ascii="Times New Roman" w:hAnsi="Times New Roman" w:cs="Times New Roman"/>
          <w:sz w:val="24"/>
          <w:szCs w:val="24"/>
        </w:rPr>
        <w:t xml:space="preserve">, 2006; </w:t>
      </w:r>
      <w:proofErr w:type="spellStart"/>
      <w:r w:rsidR="00C640A1" w:rsidRPr="00C640A1">
        <w:rPr>
          <w:rFonts w:ascii="Times New Roman" w:hAnsi="Times New Roman" w:cs="Times New Roman"/>
          <w:sz w:val="24"/>
          <w:szCs w:val="24"/>
        </w:rPr>
        <w:t>Guinée</w:t>
      </w:r>
      <w:proofErr w:type="spellEnd"/>
      <w:r w:rsidR="00C640A1" w:rsidRPr="00C640A1">
        <w:rPr>
          <w:rFonts w:ascii="Times New Roman" w:hAnsi="Times New Roman" w:cs="Times New Roman"/>
          <w:sz w:val="24"/>
          <w:szCs w:val="24"/>
        </w:rPr>
        <w:t xml:space="preserve">, 2006; Curran, 2016).  </w:t>
      </w:r>
    </w:p>
    <w:p w14:paraId="102D83B6" w14:textId="6C4ED8E0" w:rsidR="00032AA9" w:rsidRDefault="006D68C6" w:rsidP="006D68C6">
      <w:pPr>
        <w:spacing w:line="480" w:lineRule="auto"/>
        <w:jc w:val="both"/>
        <w:rPr>
          <w:rFonts w:ascii="Times New Roman" w:hAnsi="Times New Roman" w:cs="Times New Roman"/>
          <w:sz w:val="24"/>
          <w:szCs w:val="24"/>
        </w:rPr>
      </w:pPr>
      <w:r w:rsidRPr="006D68C6">
        <w:rPr>
          <w:rFonts w:ascii="Times New Roman" w:hAnsi="Times New Roman" w:cs="Times New Roman"/>
          <w:sz w:val="24"/>
          <w:szCs w:val="24"/>
        </w:rPr>
        <w:t xml:space="preserve">Analyzing the </w:t>
      </w:r>
      <w:proofErr w:type="spellStart"/>
      <w:r w:rsidR="00737514">
        <w:rPr>
          <w:rFonts w:ascii="Times New Roman" w:hAnsi="Times New Roman" w:cs="Times New Roman"/>
          <w:sz w:val="24"/>
          <w:szCs w:val="24"/>
        </w:rPr>
        <w:t>s</w:t>
      </w:r>
      <w:r w:rsidRPr="006D68C6">
        <w:rPr>
          <w:rFonts w:ascii="Times New Roman" w:hAnsi="Times New Roman" w:cs="Times New Roman"/>
          <w:sz w:val="24"/>
          <w:szCs w:val="24"/>
        </w:rPr>
        <w:t>LCA</w:t>
      </w:r>
      <w:proofErr w:type="spellEnd"/>
      <w:r w:rsidRPr="006D68C6">
        <w:rPr>
          <w:rFonts w:ascii="Times New Roman" w:hAnsi="Times New Roman" w:cs="Times New Roman"/>
          <w:sz w:val="24"/>
          <w:szCs w:val="24"/>
        </w:rPr>
        <w:t>, which assesses social impacts, means understanding the consequences of a life cycle operation on people, actions</w:t>
      </w:r>
      <w:r w:rsidR="008E68EE">
        <w:rPr>
          <w:rFonts w:ascii="Times New Roman" w:hAnsi="Times New Roman" w:cs="Times New Roman"/>
          <w:sz w:val="24"/>
          <w:szCs w:val="24"/>
        </w:rPr>
        <w:t xml:space="preserve"> </w:t>
      </w:r>
      <w:r w:rsidRPr="006D68C6">
        <w:rPr>
          <w:rFonts w:ascii="Times New Roman" w:hAnsi="Times New Roman" w:cs="Times New Roman"/>
          <w:sz w:val="24"/>
          <w:szCs w:val="24"/>
        </w:rPr>
        <w:t>and social phenomena.</w:t>
      </w:r>
      <w:r w:rsidR="00032AA9">
        <w:rPr>
          <w:rFonts w:ascii="Times New Roman" w:hAnsi="Times New Roman" w:cs="Times New Roman"/>
          <w:sz w:val="24"/>
          <w:szCs w:val="24"/>
        </w:rPr>
        <w:t xml:space="preserve"> </w:t>
      </w:r>
      <w:r w:rsidR="00032AA9" w:rsidRPr="006064D2">
        <w:rPr>
          <w:rFonts w:ascii="Times New Roman" w:hAnsi="Times New Roman" w:cs="Times New Roman"/>
          <w:sz w:val="24"/>
          <w:szCs w:val="24"/>
        </w:rPr>
        <w:t xml:space="preserve">For </w:t>
      </w:r>
      <w:proofErr w:type="spellStart"/>
      <w:r w:rsidR="00032AA9" w:rsidRPr="006064D2">
        <w:rPr>
          <w:rFonts w:ascii="Times New Roman" w:hAnsi="Times New Roman" w:cs="Times New Roman"/>
          <w:sz w:val="24"/>
          <w:szCs w:val="24"/>
        </w:rPr>
        <w:lastRenderedPageBreak/>
        <w:t>Macombe</w:t>
      </w:r>
      <w:proofErr w:type="spellEnd"/>
      <w:r w:rsidR="00032AA9" w:rsidRPr="006064D2">
        <w:rPr>
          <w:rFonts w:ascii="Times New Roman" w:hAnsi="Times New Roman" w:cs="Times New Roman"/>
          <w:sz w:val="24"/>
          <w:szCs w:val="24"/>
        </w:rPr>
        <w:t xml:space="preserve"> et al. (2013) </w:t>
      </w:r>
      <w:r w:rsidR="00032AA9">
        <w:rPr>
          <w:rFonts w:ascii="Times New Roman" w:hAnsi="Times New Roman" w:cs="Times New Roman"/>
          <w:sz w:val="24"/>
          <w:szCs w:val="24"/>
        </w:rPr>
        <w:t>t</w:t>
      </w:r>
      <w:r w:rsidR="00032AA9" w:rsidRPr="0063363E">
        <w:rPr>
          <w:rFonts w:ascii="Times New Roman" w:hAnsi="Times New Roman" w:cs="Times New Roman"/>
          <w:sz w:val="24"/>
          <w:szCs w:val="24"/>
        </w:rPr>
        <w:t>his tool addresses issues of human rights, health and safety, and governance, among others, while taking into account the utility of the product.</w:t>
      </w:r>
    </w:p>
    <w:p w14:paraId="77B23D22" w14:textId="0AAD5B64" w:rsidR="006D68C6" w:rsidRDefault="006D68C6" w:rsidP="006D68C6">
      <w:pPr>
        <w:spacing w:line="480" w:lineRule="auto"/>
        <w:jc w:val="both"/>
        <w:rPr>
          <w:rFonts w:ascii="Times New Roman" w:hAnsi="Times New Roman" w:cs="Times New Roman"/>
          <w:sz w:val="24"/>
          <w:szCs w:val="24"/>
        </w:rPr>
      </w:pPr>
      <w:r w:rsidRPr="006D68C6">
        <w:rPr>
          <w:rFonts w:ascii="Times New Roman" w:hAnsi="Times New Roman" w:cs="Times New Roman"/>
          <w:sz w:val="24"/>
          <w:szCs w:val="24"/>
        </w:rPr>
        <w:t xml:space="preserve">From another perspective of analysis, SAM analyzes the biophysical flows that maintain the generation of biomass and environmental services, considering that nature influences particular aspects of social systems in the same way that different social systems influence the environment. </w:t>
      </w:r>
      <w:r w:rsidR="001B2432" w:rsidRPr="001B2432">
        <w:rPr>
          <w:rFonts w:ascii="Times New Roman" w:hAnsi="Times New Roman" w:cs="Times New Roman"/>
          <w:sz w:val="24"/>
          <w:szCs w:val="24"/>
        </w:rPr>
        <w:t>Using the SAM, information on biophysical functioning is obtained producing synthetic indicators of sustainability. Therefore, it refers to the exchanges of energy, materials and information established by the agrarian sector of society with its socio-ecological environment (Toledo, 2008).</w:t>
      </w:r>
    </w:p>
    <w:p w14:paraId="01957123" w14:textId="77777777" w:rsidR="00E07E44" w:rsidRPr="006D68C6" w:rsidRDefault="00E07E44" w:rsidP="006D68C6">
      <w:pPr>
        <w:spacing w:line="480" w:lineRule="auto"/>
        <w:jc w:val="both"/>
        <w:rPr>
          <w:rFonts w:ascii="Times New Roman" w:hAnsi="Times New Roman" w:cs="Times New Roman"/>
          <w:sz w:val="24"/>
          <w:szCs w:val="24"/>
        </w:rPr>
      </w:pPr>
    </w:p>
    <w:p w14:paraId="6823FE19" w14:textId="7169618F" w:rsidR="00C25AC2" w:rsidRDefault="00C25AC2" w:rsidP="005A0420">
      <w:pPr>
        <w:jc w:val="both"/>
        <w:rPr>
          <w:rFonts w:ascii="Times New Roman" w:hAnsi="Times New Roman" w:cs="Times New Roman"/>
          <w:b/>
          <w:bCs/>
          <w:sz w:val="24"/>
          <w:szCs w:val="24"/>
        </w:rPr>
      </w:pPr>
      <w:r w:rsidRPr="005A0420">
        <w:rPr>
          <w:rFonts w:ascii="Times New Roman" w:hAnsi="Times New Roman" w:cs="Times New Roman"/>
          <w:b/>
          <w:bCs/>
          <w:sz w:val="24"/>
          <w:szCs w:val="24"/>
        </w:rPr>
        <w:t>E</w:t>
      </w:r>
      <w:r w:rsidR="001A7324">
        <w:rPr>
          <w:rFonts w:ascii="Times New Roman" w:hAnsi="Times New Roman" w:cs="Times New Roman"/>
          <w:b/>
          <w:bCs/>
          <w:sz w:val="24"/>
          <w:szCs w:val="24"/>
        </w:rPr>
        <w:t>xpected Results</w:t>
      </w:r>
    </w:p>
    <w:p w14:paraId="43DFA3BF" w14:textId="518F7083" w:rsidR="00C25AC2" w:rsidRPr="005A0420" w:rsidRDefault="00C25AC2" w:rsidP="005A0420">
      <w:pPr>
        <w:spacing w:line="480" w:lineRule="auto"/>
        <w:jc w:val="both"/>
        <w:rPr>
          <w:rFonts w:ascii="Times New Roman" w:hAnsi="Times New Roman" w:cs="Times New Roman"/>
          <w:sz w:val="24"/>
          <w:szCs w:val="24"/>
        </w:rPr>
      </w:pPr>
      <w:r w:rsidRPr="005A0420">
        <w:rPr>
          <w:rFonts w:ascii="Times New Roman" w:hAnsi="Times New Roman" w:cs="Times New Roman"/>
          <w:sz w:val="24"/>
          <w:szCs w:val="24"/>
        </w:rPr>
        <w:t>The integrated analysis of LCC, LCA, SLCA result</w:t>
      </w:r>
      <w:r w:rsidR="00B302E6">
        <w:rPr>
          <w:rFonts w:ascii="Times New Roman" w:hAnsi="Times New Roman" w:cs="Times New Roman"/>
          <w:sz w:val="24"/>
          <w:szCs w:val="24"/>
        </w:rPr>
        <w:t>s</w:t>
      </w:r>
      <w:r w:rsidRPr="005A0420">
        <w:rPr>
          <w:rFonts w:ascii="Times New Roman" w:hAnsi="Times New Roman" w:cs="Times New Roman"/>
          <w:sz w:val="24"/>
          <w:szCs w:val="24"/>
        </w:rPr>
        <w:t xml:space="preserve"> in the Life Cycle Sustainability Assessment (LCSA) for budgeting and economic performance assessment, estimating simultaneously the social (together with SAM) and environmental impacts of olive production systems</w:t>
      </w:r>
      <w:r w:rsidR="00634429">
        <w:rPr>
          <w:rFonts w:ascii="Times New Roman" w:hAnsi="Times New Roman" w:cs="Times New Roman"/>
          <w:sz w:val="24"/>
          <w:szCs w:val="24"/>
        </w:rPr>
        <w:t>.</w:t>
      </w:r>
      <w:r w:rsidRPr="005A0420">
        <w:rPr>
          <w:rFonts w:ascii="Times New Roman" w:hAnsi="Times New Roman" w:cs="Times New Roman"/>
          <w:sz w:val="24"/>
          <w:szCs w:val="24"/>
        </w:rPr>
        <w:t xml:space="preserve"> </w:t>
      </w:r>
    </w:p>
    <w:p w14:paraId="7599A62F" w14:textId="11BFEFEA" w:rsidR="00C25AC2" w:rsidRPr="005A0420" w:rsidRDefault="00C25AC2" w:rsidP="005A0420">
      <w:pPr>
        <w:spacing w:line="480" w:lineRule="auto"/>
        <w:jc w:val="both"/>
        <w:rPr>
          <w:rFonts w:ascii="Times New Roman" w:hAnsi="Times New Roman" w:cs="Times New Roman"/>
          <w:sz w:val="24"/>
          <w:szCs w:val="24"/>
        </w:rPr>
      </w:pPr>
      <w:r w:rsidRPr="005A0420">
        <w:rPr>
          <w:rFonts w:ascii="Times New Roman" w:hAnsi="Times New Roman" w:cs="Times New Roman"/>
          <w:sz w:val="24"/>
          <w:szCs w:val="24"/>
        </w:rPr>
        <w:t xml:space="preserve">The application of LCC allows </w:t>
      </w:r>
      <w:r w:rsidR="00B302E6">
        <w:rPr>
          <w:rFonts w:ascii="Times New Roman" w:hAnsi="Times New Roman" w:cs="Times New Roman"/>
          <w:sz w:val="24"/>
          <w:szCs w:val="24"/>
        </w:rPr>
        <w:t>achieving</w:t>
      </w:r>
      <w:r w:rsidRPr="005A0420">
        <w:rPr>
          <w:rFonts w:ascii="Times New Roman" w:hAnsi="Times New Roman" w:cs="Times New Roman"/>
          <w:sz w:val="24"/>
          <w:szCs w:val="24"/>
        </w:rPr>
        <w:t xml:space="preserve"> two main objectives: to adapt cost estimation approaches to relate environmental costs to specific processes and products, and to facilitate the identification of best practices to prevent pollution and reduce waste (</w:t>
      </w:r>
      <w:proofErr w:type="spellStart"/>
      <w:r w:rsidR="00C8330D">
        <w:rPr>
          <w:rFonts w:ascii="Times New Roman" w:hAnsi="Times New Roman" w:cs="Times New Roman"/>
          <w:sz w:val="24"/>
          <w:szCs w:val="24"/>
        </w:rPr>
        <w:t>Stillitano</w:t>
      </w:r>
      <w:proofErr w:type="spellEnd"/>
      <w:r w:rsidR="00C8330D" w:rsidRPr="005A0420">
        <w:rPr>
          <w:rFonts w:ascii="Times New Roman" w:hAnsi="Times New Roman" w:cs="Times New Roman"/>
          <w:sz w:val="24"/>
          <w:szCs w:val="24"/>
        </w:rPr>
        <w:t xml:space="preserve"> </w:t>
      </w:r>
      <w:r w:rsidRPr="005A0420">
        <w:rPr>
          <w:rFonts w:ascii="Times New Roman" w:hAnsi="Times New Roman" w:cs="Times New Roman"/>
          <w:sz w:val="24"/>
          <w:szCs w:val="24"/>
        </w:rPr>
        <w:t xml:space="preserve">et al., </w:t>
      </w:r>
      <w:r w:rsidR="00C8330D" w:rsidRPr="005A0420">
        <w:rPr>
          <w:rFonts w:ascii="Times New Roman" w:hAnsi="Times New Roman" w:cs="Times New Roman"/>
          <w:sz w:val="24"/>
          <w:szCs w:val="24"/>
        </w:rPr>
        <w:t>201</w:t>
      </w:r>
      <w:r w:rsidR="00C8330D">
        <w:rPr>
          <w:rFonts w:ascii="Times New Roman" w:hAnsi="Times New Roman" w:cs="Times New Roman"/>
          <w:sz w:val="24"/>
          <w:szCs w:val="24"/>
        </w:rPr>
        <w:t>6</w:t>
      </w:r>
      <w:r w:rsidRPr="005A0420">
        <w:rPr>
          <w:rFonts w:ascii="Times New Roman" w:hAnsi="Times New Roman" w:cs="Times New Roman"/>
          <w:sz w:val="24"/>
          <w:szCs w:val="24"/>
        </w:rPr>
        <w:t>)</w:t>
      </w:r>
      <w:r w:rsidR="00E07E44">
        <w:rPr>
          <w:rFonts w:ascii="Times New Roman" w:hAnsi="Times New Roman" w:cs="Times New Roman"/>
          <w:sz w:val="24"/>
          <w:szCs w:val="24"/>
        </w:rPr>
        <w:t>.</w:t>
      </w:r>
    </w:p>
    <w:p w14:paraId="22894413" w14:textId="2572E844" w:rsidR="00C25AC2" w:rsidRPr="005A0420" w:rsidRDefault="00C25AC2" w:rsidP="005A0420">
      <w:pPr>
        <w:spacing w:line="480" w:lineRule="auto"/>
        <w:jc w:val="both"/>
        <w:rPr>
          <w:rFonts w:ascii="Times New Roman" w:hAnsi="Times New Roman" w:cs="Times New Roman"/>
          <w:sz w:val="24"/>
          <w:szCs w:val="24"/>
        </w:rPr>
      </w:pPr>
      <w:r w:rsidRPr="005A0420">
        <w:rPr>
          <w:rFonts w:ascii="Times New Roman" w:hAnsi="Times New Roman" w:cs="Times New Roman"/>
          <w:sz w:val="24"/>
          <w:szCs w:val="24"/>
        </w:rPr>
        <w:t>LCA has become a key tool to compare environmental impacts between alternative systems and different scenarios in the agricultural sector to suggest the most sustainable production technique (</w:t>
      </w:r>
      <w:proofErr w:type="gramStart"/>
      <w:r w:rsidRPr="005A0420">
        <w:rPr>
          <w:rFonts w:ascii="Times New Roman" w:hAnsi="Times New Roman" w:cs="Times New Roman"/>
          <w:sz w:val="24"/>
          <w:szCs w:val="24"/>
        </w:rPr>
        <w:t>e.g.</w:t>
      </w:r>
      <w:proofErr w:type="gramEnd"/>
      <w:r w:rsidRPr="005A0420">
        <w:rPr>
          <w:rFonts w:ascii="Times New Roman" w:hAnsi="Times New Roman" w:cs="Times New Roman"/>
          <w:sz w:val="24"/>
          <w:szCs w:val="24"/>
        </w:rPr>
        <w:t xml:space="preserve"> conventional versus organic) or the most sustainable product (e.g. comparison between different cultivars) </w:t>
      </w:r>
      <w:r w:rsidR="00474689">
        <w:rPr>
          <w:rFonts w:ascii="Times New Roman" w:hAnsi="Times New Roman" w:cs="Times New Roman"/>
          <w:sz w:val="24"/>
          <w:szCs w:val="24"/>
        </w:rPr>
        <w:t>or other alternatives</w:t>
      </w:r>
      <w:r w:rsidRPr="005A0420">
        <w:rPr>
          <w:rFonts w:ascii="Times New Roman" w:hAnsi="Times New Roman" w:cs="Times New Roman"/>
          <w:sz w:val="24"/>
          <w:szCs w:val="24"/>
        </w:rPr>
        <w:t xml:space="preserve"> (</w:t>
      </w:r>
      <w:proofErr w:type="spellStart"/>
      <w:r w:rsidRPr="005A0420">
        <w:rPr>
          <w:rFonts w:ascii="Times New Roman" w:hAnsi="Times New Roman" w:cs="Times New Roman"/>
          <w:sz w:val="24"/>
          <w:szCs w:val="24"/>
        </w:rPr>
        <w:t>Iofrida</w:t>
      </w:r>
      <w:proofErr w:type="spellEnd"/>
      <w:r w:rsidRPr="005A0420">
        <w:rPr>
          <w:rFonts w:ascii="Times New Roman" w:hAnsi="Times New Roman" w:cs="Times New Roman"/>
          <w:sz w:val="24"/>
          <w:szCs w:val="24"/>
        </w:rPr>
        <w:t xml:space="preserve"> et al., 2018). It can then be used as a decision tool to support the choices of producers of the surveyed </w:t>
      </w:r>
      <w:r w:rsidRPr="005A0420">
        <w:rPr>
          <w:rFonts w:ascii="Times New Roman" w:hAnsi="Times New Roman" w:cs="Times New Roman"/>
          <w:sz w:val="24"/>
          <w:szCs w:val="24"/>
        </w:rPr>
        <w:lastRenderedPageBreak/>
        <w:t xml:space="preserve">product, to improve the ecological profile of the related production system and to inform the long-term management strategy of policymakers. </w:t>
      </w:r>
    </w:p>
    <w:p w14:paraId="07054F11" w14:textId="0904C9DC" w:rsidR="00C25AC2" w:rsidRPr="005A0420" w:rsidRDefault="00C25AC2" w:rsidP="005A0420">
      <w:pPr>
        <w:spacing w:line="480" w:lineRule="auto"/>
        <w:jc w:val="both"/>
        <w:rPr>
          <w:rFonts w:ascii="Times New Roman" w:hAnsi="Times New Roman" w:cs="Times New Roman"/>
          <w:sz w:val="24"/>
          <w:szCs w:val="24"/>
        </w:rPr>
      </w:pPr>
      <w:r w:rsidRPr="005A0420">
        <w:rPr>
          <w:rFonts w:ascii="Times New Roman" w:hAnsi="Times New Roman" w:cs="Times New Roman"/>
          <w:sz w:val="24"/>
          <w:szCs w:val="24"/>
        </w:rPr>
        <w:t xml:space="preserve"> In agriculture, as in other sectors, LCA practitioners have, over the last decade, </w:t>
      </w:r>
      <w:r w:rsidR="00B302E6">
        <w:rPr>
          <w:rFonts w:ascii="Times New Roman" w:hAnsi="Times New Roman" w:cs="Times New Roman"/>
          <w:sz w:val="24"/>
          <w:szCs w:val="24"/>
        </w:rPr>
        <w:t xml:space="preserve">been </w:t>
      </w:r>
      <w:r w:rsidRPr="005A0420">
        <w:rPr>
          <w:rFonts w:ascii="Times New Roman" w:hAnsi="Times New Roman" w:cs="Times New Roman"/>
          <w:sz w:val="24"/>
          <w:szCs w:val="24"/>
        </w:rPr>
        <w:t>dedicated to linking environmental assessment with economic and social aspects. It</w:t>
      </w:r>
      <w:r w:rsidR="00B302E6">
        <w:rPr>
          <w:rFonts w:ascii="Times New Roman" w:hAnsi="Times New Roman" w:cs="Times New Roman"/>
          <w:sz w:val="24"/>
          <w:szCs w:val="24"/>
        </w:rPr>
        <w:t>, therefore,</w:t>
      </w:r>
      <w:r w:rsidRPr="005A0420">
        <w:rPr>
          <w:rFonts w:ascii="Times New Roman" w:hAnsi="Times New Roman" w:cs="Times New Roman"/>
          <w:sz w:val="24"/>
          <w:szCs w:val="24"/>
        </w:rPr>
        <w:t xml:space="preserve"> becomes important to understand </w:t>
      </w:r>
      <w:proofErr w:type="spellStart"/>
      <w:r w:rsidR="00C8330D">
        <w:rPr>
          <w:rFonts w:ascii="Times New Roman" w:hAnsi="Times New Roman" w:cs="Times New Roman"/>
          <w:sz w:val="24"/>
          <w:szCs w:val="24"/>
        </w:rPr>
        <w:t>s</w:t>
      </w:r>
      <w:r w:rsidRPr="005A0420">
        <w:rPr>
          <w:rFonts w:ascii="Times New Roman" w:hAnsi="Times New Roman" w:cs="Times New Roman"/>
          <w:sz w:val="24"/>
          <w:szCs w:val="24"/>
        </w:rPr>
        <w:t>LCA</w:t>
      </w:r>
      <w:proofErr w:type="spellEnd"/>
      <w:r w:rsidRPr="005A0420">
        <w:rPr>
          <w:rFonts w:ascii="Times New Roman" w:hAnsi="Times New Roman" w:cs="Times New Roman"/>
          <w:sz w:val="24"/>
          <w:szCs w:val="24"/>
        </w:rPr>
        <w:t xml:space="preserve">. This tool that assesses social impacts, has its roots in the cultural and scientific heritage of the social sciences and especially the management sciences. It </w:t>
      </w:r>
      <w:r w:rsidR="00C8330D">
        <w:rPr>
          <w:rFonts w:ascii="Times New Roman" w:hAnsi="Times New Roman" w:cs="Times New Roman"/>
          <w:sz w:val="24"/>
          <w:szCs w:val="24"/>
        </w:rPr>
        <w:t>can help</w:t>
      </w:r>
      <w:r w:rsidRPr="005A0420">
        <w:rPr>
          <w:rFonts w:ascii="Times New Roman" w:hAnsi="Times New Roman" w:cs="Times New Roman"/>
          <w:sz w:val="24"/>
          <w:szCs w:val="24"/>
        </w:rPr>
        <w:t xml:space="preserve"> organi</w:t>
      </w:r>
      <w:r w:rsidR="00474689">
        <w:rPr>
          <w:rFonts w:ascii="Times New Roman" w:hAnsi="Times New Roman" w:cs="Times New Roman"/>
          <w:sz w:val="24"/>
          <w:szCs w:val="24"/>
        </w:rPr>
        <w:t>z</w:t>
      </w:r>
      <w:r w:rsidRPr="005A0420">
        <w:rPr>
          <w:rFonts w:ascii="Times New Roman" w:hAnsi="Times New Roman" w:cs="Times New Roman"/>
          <w:sz w:val="24"/>
          <w:szCs w:val="24"/>
        </w:rPr>
        <w:t>ations to make decisions on how to organi</w:t>
      </w:r>
      <w:r w:rsidR="00474689">
        <w:rPr>
          <w:rFonts w:ascii="Times New Roman" w:hAnsi="Times New Roman" w:cs="Times New Roman"/>
          <w:sz w:val="24"/>
          <w:szCs w:val="24"/>
        </w:rPr>
        <w:t>z</w:t>
      </w:r>
      <w:r w:rsidRPr="005A0420">
        <w:rPr>
          <w:rFonts w:ascii="Times New Roman" w:hAnsi="Times New Roman" w:cs="Times New Roman"/>
          <w:sz w:val="24"/>
          <w:szCs w:val="24"/>
        </w:rPr>
        <w:t xml:space="preserve">e </w:t>
      </w:r>
      <w:r w:rsidR="00C8330D">
        <w:rPr>
          <w:rFonts w:ascii="Times New Roman" w:hAnsi="Times New Roman" w:cs="Times New Roman"/>
          <w:sz w:val="24"/>
          <w:szCs w:val="24"/>
        </w:rPr>
        <w:t xml:space="preserve">production </w:t>
      </w:r>
      <w:r w:rsidRPr="005A0420">
        <w:rPr>
          <w:rFonts w:ascii="Times New Roman" w:hAnsi="Times New Roman" w:cs="Times New Roman"/>
          <w:sz w:val="24"/>
          <w:szCs w:val="24"/>
        </w:rPr>
        <w:t>processes according to</w:t>
      </w:r>
      <w:r w:rsidR="00C8330D">
        <w:rPr>
          <w:rFonts w:ascii="Times New Roman" w:hAnsi="Times New Roman" w:cs="Times New Roman"/>
          <w:sz w:val="24"/>
          <w:szCs w:val="24"/>
        </w:rPr>
        <w:t xml:space="preserve"> </w:t>
      </w:r>
      <w:r w:rsidRPr="005A0420">
        <w:rPr>
          <w:rFonts w:ascii="Times New Roman" w:hAnsi="Times New Roman" w:cs="Times New Roman"/>
          <w:sz w:val="24"/>
          <w:szCs w:val="24"/>
        </w:rPr>
        <w:t>the social impacts</w:t>
      </w:r>
      <w:r w:rsidR="00C8330D">
        <w:rPr>
          <w:rFonts w:ascii="Times New Roman" w:hAnsi="Times New Roman" w:cs="Times New Roman"/>
          <w:sz w:val="24"/>
          <w:szCs w:val="24"/>
        </w:rPr>
        <w:t xml:space="preserve"> </w:t>
      </w:r>
      <w:r w:rsidR="00C8330D" w:rsidRPr="00C8330D">
        <w:rPr>
          <w:rFonts w:ascii="Times New Roman" w:hAnsi="Times New Roman" w:cs="Times New Roman"/>
          <w:sz w:val="24"/>
          <w:szCs w:val="24"/>
        </w:rPr>
        <w:t xml:space="preserve">that they can potentially generate </w:t>
      </w:r>
      <w:r w:rsidR="00C8330D">
        <w:rPr>
          <w:rFonts w:ascii="Times New Roman" w:hAnsi="Times New Roman" w:cs="Times New Roman"/>
          <w:sz w:val="24"/>
          <w:szCs w:val="24"/>
        </w:rPr>
        <w:t xml:space="preserve">(negative to avoid and positive to encourage) </w:t>
      </w:r>
      <w:r w:rsidRPr="005A0420">
        <w:rPr>
          <w:rFonts w:ascii="Times New Roman" w:hAnsi="Times New Roman" w:cs="Times New Roman"/>
          <w:sz w:val="24"/>
          <w:szCs w:val="24"/>
        </w:rPr>
        <w:t>(</w:t>
      </w:r>
      <w:proofErr w:type="spellStart"/>
      <w:r w:rsidRPr="005A0420">
        <w:rPr>
          <w:rFonts w:ascii="Times New Roman" w:hAnsi="Times New Roman" w:cs="Times New Roman"/>
          <w:sz w:val="24"/>
          <w:szCs w:val="24"/>
        </w:rPr>
        <w:t>Iofrida</w:t>
      </w:r>
      <w:proofErr w:type="spellEnd"/>
      <w:r w:rsidRPr="005A0420">
        <w:rPr>
          <w:rFonts w:ascii="Times New Roman" w:hAnsi="Times New Roman" w:cs="Times New Roman"/>
          <w:sz w:val="24"/>
          <w:szCs w:val="24"/>
        </w:rPr>
        <w:t xml:space="preserve"> et al., 2018). </w:t>
      </w:r>
    </w:p>
    <w:p w14:paraId="71B7018F" w14:textId="473E9999" w:rsidR="00C25AC2" w:rsidRPr="005A0420" w:rsidRDefault="00C25AC2" w:rsidP="005A0420">
      <w:pPr>
        <w:spacing w:line="480" w:lineRule="auto"/>
        <w:jc w:val="both"/>
        <w:rPr>
          <w:rFonts w:ascii="Times New Roman" w:hAnsi="Times New Roman" w:cs="Times New Roman"/>
          <w:sz w:val="24"/>
          <w:szCs w:val="24"/>
        </w:rPr>
      </w:pPr>
      <w:r w:rsidRPr="005A0420">
        <w:rPr>
          <w:rFonts w:ascii="Times New Roman" w:hAnsi="Times New Roman" w:cs="Times New Roman"/>
          <w:sz w:val="24"/>
          <w:szCs w:val="24"/>
        </w:rPr>
        <w:t>From another perspective of analysis, SAM, in dealing with socio-metabolic transformations</w:t>
      </w:r>
      <w:r w:rsidR="00C8330D">
        <w:rPr>
          <w:rFonts w:ascii="Times New Roman" w:hAnsi="Times New Roman" w:cs="Times New Roman"/>
          <w:sz w:val="24"/>
          <w:szCs w:val="24"/>
        </w:rPr>
        <w:t xml:space="preserve">, </w:t>
      </w:r>
      <w:r w:rsidRPr="005A0420">
        <w:rPr>
          <w:rFonts w:ascii="Times New Roman" w:hAnsi="Times New Roman" w:cs="Times New Roman"/>
          <w:sz w:val="24"/>
          <w:szCs w:val="24"/>
        </w:rPr>
        <w:t>presents, on the one hand, a critical grounding on the industrial aspects that influence agricultural activities in the process of moderni</w:t>
      </w:r>
      <w:r w:rsidR="00474689">
        <w:rPr>
          <w:rFonts w:ascii="Times New Roman" w:hAnsi="Times New Roman" w:cs="Times New Roman"/>
          <w:sz w:val="24"/>
          <w:szCs w:val="24"/>
        </w:rPr>
        <w:t>z</w:t>
      </w:r>
      <w:r w:rsidRPr="005A0420">
        <w:rPr>
          <w:rFonts w:ascii="Times New Roman" w:hAnsi="Times New Roman" w:cs="Times New Roman"/>
          <w:sz w:val="24"/>
          <w:szCs w:val="24"/>
        </w:rPr>
        <w:t xml:space="preserve">ation of the countryside. On the other hand, it has placed great emphasis on the importance of studies on peasant knowledge, which is fundamental for understanding the more sustainable management of agroecosystems (González de Molina, 2011). </w:t>
      </w:r>
      <w:r w:rsidR="00B261BB">
        <w:rPr>
          <w:rFonts w:ascii="Times New Roman" w:hAnsi="Times New Roman" w:cs="Times New Roman"/>
          <w:sz w:val="24"/>
          <w:szCs w:val="24"/>
        </w:rPr>
        <w:t>The SAM approach is</w:t>
      </w:r>
      <w:r w:rsidRPr="005A0420">
        <w:rPr>
          <w:rFonts w:ascii="Times New Roman" w:hAnsi="Times New Roman" w:cs="Times New Roman"/>
          <w:sz w:val="24"/>
          <w:szCs w:val="24"/>
        </w:rPr>
        <w:t xml:space="preserve"> </w:t>
      </w:r>
      <w:r w:rsidR="00B302E6">
        <w:rPr>
          <w:rFonts w:ascii="Times New Roman" w:hAnsi="Times New Roman" w:cs="Times New Roman"/>
          <w:sz w:val="24"/>
          <w:szCs w:val="24"/>
        </w:rPr>
        <w:t>committed</w:t>
      </w:r>
      <w:r w:rsidRPr="005A0420">
        <w:rPr>
          <w:rFonts w:ascii="Times New Roman" w:hAnsi="Times New Roman" w:cs="Times New Roman"/>
          <w:sz w:val="24"/>
          <w:szCs w:val="24"/>
        </w:rPr>
        <w:t xml:space="preserve"> to offer</w:t>
      </w:r>
      <w:r w:rsidR="00B261BB">
        <w:rPr>
          <w:rFonts w:ascii="Times New Roman" w:hAnsi="Times New Roman" w:cs="Times New Roman"/>
          <w:sz w:val="24"/>
          <w:szCs w:val="24"/>
        </w:rPr>
        <w:t>ing</w:t>
      </w:r>
      <w:r w:rsidRPr="005A0420">
        <w:rPr>
          <w:rFonts w:ascii="Times New Roman" w:hAnsi="Times New Roman" w:cs="Times New Roman"/>
          <w:sz w:val="24"/>
          <w:szCs w:val="24"/>
        </w:rPr>
        <w:t xml:space="preserve"> horizons of analysis that guide us towards the </w:t>
      </w:r>
      <w:r w:rsidR="00B261BB">
        <w:rPr>
          <w:rFonts w:ascii="Times New Roman" w:hAnsi="Times New Roman" w:cs="Times New Roman"/>
          <w:sz w:val="24"/>
          <w:szCs w:val="24"/>
        </w:rPr>
        <w:t xml:space="preserve">achievement </w:t>
      </w:r>
      <w:r w:rsidRPr="005A0420">
        <w:rPr>
          <w:rFonts w:ascii="Times New Roman" w:hAnsi="Times New Roman" w:cs="Times New Roman"/>
          <w:sz w:val="24"/>
          <w:szCs w:val="24"/>
        </w:rPr>
        <w:t>of increasingly sustainable societies (Lopez, 2014).</w:t>
      </w:r>
    </w:p>
    <w:p w14:paraId="12C88993" w14:textId="2DE1ABF6" w:rsidR="006D68C6" w:rsidRPr="005A0420" w:rsidRDefault="00B4308E" w:rsidP="00B4308E">
      <w:pPr>
        <w:spacing w:line="480" w:lineRule="auto"/>
        <w:jc w:val="both"/>
        <w:rPr>
          <w:rFonts w:ascii="Times New Roman" w:hAnsi="Times New Roman" w:cs="Times New Roman"/>
          <w:b/>
          <w:bCs/>
          <w:sz w:val="24"/>
          <w:szCs w:val="24"/>
        </w:rPr>
      </w:pPr>
      <w:r w:rsidRPr="00B4308E">
        <w:rPr>
          <w:rFonts w:ascii="Times New Roman" w:hAnsi="Times New Roman" w:cs="Times New Roman"/>
          <w:sz w:val="24"/>
          <w:szCs w:val="24"/>
        </w:rPr>
        <w:t xml:space="preserve">The applicability of these life cycle techniques in conjunction with SAM, for the Alentejo region becomes adequate, as it is the main olive oil producing region of Portugal and, therefore, needs to continue to develop and maintain itself through a sustainable management. Knowing the results and analysis of these techniques that can point where it is possible to mitigate the existing impacts, producers can adapt to the requirements of CAP and consequently receive incentives for sustainable agricultural practices. By using these techniques </w:t>
      </w:r>
      <w:proofErr w:type="gramStart"/>
      <w:r w:rsidRPr="00B4308E">
        <w:rPr>
          <w:rFonts w:ascii="Times New Roman" w:hAnsi="Times New Roman" w:cs="Times New Roman"/>
          <w:sz w:val="24"/>
          <w:szCs w:val="24"/>
        </w:rPr>
        <w:t>together</w:t>
      </w:r>
      <w:proofErr w:type="gramEnd"/>
      <w:r w:rsidRPr="00B4308E">
        <w:rPr>
          <w:rFonts w:ascii="Times New Roman" w:hAnsi="Times New Roman" w:cs="Times New Roman"/>
          <w:sz w:val="24"/>
          <w:szCs w:val="24"/>
        </w:rPr>
        <w:t xml:space="preserve"> it is possible to have an objective assessment of the possible </w:t>
      </w:r>
      <w:r w:rsidRPr="00B4308E">
        <w:rPr>
          <w:rFonts w:ascii="Times New Roman" w:hAnsi="Times New Roman" w:cs="Times New Roman"/>
          <w:sz w:val="24"/>
          <w:szCs w:val="24"/>
        </w:rPr>
        <w:lastRenderedPageBreak/>
        <w:t xml:space="preserve">consequences of the olive life cycle operation, such as impacts on workers' health, biodiversity and regional economy, environmental costs, among others. </w:t>
      </w:r>
    </w:p>
    <w:p w14:paraId="79820EC8" w14:textId="303F4FBA" w:rsidR="006A2A77" w:rsidRDefault="006A2A77" w:rsidP="005A0420">
      <w:pPr>
        <w:jc w:val="both"/>
        <w:rPr>
          <w:rFonts w:ascii="Times New Roman" w:hAnsi="Times New Roman" w:cs="Times New Roman"/>
          <w:b/>
          <w:bCs/>
          <w:sz w:val="24"/>
          <w:szCs w:val="24"/>
        </w:rPr>
      </w:pPr>
      <w:r w:rsidRPr="005A0420">
        <w:rPr>
          <w:rFonts w:ascii="Times New Roman" w:hAnsi="Times New Roman" w:cs="Times New Roman"/>
          <w:b/>
          <w:bCs/>
          <w:sz w:val="24"/>
          <w:szCs w:val="24"/>
        </w:rPr>
        <w:t>Bibliographical References</w:t>
      </w:r>
    </w:p>
    <w:p w14:paraId="07E27002" w14:textId="77777777" w:rsidR="00E07E44" w:rsidRPr="005A0420" w:rsidRDefault="00E07E44" w:rsidP="005A0420">
      <w:pPr>
        <w:jc w:val="both"/>
        <w:rPr>
          <w:rFonts w:ascii="Times New Roman" w:hAnsi="Times New Roman" w:cs="Times New Roman"/>
          <w:b/>
          <w:bCs/>
          <w:sz w:val="24"/>
          <w:szCs w:val="24"/>
        </w:rPr>
      </w:pPr>
    </w:p>
    <w:p w14:paraId="6F4B338D" w14:textId="21630B45" w:rsidR="00AD074E" w:rsidRPr="00E94285" w:rsidRDefault="006064D2" w:rsidP="005A0420">
      <w:pPr>
        <w:spacing w:line="240" w:lineRule="auto"/>
        <w:jc w:val="both"/>
        <w:rPr>
          <w:rFonts w:ascii="Times New Roman" w:hAnsi="Times New Roman" w:cs="Times New Roman"/>
          <w:sz w:val="24"/>
          <w:szCs w:val="24"/>
          <w:shd w:val="clear" w:color="auto" w:fill="FFFFFF"/>
        </w:rPr>
      </w:pPr>
      <w:r w:rsidRPr="005A0420">
        <w:rPr>
          <w:rFonts w:ascii="Times New Roman" w:hAnsi="Times New Roman" w:cs="Times New Roman"/>
          <w:sz w:val="24"/>
          <w:szCs w:val="24"/>
        </w:rPr>
        <w:t xml:space="preserve">Beaufoy, G., (2001). </w:t>
      </w:r>
      <w:r w:rsidRPr="00C47091">
        <w:rPr>
          <w:rFonts w:ascii="Times New Roman" w:hAnsi="Times New Roman" w:cs="Times New Roman"/>
          <w:i/>
          <w:iCs/>
          <w:sz w:val="24"/>
          <w:szCs w:val="24"/>
        </w:rPr>
        <w:t>EU policies for olive farming – unsustainable on all counts</w:t>
      </w:r>
      <w:r w:rsidRPr="005A0420">
        <w:rPr>
          <w:rFonts w:ascii="Times New Roman" w:hAnsi="Times New Roman" w:cs="Times New Roman"/>
          <w:sz w:val="24"/>
          <w:szCs w:val="24"/>
        </w:rPr>
        <w:t xml:space="preserve">. </w:t>
      </w:r>
      <w:r w:rsidR="00AD074E">
        <w:rPr>
          <w:rFonts w:ascii="Times New Roman" w:hAnsi="Times New Roman" w:cs="Times New Roman"/>
          <w:sz w:val="24"/>
          <w:szCs w:val="24"/>
          <w:shd w:val="clear" w:color="auto" w:fill="FFFFFF"/>
        </w:rPr>
        <w:t xml:space="preserve">Retrieved from: </w:t>
      </w:r>
      <w:r w:rsidR="00E94285" w:rsidRPr="00E94285">
        <w:rPr>
          <w:rFonts w:ascii="Times New Roman" w:hAnsi="Times New Roman" w:cs="Times New Roman"/>
          <w:sz w:val="24"/>
          <w:szCs w:val="24"/>
          <w:shd w:val="clear" w:color="auto" w:fill="FFFFFF"/>
        </w:rPr>
        <w:t>https://wwf.panda.org/wwf_news/?3794/EU-policies-for-olive-farming-unsustainable-on-all-counts-WWF-Birdlife-International-June-2001</w:t>
      </w:r>
    </w:p>
    <w:p w14:paraId="104CD3F0" w14:textId="0E044FCE" w:rsidR="005D62CA" w:rsidRPr="005D62CA" w:rsidRDefault="005D62CA" w:rsidP="00CC1F06">
      <w:pPr>
        <w:spacing w:line="240" w:lineRule="auto"/>
        <w:jc w:val="both"/>
        <w:rPr>
          <w:rFonts w:ascii="Times New Roman" w:hAnsi="Times New Roman" w:cs="Times New Roman"/>
          <w:sz w:val="24"/>
          <w:szCs w:val="24"/>
        </w:rPr>
      </w:pPr>
      <w:r w:rsidRPr="00A14B7B">
        <w:rPr>
          <w:rFonts w:ascii="Times New Roman" w:hAnsi="Times New Roman" w:cs="Times New Roman"/>
          <w:sz w:val="24"/>
          <w:szCs w:val="24"/>
          <w:lang w:val="es-ES"/>
        </w:rPr>
        <w:t xml:space="preserve">Boron, A. A., Amadeo, J., Gonzalez, S. (2007). </w:t>
      </w:r>
      <w:r w:rsidRPr="005D62CA">
        <w:rPr>
          <w:rFonts w:ascii="Times New Roman" w:hAnsi="Times New Roman" w:cs="Times New Roman"/>
          <w:sz w:val="24"/>
          <w:szCs w:val="24"/>
          <w:lang w:val="pt-BR"/>
        </w:rPr>
        <w:t xml:space="preserve">A Teoria Marxista hoje: Problemas e perspectivas. </w:t>
      </w:r>
      <w:r w:rsidRPr="005D62CA">
        <w:rPr>
          <w:rFonts w:ascii="Times New Roman" w:hAnsi="Times New Roman" w:cs="Times New Roman"/>
          <w:sz w:val="24"/>
          <w:szCs w:val="24"/>
        </w:rPr>
        <w:t xml:space="preserve">Retrieved from: </w:t>
      </w:r>
      <w:hyperlink r:id="rId7" w:history="1">
        <w:r w:rsidRPr="005D62CA">
          <w:rPr>
            <w:rStyle w:val="Hiperligao"/>
            <w:rFonts w:ascii="Times New Roman" w:hAnsi="Times New Roman" w:cs="Times New Roman"/>
            <w:color w:val="auto"/>
            <w:sz w:val="24"/>
            <w:szCs w:val="24"/>
          </w:rPr>
          <w:t>http://bibliotecavirtual.clacso.org.ar/clacso/formacion-virtual/20100715073000/boron.pdf</w:t>
        </w:r>
      </w:hyperlink>
    </w:p>
    <w:p w14:paraId="1D9D69AD" w14:textId="4E7C1036" w:rsidR="00155EFA" w:rsidRDefault="00155EFA" w:rsidP="00CC1F06">
      <w:pPr>
        <w:spacing w:line="240" w:lineRule="auto"/>
        <w:jc w:val="both"/>
        <w:rPr>
          <w:rFonts w:ascii="Times New Roman" w:hAnsi="Times New Roman" w:cs="Times New Roman"/>
          <w:sz w:val="24"/>
          <w:szCs w:val="24"/>
        </w:rPr>
      </w:pPr>
      <w:r w:rsidRPr="00155EFA">
        <w:rPr>
          <w:rFonts w:ascii="Times New Roman" w:hAnsi="Times New Roman" w:cs="Times New Roman"/>
          <w:sz w:val="24"/>
          <w:szCs w:val="24"/>
        </w:rPr>
        <w:t xml:space="preserve">Brouwer, F. (2020). Environmental Life Cycle Costing as an addition to LCA studies. Rapport </w:t>
      </w:r>
      <w:proofErr w:type="spellStart"/>
      <w:r w:rsidRPr="00155EFA">
        <w:rPr>
          <w:rFonts w:ascii="Times New Roman" w:hAnsi="Times New Roman" w:cs="Times New Roman"/>
          <w:sz w:val="24"/>
          <w:szCs w:val="24"/>
        </w:rPr>
        <w:t>GrasGoed</w:t>
      </w:r>
      <w:proofErr w:type="spellEnd"/>
      <w:r w:rsidRPr="00155EFA">
        <w:rPr>
          <w:rFonts w:ascii="Times New Roman" w:hAnsi="Times New Roman" w:cs="Times New Roman"/>
          <w:sz w:val="24"/>
          <w:szCs w:val="24"/>
        </w:rPr>
        <w:t>. Retrieved from https://www.grasgoed.eu/wp-content/uploads/2020/04/GrasGoed-Report-LCC.pdf</w:t>
      </w:r>
    </w:p>
    <w:p w14:paraId="1A3D3628" w14:textId="1D5694F6" w:rsidR="00CC1F06" w:rsidRPr="00CC1F06" w:rsidRDefault="00CC1F06" w:rsidP="00CC1F06">
      <w:pPr>
        <w:spacing w:line="240" w:lineRule="auto"/>
        <w:jc w:val="both"/>
        <w:rPr>
          <w:rFonts w:ascii="Times New Roman" w:hAnsi="Times New Roman" w:cs="Times New Roman"/>
          <w:sz w:val="24"/>
          <w:szCs w:val="24"/>
        </w:rPr>
      </w:pPr>
      <w:proofErr w:type="spellStart"/>
      <w:r w:rsidRPr="00CC1F06">
        <w:rPr>
          <w:rFonts w:ascii="Times New Roman" w:hAnsi="Times New Roman" w:cs="Times New Roman"/>
          <w:sz w:val="24"/>
          <w:szCs w:val="24"/>
        </w:rPr>
        <w:t>Camarsa</w:t>
      </w:r>
      <w:proofErr w:type="spellEnd"/>
      <w:r w:rsidRPr="00CC1F06">
        <w:rPr>
          <w:rFonts w:ascii="Times New Roman" w:hAnsi="Times New Roman" w:cs="Times New Roman"/>
          <w:sz w:val="24"/>
          <w:szCs w:val="24"/>
        </w:rPr>
        <w:t xml:space="preserve"> G., Gardner, S., Jones, W., Eldridge, J., Hudson, T.</w:t>
      </w:r>
      <w:proofErr w:type="gramStart"/>
      <w:r w:rsidRPr="00CC1F06">
        <w:rPr>
          <w:rFonts w:ascii="Times New Roman" w:hAnsi="Times New Roman" w:cs="Times New Roman"/>
          <w:sz w:val="24"/>
          <w:szCs w:val="24"/>
        </w:rPr>
        <w:t>,  Thorpe</w:t>
      </w:r>
      <w:proofErr w:type="gramEnd"/>
      <w:r w:rsidRPr="00CC1F06">
        <w:rPr>
          <w:rFonts w:ascii="Times New Roman" w:hAnsi="Times New Roman" w:cs="Times New Roman"/>
          <w:sz w:val="24"/>
          <w:szCs w:val="24"/>
        </w:rPr>
        <w:t xml:space="preserve">, E.,  O’Hara, E. (2010). LIFE among the olives: </w:t>
      </w:r>
      <w:proofErr w:type="gramStart"/>
      <w:r w:rsidRPr="00CC1F06">
        <w:rPr>
          <w:rFonts w:ascii="Times New Roman" w:hAnsi="Times New Roman" w:cs="Times New Roman"/>
          <w:sz w:val="24"/>
          <w:szCs w:val="24"/>
        </w:rPr>
        <w:t>Good</w:t>
      </w:r>
      <w:proofErr w:type="gramEnd"/>
      <w:r w:rsidRPr="00CC1F06">
        <w:rPr>
          <w:rFonts w:ascii="Times New Roman" w:hAnsi="Times New Roman" w:cs="Times New Roman"/>
          <w:sz w:val="24"/>
          <w:szCs w:val="24"/>
        </w:rPr>
        <w:t xml:space="preserve"> practice in improving environmental performance in the olive oil sector. European Commission - Environment Directorate-General. Retrieved from: https://ec.europa.eu/environment/archives/life/publications/lifepublications/lifefocus/documents/oliveoil_en.pdf</w:t>
      </w:r>
    </w:p>
    <w:p w14:paraId="0B4B5FBE" w14:textId="77777777" w:rsidR="00DD443B" w:rsidRPr="00DD443B" w:rsidRDefault="00DD443B" w:rsidP="005A0420">
      <w:pPr>
        <w:spacing w:line="240" w:lineRule="auto"/>
        <w:jc w:val="both"/>
        <w:rPr>
          <w:rFonts w:ascii="Times New Roman" w:hAnsi="Times New Roman" w:cs="Times New Roman"/>
          <w:sz w:val="24"/>
          <w:szCs w:val="24"/>
        </w:rPr>
      </w:pPr>
      <w:r w:rsidRPr="00A14B7B">
        <w:rPr>
          <w:rFonts w:ascii="Times New Roman" w:hAnsi="Times New Roman" w:cs="Times New Roman"/>
          <w:sz w:val="24"/>
          <w:szCs w:val="24"/>
          <w:lang w:val="it-IT"/>
        </w:rPr>
        <w:t xml:space="preserve">Caruso, T., Campisi, G., Marra, F.P., Camposeo, S., Vivaldi, G.A., Proietti, P., Nasini, L., 2014. </w:t>
      </w:r>
      <w:r w:rsidRPr="00DD443B">
        <w:rPr>
          <w:rFonts w:ascii="Times New Roman" w:hAnsi="Times New Roman" w:cs="Times New Roman"/>
          <w:sz w:val="24"/>
          <w:szCs w:val="24"/>
        </w:rPr>
        <w:t xml:space="preserve">Growth and yields of’ Arbequina’ high-density planting systems in three different olive growing areas in Italy. Acta </w:t>
      </w:r>
      <w:proofErr w:type="spellStart"/>
      <w:r w:rsidRPr="00DD443B">
        <w:rPr>
          <w:rFonts w:ascii="Times New Roman" w:hAnsi="Times New Roman" w:cs="Times New Roman"/>
          <w:sz w:val="24"/>
          <w:szCs w:val="24"/>
        </w:rPr>
        <w:t>Hortic</w:t>
      </w:r>
      <w:proofErr w:type="spellEnd"/>
      <w:r w:rsidRPr="00DD443B">
        <w:rPr>
          <w:rFonts w:ascii="Times New Roman" w:hAnsi="Times New Roman" w:cs="Times New Roman"/>
          <w:sz w:val="24"/>
          <w:szCs w:val="24"/>
        </w:rPr>
        <w:t xml:space="preserve">. 1057, 341–348. </w:t>
      </w:r>
    </w:p>
    <w:p w14:paraId="239F2A64" w14:textId="005656C4" w:rsidR="00C53248" w:rsidRPr="00A14B7B" w:rsidRDefault="00C53248" w:rsidP="005A0420">
      <w:pPr>
        <w:spacing w:line="240" w:lineRule="auto"/>
        <w:jc w:val="both"/>
        <w:rPr>
          <w:rFonts w:ascii="Times New Roman" w:hAnsi="Times New Roman" w:cs="Times New Roman"/>
          <w:sz w:val="24"/>
          <w:szCs w:val="24"/>
          <w:lang w:val="it-IT"/>
        </w:rPr>
      </w:pPr>
      <w:r w:rsidRPr="00A14B7B">
        <w:rPr>
          <w:rFonts w:ascii="Times New Roman" w:hAnsi="Times New Roman" w:cs="Times New Roman"/>
          <w:sz w:val="24"/>
          <w:szCs w:val="24"/>
        </w:rPr>
        <w:t xml:space="preserve">Cellura, M., Longo, S., Mistretta, M. (2012). </w:t>
      </w:r>
      <w:r w:rsidRPr="005A0420">
        <w:rPr>
          <w:rFonts w:ascii="Times New Roman" w:hAnsi="Times New Roman" w:cs="Times New Roman"/>
          <w:sz w:val="24"/>
          <w:szCs w:val="24"/>
        </w:rPr>
        <w:t xml:space="preserve">Life Cycle Assessment (LCA) of protected crops: an Italian case study. </w:t>
      </w:r>
      <w:r w:rsidRPr="00A14B7B">
        <w:rPr>
          <w:rFonts w:ascii="Times New Roman" w:hAnsi="Times New Roman" w:cs="Times New Roman"/>
          <w:i/>
          <w:iCs/>
          <w:sz w:val="24"/>
          <w:szCs w:val="24"/>
          <w:lang w:val="it-IT"/>
        </w:rPr>
        <w:t xml:space="preserve">Journal of </w:t>
      </w:r>
      <w:r w:rsidR="00BC70A2" w:rsidRPr="00A14B7B">
        <w:rPr>
          <w:rFonts w:ascii="Times New Roman" w:hAnsi="Times New Roman" w:cs="Times New Roman"/>
          <w:i/>
          <w:iCs/>
          <w:sz w:val="24"/>
          <w:szCs w:val="24"/>
          <w:lang w:val="it-IT"/>
        </w:rPr>
        <w:t>C</w:t>
      </w:r>
      <w:r w:rsidRPr="00A14B7B">
        <w:rPr>
          <w:rFonts w:ascii="Times New Roman" w:hAnsi="Times New Roman" w:cs="Times New Roman"/>
          <w:i/>
          <w:iCs/>
          <w:sz w:val="24"/>
          <w:szCs w:val="24"/>
          <w:lang w:val="it-IT"/>
        </w:rPr>
        <w:t xml:space="preserve">leaner </w:t>
      </w:r>
      <w:r w:rsidR="00BC70A2" w:rsidRPr="00A14B7B">
        <w:rPr>
          <w:rFonts w:ascii="Times New Roman" w:hAnsi="Times New Roman" w:cs="Times New Roman"/>
          <w:i/>
          <w:iCs/>
          <w:sz w:val="24"/>
          <w:szCs w:val="24"/>
          <w:lang w:val="it-IT"/>
        </w:rPr>
        <w:t>P</w:t>
      </w:r>
      <w:r w:rsidRPr="00A14B7B">
        <w:rPr>
          <w:rFonts w:ascii="Times New Roman" w:hAnsi="Times New Roman" w:cs="Times New Roman"/>
          <w:i/>
          <w:iCs/>
          <w:sz w:val="24"/>
          <w:szCs w:val="24"/>
          <w:lang w:val="it-IT"/>
        </w:rPr>
        <w:t>roduction</w:t>
      </w:r>
      <w:r w:rsidR="004B547D" w:rsidRPr="00A14B7B">
        <w:rPr>
          <w:rFonts w:ascii="Times New Roman" w:hAnsi="Times New Roman" w:cs="Times New Roman"/>
          <w:sz w:val="24"/>
          <w:szCs w:val="24"/>
          <w:lang w:val="it-IT"/>
        </w:rPr>
        <w:t>,</w:t>
      </w:r>
      <w:r w:rsidRPr="00A14B7B">
        <w:rPr>
          <w:rFonts w:ascii="Times New Roman" w:hAnsi="Times New Roman" w:cs="Times New Roman"/>
          <w:sz w:val="24"/>
          <w:szCs w:val="24"/>
          <w:lang w:val="it-IT"/>
        </w:rPr>
        <w:t xml:space="preserve"> 28, 56–62</w:t>
      </w:r>
      <w:r w:rsidR="005A0420" w:rsidRPr="00A14B7B">
        <w:rPr>
          <w:rFonts w:ascii="Times New Roman" w:hAnsi="Times New Roman" w:cs="Times New Roman"/>
          <w:sz w:val="24"/>
          <w:szCs w:val="24"/>
          <w:lang w:val="it-IT"/>
        </w:rPr>
        <w:t>.</w:t>
      </w:r>
    </w:p>
    <w:p w14:paraId="40A9A269" w14:textId="30FF0F9B" w:rsidR="006064D2" w:rsidRPr="005A0420" w:rsidRDefault="006064D2" w:rsidP="005A0420">
      <w:pPr>
        <w:spacing w:line="240" w:lineRule="auto"/>
        <w:jc w:val="both"/>
        <w:rPr>
          <w:rFonts w:ascii="Times New Roman" w:hAnsi="Times New Roman" w:cs="Times New Roman"/>
          <w:b/>
          <w:bCs/>
          <w:sz w:val="24"/>
          <w:szCs w:val="24"/>
        </w:rPr>
      </w:pPr>
      <w:r w:rsidRPr="00A14B7B">
        <w:rPr>
          <w:rFonts w:ascii="Times New Roman" w:hAnsi="Times New Roman" w:cs="Times New Roman"/>
          <w:sz w:val="24"/>
          <w:szCs w:val="24"/>
          <w:lang w:val="it-IT"/>
        </w:rPr>
        <w:t xml:space="preserve">Cerutti A.K., Beccaro G.L., Bosco S., De Luca A.I., Falcone G., Fiore A., Iofrida N., Lo Giudice A., Strano A. (2015). Life cycle assessment in the fruit sector. In: Notarnicola B., Salomone R., Petti L., Renzulli P.A., Roma R., Cerutti A.K. (eds.). </w:t>
      </w:r>
      <w:r w:rsidRPr="00C47091">
        <w:rPr>
          <w:rFonts w:ascii="Times New Roman" w:hAnsi="Times New Roman" w:cs="Times New Roman"/>
          <w:i/>
          <w:iCs/>
          <w:sz w:val="24"/>
          <w:szCs w:val="24"/>
        </w:rPr>
        <w:t>Life Cycle Assessment in the Agri-food Sector Case Studies, Methodological Issues and Best Practices</w:t>
      </w:r>
      <w:r w:rsidRPr="005A0420">
        <w:rPr>
          <w:rFonts w:ascii="Times New Roman" w:hAnsi="Times New Roman" w:cs="Times New Roman"/>
          <w:sz w:val="24"/>
          <w:szCs w:val="24"/>
        </w:rPr>
        <w:t xml:space="preserve">. Springer Publishing, Switzerland, </w:t>
      </w:r>
      <w:proofErr w:type="spellStart"/>
      <w:r w:rsidRPr="005A0420">
        <w:rPr>
          <w:rFonts w:ascii="Times New Roman" w:hAnsi="Times New Roman" w:cs="Times New Roman"/>
          <w:sz w:val="24"/>
          <w:szCs w:val="24"/>
        </w:rPr>
        <w:t>doi</w:t>
      </w:r>
      <w:proofErr w:type="spellEnd"/>
      <w:r w:rsidRPr="005A0420">
        <w:rPr>
          <w:rFonts w:ascii="Times New Roman" w:hAnsi="Times New Roman" w:cs="Times New Roman"/>
          <w:sz w:val="24"/>
          <w:szCs w:val="24"/>
        </w:rPr>
        <w:t>: 10.1007/978-3-319-11940-3_6</w:t>
      </w:r>
      <w:r w:rsidR="005A0420">
        <w:rPr>
          <w:rFonts w:ascii="Times New Roman" w:hAnsi="Times New Roman" w:cs="Times New Roman"/>
          <w:sz w:val="24"/>
          <w:szCs w:val="24"/>
        </w:rPr>
        <w:t>.</w:t>
      </w:r>
    </w:p>
    <w:p w14:paraId="089E38A5" w14:textId="21169107" w:rsidR="00307BCC" w:rsidRPr="00307BCC" w:rsidRDefault="00307BCC" w:rsidP="00307BCC">
      <w:pPr>
        <w:spacing w:line="240" w:lineRule="auto"/>
        <w:jc w:val="both"/>
        <w:rPr>
          <w:rFonts w:ascii="Times New Roman" w:hAnsi="Times New Roman" w:cs="Times New Roman"/>
          <w:sz w:val="24"/>
          <w:szCs w:val="24"/>
        </w:rPr>
      </w:pPr>
      <w:r w:rsidRPr="00A14B7B">
        <w:rPr>
          <w:rFonts w:ascii="Times New Roman" w:hAnsi="Times New Roman" w:cs="Times New Roman"/>
          <w:sz w:val="24"/>
          <w:szCs w:val="24"/>
        </w:rPr>
        <w:t xml:space="preserve">COI - Conselho Oleícola Internacional (2012). </w:t>
      </w:r>
      <w:r w:rsidRPr="00307BCC">
        <w:rPr>
          <w:rFonts w:ascii="Times New Roman" w:hAnsi="Times New Roman" w:cs="Times New Roman"/>
          <w:sz w:val="24"/>
          <w:szCs w:val="24"/>
        </w:rPr>
        <w:t>World olive oil and table olive figures</w:t>
      </w:r>
      <w:r>
        <w:rPr>
          <w:rFonts w:ascii="Times New Roman" w:hAnsi="Times New Roman" w:cs="Times New Roman"/>
          <w:sz w:val="24"/>
          <w:szCs w:val="24"/>
        </w:rPr>
        <w:t>.</w:t>
      </w:r>
      <w:r w:rsidRPr="00307BCC">
        <w:rPr>
          <w:rFonts w:ascii="Times New Roman" w:hAnsi="Times New Roman" w:cs="Times New Roman"/>
          <w:sz w:val="24"/>
          <w:szCs w:val="24"/>
        </w:rPr>
        <w:t xml:space="preserve"> Retrieved from: http://www.internationaloliveoil.org/estaticos/view/131-world-olive-oil-figures.  </w:t>
      </w:r>
    </w:p>
    <w:p w14:paraId="0247BE3F" w14:textId="2A7F8394" w:rsidR="00635913" w:rsidRDefault="00635913" w:rsidP="005A0420">
      <w:pPr>
        <w:spacing w:line="240" w:lineRule="auto"/>
        <w:jc w:val="both"/>
        <w:rPr>
          <w:rFonts w:ascii="Times New Roman" w:hAnsi="Times New Roman" w:cs="Times New Roman"/>
          <w:sz w:val="24"/>
          <w:szCs w:val="24"/>
        </w:rPr>
      </w:pPr>
      <w:r w:rsidRPr="00635913">
        <w:rPr>
          <w:rFonts w:ascii="Times New Roman" w:hAnsi="Times New Roman" w:cs="Times New Roman"/>
          <w:sz w:val="24"/>
          <w:szCs w:val="24"/>
        </w:rPr>
        <w:t>Curran, M. A. (2016). Goal and Scope Definition in Life Cycle Assessment, Springer. https://doi.org/10.1007/978-94-024-0855-3</w:t>
      </w:r>
    </w:p>
    <w:p w14:paraId="77A53A54" w14:textId="5DBEF848" w:rsidR="00877446" w:rsidRPr="00A14B7B" w:rsidRDefault="00877446" w:rsidP="005A0420">
      <w:pPr>
        <w:spacing w:line="240" w:lineRule="auto"/>
        <w:jc w:val="both"/>
        <w:rPr>
          <w:rFonts w:ascii="Times New Roman" w:hAnsi="Times New Roman" w:cs="Times New Roman"/>
          <w:sz w:val="24"/>
          <w:szCs w:val="24"/>
          <w:lang w:val="it-IT"/>
        </w:rPr>
      </w:pPr>
      <w:r w:rsidRPr="00877446">
        <w:rPr>
          <w:rFonts w:ascii="Times New Roman" w:hAnsi="Times New Roman" w:cs="Times New Roman"/>
          <w:sz w:val="24"/>
          <w:szCs w:val="24"/>
        </w:rPr>
        <w:t>Daly, H. E., Farley, J. (2004)</w:t>
      </w:r>
      <w:r>
        <w:rPr>
          <w:rFonts w:ascii="Times New Roman" w:hAnsi="Times New Roman" w:cs="Times New Roman"/>
          <w:sz w:val="24"/>
          <w:szCs w:val="24"/>
        </w:rPr>
        <w:t>.</w:t>
      </w:r>
      <w:r w:rsidRPr="00877446">
        <w:rPr>
          <w:rFonts w:ascii="Times New Roman" w:hAnsi="Times New Roman" w:cs="Times New Roman"/>
          <w:sz w:val="24"/>
          <w:szCs w:val="24"/>
        </w:rPr>
        <w:t xml:space="preserve"> </w:t>
      </w:r>
      <w:r w:rsidRPr="00A14B7B">
        <w:rPr>
          <w:rFonts w:ascii="Times New Roman" w:hAnsi="Times New Roman" w:cs="Times New Roman"/>
          <w:sz w:val="24"/>
          <w:szCs w:val="24"/>
          <w:lang w:val="it-IT"/>
        </w:rPr>
        <w:t>Ecological Economics: Principles and Applications. 2nd ed.</w:t>
      </w:r>
    </w:p>
    <w:p w14:paraId="2F39D3E9" w14:textId="65AB4C91" w:rsidR="006A2A77" w:rsidRPr="00A14B7B" w:rsidRDefault="006A2A77" w:rsidP="005A0420">
      <w:pPr>
        <w:spacing w:line="240" w:lineRule="auto"/>
        <w:jc w:val="both"/>
        <w:rPr>
          <w:rFonts w:ascii="Times New Roman" w:hAnsi="Times New Roman" w:cs="Times New Roman"/>
          <w:sz w:val="24"/>
          <w:szCs w:val="24"/>
          <w:lang w:val="it-IT"/>
        </w:rPr>
      </w:pPr>
      <w:r w:rsidRPr="00A14B7B">
        <w:rPr>
          <w:rFonts w:ascii="Times New Roman" w:hAnsi="Times New Roman" w:cs="Times New Roman"/>
          <w:sz w:val="24"/>
          <w:szCs w:val="24"/>
          <w:lang w:val="it-IT"/>
        </w:rPr>
        <w:t xml:space="preserve">De Gennaro, B., Notarnicola, B., Roselli, L., Tassielli, G. (2012). </w:t>
      </w:r>
      <w:r w:rsidRPr="005A0420">
        <w:rPr>
          <w:rFonts w:ascii="Times New Roman" w:hAnsi="Times New Roman" w:cs="Times New Roman"/>
          <w:sz w:val="24"/>
          <w:szCs w:val="24"/>
        </w:rPr>
        <w:t xml:space="preserve">Innovative olive-growing models: an environmental and economic assessment. </w:t>
      </w:r>
      <w:r w:rsidRPr="00BC70A2">
        <w:rPr>
          <w:rFonts w:ascii="Times New Roman" w:hAnsi="Times New Roman" w:cs="Times New Roman"/>
          <w:i/>
          <w:iCs/>
          <w:sz w:val="24"/>
          <w:szCs w:val="24"/>
        </w:rPr>
        <w:t>Journal of Cleaner Production</w:t>
      </w:r>
      <w:r w:rsidRPr="005A0420">
        <w:rPr>
          <w:rFonts w:ascii="Times New Roman" w:hAnsi="Times New Roman" w:cs="Times New Roman"/>
          <w:sz w:val="24"/>
          <w:szCs w:val="24"/>
        </w:rPr>
        <w:t xml:space="preserve">, 28, 70-80. </w:t>
      </w:r>
      <w:r w:rsidRPr="00A14B7B">
        <w:rPr>
          <w:rFonts w:ascii="Times New Roman" w:hAnsi="Times New Roman" w:cs="Times New Roman"/>
          <w:sz w:val="24"/>
          <w:szCs w:val="24"/>
          <w:lang w:val="it-IT"/>
        </w:rPr>
        <w:t>ISSN 0959-6526. https://doi.org/10.1016/j.jclepro.2011.11.004.</w:t>
      </w:r>
    </w:p>
    <w:p w14:paraId="5883656A" w14:textId="5D272CB5" w:rsidR="006A2A77" w:rsidRPr="00A14B7B" w:rsidRDefault="006A2A77" w:rsidP="005A0420">
      <w:pPr>
        <w:spacing w:line="240" w:lineRule="auto"/>
        <w:jc w:val="both"/>
        <w:rPr>
          <w:rFonts w:ascii="Times New Roman" w:hAnsi="Times New Roman" w:cs="Times New Roman"/>
          <w:sz w:val="24"/>
          <w:szCs w:val="24"/>
          <w:lang w:val="it-IT"/>
        </w:rPr>
      </w:pPr>
      <w:r w:rsidRPr="00A14B7B">
        <w:rPr>
          <w:rFonts w:ascii="Times New Roman" w:hAnsi="Times New Roman" w:cs="Times New Roman"/>
          <w:sz w:val="24"/>
          <w:szCs w:val="24"/>
          <w:lang w:val="it-IT"/>
        </w:rPr>
        <w:lastRenderedPageBreak/>
        <w:t xml:space="preserve">De Luca, A. I., Falcone, G., Iofrida, N. Stillitano, T., Strano, A. Gulisano, G. (2015a). Life Cycle Methodologies to Improve Agri-Food Systems Sustainability. </w:t>
      </w:r>
      <w:r w:rsidRPr="00A14B7B">
        <w:rPr>
          <w:rFonts w:ascii="Times New Roman" w:hAnsi="Times New Roman" w:cs="Times New Roman"/>
          <w:i/>
          <w:iCs/>
          <w:sz w:val="24"/>
          <w:szCs w:val="24"/>
          <w:lang w:val="it-IT"/>
        </w:rPr>
        <w:t>Rivista di Studi Sulla Sostenibilitá</w:t>
      </w:r>
      <w:r w:rsidR="00BC70A2" w:rsidRPr="00A14B7B">
        <w:rPr>
          <w:rFonts w:ascii="Times New Roman" w:hAnsi="Times New Roman" w:cs="Times New Roman"/>
          <w:sz w:val="24"/>
          <w:szCs w:val="24"/>
          <w:lang w:val="it-IT"/>
        </w:rPr>
        <w:t xml:space="preserve">. </w:t>
      </w:r>
      <w:r w:rsidRPr="00A14B7B">
        <w:rPr>
          <w:rFonts w:ascii="Times New Roman" w:hAnsi="Times New Roman" w:cs="Times New Roman"/>
          <w:sz w:val="24"/>
          <w:szCs w:val="24"/>
          <w:lang w:val="it-IT"/>
        </w:rPr>
        <w:t>1, 135-150. 10.3280/RISS2015- 001009.</w:t>
      </w:r>
    </w:p>
    <w:p w14:paraId="43D67032" w14:textId="406B4BD0" w:rsidR="006A2A77" w:rsidRPr="00C90A6A" w:rsidRDefault="006A2A77" w:rsidP="005A0420">
      <w:pPr>
        <w:spacing w:line="240" w:lineRule="auto"/>
        <w:jc w:val="both"/>
        <w:rPr>
          <w:rFonts w:ascii="Times New Roman" w:hAnsi="Times New Roman" w:cs="Times New Roman"/>
          <w:sz w:val="24"/>
          <w:szCs w:val="24"/>
        </w:rPr>
      </w:pPr>
      <w:r w:rsidRPr="00A14B7B">
        <w:rPr>
          <w:rFonts w:ascii="Times New Roman" w:hAnsi="Times New Roman" w:cs="Times New Roman"/>
          <w:sz w:val="24"/>
          <w:szCs w:val="24"/>
          <w:lang w:val="it-IT"/>
        </w:rPr>
        <w:t xml:space="preserve">De Luca A. I., Iofrida N, Strano A, Falcone G, Gulisano G. (2015b). </w:t>
      </w:r>
      <w:r w:rsidRPr="005A0420">
        <w:rPr>
          <w:rFonts w:ascii="Times New Roman" w:hAnsi="Times New Roman" w:cs="Times New Roman"/>
          <w:sz w:val="24"/>
          <w:szCs w:val="24"/>
        </w:rPr>
        <w:t xml:space="preserve">Social life cycle assessment and participatory approaches: a methodological proposal applied to citrus farming in Southern Italy. </w:t>
      </w:r>
      <w:r w:rsidRPr="00C90A6A">
        <w:rPr>
          <w:rFonts w:ascii="Times New Roman" w:hAnsi="Times New Roman" w:cs="Times New Roman"/>
          <w:i/>
          <w:iCs/>
          <w:sz w:val="24"/>
          <w:szCs w:val="24"/>
        </w:rPr>
        <w:t>Integr</w:t>
      </w:r>
      <w:r w:rsidR="00BC70A2" w:rsidRPr="00C90A6A">
        <w:rPr>
          <w:rFonts w:ascii="Times New Roman" w:hAnsi="Times New Roman" w:cs="Times New Roman"/>
          <w:i/>
          <w:iCs/>
          <w:sz w:val="24"/>
          <w:szCs w:val="24"/>
        </w:rPr>
        <w:t>ated</w:t>
      </w:r>
      <w:r w:rsidRPr="00C90A6A">
        <w:rPr>
          <w:rFonts w:ascii="Times New Roman" w:hAnsi="Times New Roman" w:cs="Times New Roman"/>
          <w:i/>
          <w:iCs/>
          <w:sz w:val="24"/>
          <w:szCs w:val="24"/>
        </w:rPr>
        <w:t xml:space="preserve"> Environ</w:t>
      </w:r>
      <w:r w:rsidR="00BC70A2" w:rsidRPr="00C90A6A">
        <w:rPr>
          <w:rFonts w:ascii="Times New Roman" w:hAnsi="Times New Roman" w:cs="Times New Roman"/>
          <w:i/>
          <w:iCs/>
          <w:sz w:val="24"/>
          <w:szCs w:val="24"/>
        </w:rPr>
        <w:t>mental</w:t>
      </w:r>
      <w:r w:rsidRPr="00C90A6A">
        <w:rPr>
          <w:rFonts w:ascii="Times New Roman" w:hAnsi="Times New Roman" w:cs="Times New Roman"/>
          <w:i/>
          <w:iCs/>
          <w:sz w:val="24"/>
          <w:szCs w:val="24"/>
        </w:rPr>
        <w:t xml:space="preserve"> Assess</w:t>
      </w:r>
      <w:r w:rsidR="00BC70A2" w:rsidRPr="00C90A6A">
        <w:rPr>
          <w:rFonts w:ascii="Times New Roman" w:hAnsi="Times New Roman" w:cs="Times New Roman"/>
          <w:i/>
          <w:iCs/>
          <w:sz w:val="24"/>
          <w:szCs w:val="24"/>
        </w:rPr>
        <w:t>ment and</w:t>
      </w:r>
      <w:r w:rsidRPr="00C90A6A">
        <w:rPr>
          <w:rFonts w:ascii="Times New Roman" w:hAnsi="Times New Roman" w:cs="Times New Roman"/>
          <w:i/>
          <w:iCs/>
          <w:sz w:val="24"/>
          <w:szCs w:val="24"/>
        </w:rPr>
        <w:t xml:space="preserve"> Manag</w:t>
      </w:r>
      <w:r w:rsidR="00BC70A2" w:rsidRPr="00C90A6A">
        <w:rPr>
          <w:rFonts w:ascii="Times New Roman" w:hAnsi="Times New Roman" w:cs="Times New Roman"/>
          <w:i/>
          <w:iCs/>
          <w:sz w:val="24"/>
          <w:szCs w:val="24"/>
        </w:rPr>
        <w:t>ement</w:t>
      </w:r>
      <w:r w:rsidR="00BC70A2" w:rsidRPr="00C90A6A">
        <w:rPr>
          <w:rFonts w:ascii="Times New Roman" w:hAnsi="Times New Roman" w:cs="Times New Roman"/>
          <w:sz w:val="24"/>
          <w:szCs w:val="24"/>
        </w:rPr>
        <w:t>.</w:t>
      </w:r>
      <w:r w:rsidRPr="00C90A6A">
        <w:rPr>
          <w:rFonts w:ascii="Times New Roman" w:hAnsi="Times New Roman" w:cs="Times New Roman"/>
          <w:sz w:val="24"/>
          <w:szCs w:val="24"/>
        </w:rPr>
        <w:t xml:space="preserve"> 11(3):383–396</w:t>
      </w:r>
      <w:r w:rsidR="005A0420" w:rsidRPr="00C90A6A">
        <w:rPr>
          <w:rFonts w:ascii="Times New Roman" w:hAnsi="Times New Roman" w:cs="Times New Roman"/>
          <w:sz w:val="24"/>
          <w:szCs w:val="24"/>
        </w:rPr>
        <w:t>.</w:t>
      </w:r>
    </w:p>
    <w:p w14:paraId="149AFC18" w14:textId="44DEAF75" w:rsidR="006A2A77" w:rsidRPr="005A0420" w:rsidRDefault="006A2A77" w:rsidP="005A0420">
      <w:pPr>
        <w:spacing w:line="240" w:lineRule="auto"/>
        <w:jc w:val="both"/>
        <w:rPr>
          <w:rFonts w:ascii="Times New Roman" w:hAnsi="Times New Roman" w:cs="Times New Roman"/>
          <w:sz w:val="24"/>
          <w:szCs w:val="24"/>
        </w:rPr>
      </w:pPr>
      <w:bookmarkStart w:id="0" w:name="_Hlk79404205"/>
      <w:r w:rsidRPr="007A5753">
        <w:rPr>
          <w:rFonts w:ascii="Times New Roman" w:hAnsi="Times New Roman" w:cs="Times New Roman"/>
          <w:sz w:val="24"/>
          <w:szCs w:val="24"/>
          <w:lang w:val="it-IT"/>
        </w:rPr>
        <w:t xml:space="preserve">De Luca, A. I. </w:t>
      </w:r>
      <w:proofErr w:type="gramStart"/>
      <w:r w:rsidRPr="007A5753">
        <w:rPr>
          <w:rFonts w:ascii="Times New Roman" w:hAnsi="Times New Roman" w:cs="Times New Roman"/>
          <w:sz w:val="24"/>
          <w:szCs w:val="24"/>
          <w:lang w:val="it-IT"/>
        </w:rPr>
        <w:t>Iofrida,N.</w:t>
      </w:r>
      <w:proofErr w:type="gramEnd"/>
      <w:r w:rsidRPr="007A5753">
        <w:rPr>
          <w:rFonts w:ascii="Times New Roman" w:hAnsi="Times New Roman" w:cs="Times New Roman"/>
          <w:sz w:val="24"/>
          <w:szCs w:val="24"/>
          <w:lang w:val="it-IT"/>
        </w:rPr>
        <w:t xml:space="preserve"> Leskinen, P. Stillitano, T. Falcone, G. Strano, A. Gulisano, G. (2017). </w:t>
      </w:r>
      <w:r w:rsidRPr="005A0420">
        <w:rPr>
          <w:rFonts w:ascii="Times New Roman" w:hAnsi="Times New Roman" w:cs="Times New Roman"/>
          <w:sz w:val="24"/>
          <w:szCs w:val="24"/>
        </w:rPr>
        <w:t xml:space="preserve">Life Cycle tools combined with multi-criteria and participatory methods for agricultural sustainability: Insights from a systematic and critical review. </w:t>
      </w:r>
      <w:r w:rsidRPr="00BC70A2">
        <w:rPr>
          <w:rFonts w:ascii="Times New Roman" w:hAnsi="Times New Roman" w:cs="Times New Roman"/>
          <w:i/>
          <w:iCs/>
          <w:sz w:val="24"/>
          <w:szCs w:val="24"/>
        </w:rPr>
        <w:t>Science of The Total Environmental</w:t>
      </w:r>
      <w:r w:rsidR="00BC70A2" w:rsidRPr="00BC70A2">
        <w:rPr>
          <w:rFonts w:ascii="Times New Roman" w:hAnsi="Times New Roman" w:cs="Times New Roman"/>
          <w:i/>
          <w:iCs/>
          <w:sz w:val="24"/>
          <w:szCs w:val="24"/>
        </w:rPr>
        <w:t>.</w:t>
      </w:r>
      <w:r w:rsidRPr="005A0420">
        <w:rPr>
          <w:rFonts w:ascii="Times New Roman" w:hAnsi="Times New Roman" w:cs="Times New Roman"/>
          <w:sz w:val="24"/>
          <w:szCs w:val="24"/>
        </w:rPr>
        <w:t xml:space="preserve"> 595, 352-370. Retrieved from https://www.sciencedirect.com/science/article/pii/S004896971730815X</w:t>
      </w:r>
      <w:bookmarkEnd w:id="0"/>
      <w:r w:rsidR="005A0420">
        <w:rPr>
          <w:rFonts w:ascii="Times New Roman" w:hAnsi="Times New Roman" w:cs="Times New Roman"/>
          <w:sz w:val="24"/>
          <w:szCs w:val="24"/>
        </w:rPr>
        <w:t>.</w:t>
      </w:r>
    </w:p>
    <w:p w14:paraId="7D484F6F" w14:textId="127C3018" w:rsidR="00772BD3" w:rsidRPr="00A14B7B" w:rsidRDefault="00772BD3" w:rsidP="00772BD3">
      <w:pPr>
        <w:spacing w:line="240" w:lineRule="auto"/>
        <w:jc w:val="both"/>
        <w:rPr>
          <w:rFonts w:ascii="Times New Roman" w:hAnsi="Times New Roman" w:cs="Times New Roman"/>
          <w:sz w:val="24"/>
          <w:szCs w:val="24"/>
          <w:lang w:val="es-ES"/>
        </w:rPr>
      </w:pPr>
      <w:r w:rsidRPr="00A14B7B">
        <w:rPr>
          <w:rFonts w:ascii="Times New Roman" w:hAnsi="Times New Roman" w:cs="Times New Roman"/>
          <w:sz w:val="24"/>
          <w:szCs w:val="24"/>
          <w:lang w:val="it-IT"/>
        </w:rPr>
        <w:t xml:space="preserve">De Luca A.I., Falcone G., Stillitano T., Iofrida N., Strano A., Gulisano G. (2018). </w:t>
      </w:r>
      <w:r w:rsidRPr="0088447C">
        <w:rPr>
          <w:rFonts w:ascii="Times New Roman" w:hAnsi="Times New Roman" w:cs="Times New Roman"/>
          <w:sz w:val="24"/>
          <w:szCs w:val="24"/>
        </w:rPr>
        <w:t xml:space="preserve">Evaluation of sustainable innovations in olive growing systems: A Life Cycle Sustainability Assessment case study in southern Italy. </w:t>
      </w:r>
      <w:r w:rsidRPr="00A14B7B">
        <w:rPr>
          <w:rFonts w:ascii="Times New Roman" w:hAnsi="Times New Roman" w:cs="Times New Roman"/>
          <w:i/>
          <w:iCs/>
          <w:sz w:val="24"/>
          <w:szCs w:val="24"/>
          <w:lang w:val="es-ES"/>
        </w:rPr>
        <w:t>Journal of Cleaner Production</w:t>
      </w:r>
      <w:r w:rsidRPr="00A14B7B">
        <w:rPr>
          <w:rFonts w:ascii="Times New Roman" w:hAnsi="Times New Roman" w:cs="Times New Roman"/>
          <w:sz w:val="24"/>
          <w:szCs w:val="24"/>
          <w:lang w:val="es-ES"/>
        </w:rPr>
        <w:t>, 171: 1187-1202</w:t>
      </w:r>
    </w:p>
    <w:p w14:paraId="18C5D49A" w14:textId="78B47AAB" w:rsidR="006A2A77" w:rsidRDefault="006A2A77" w:rsidP="005A0420">
      <w:pPr>
        <w:spacing w:line="240" w:lineRule="auto"/>
        <w:jc w:val="both"/>
        <w:rPr>
          <w:rFonts w:ascii="Times New Roman" w:hAnsi="Times New Roman" w:cs="Times New Roman"/>
          <w:sz w:val="24"/>
          <w:szCs w:val="24"/>
        </w:rPr>
      </w:pPr>
      <w:r w:rsidRPr="00A14B7B">
        <w:rPr>
          <w:rFonts w:ascii="Times New Roman" w:hAnsi="Times New Roman" w:cs="Times New Roman"/>
          <w:sz w:val="24"/>
          <w:szCs w:val="24"/>
          <w:lang w:val="es-ES"/>
        </w:rPr>
        <w:t>De Luca A. I., González de Molina, M., Falcone G., Iofrida N. Gulisano G., García-Ruíz R. (2021</w:t>
      </w:r>
      <w:r w:rsidR="00E56106" w:rsidRPr="00A14B7B">
        <w:rPr>
          <w:rFonts w:ascii="Times New Roman" w:hAnsi="Times New Roman" w:cs="Times New Roman"/>
          <w:sz w:val="24"/>
          <w:szCs w:val="24"/>
          <w:lang w:val="es-ES"/>
        </w:rPr>
        <w:t>a</w:t>
      </w:r>
      <w:r w:rsidRPr="00A14B7B">
        <w:rPr>
          <w:rFonts w:ascii="Times New Roman" w:hAnsi="Times New Roman" w:cs="Times New Roman"/>
          <w:sz w:val="24"/>
          <w:szCs w:val="24"/>
          <w:lang w:val="es-ES"/>
        </w:rPr>
        <w:t xml:space="preserve">). </w:t>
      </w:r>
      <w:r w:rsidRPr="005A0420">
        <w:rPr>
          <w:rFonts w:ascii="Times New Roman" w:hAnsi="Times New Roman" w:cs="Times New Roman"/>
          <w:sz w:val="24"/>
          <w:szCs w:val="24"/>
        </w:rPr>
        <w:t xml:space="preserve">How to evaluate the sustainable of agroecology practices in Mediterranean olive </w:t>
      </w:r>
      <w:proofErr w:type="spellStart"/>
      <w:r w:rsidRPr="005A0420">
        <w:rPr>
          <w:rFonts w:ascii="Times New Roman" w:hAnsi="Times New Roman" w:cs="Times New Roman"/>
          <w:sz w:val="24"/>
          <w:szCs w:val="24"/>
        </w:rPr>
        <w:t>gorwing</w:t>
      </w:r>
      <w:proofErr w:type="spellEnd"/>
      <w:r w:rsidRPr="005A0420">
        <w:rPr>
          <w:rFonts w:ascii="Times New Roman" w:hAnsi="Times New Roman" w:cs="Times New Roman"/>
          <w:sz w:val="24"/>
          <w:szCs w:val="24"/>
        </w:rPr>
        <w:t xml:space="preserve">? A methodological framework merging the socio-metabolic approach and life cycle methodologies. </w:t>
      </w:r>
      <w:r w:rsidR="00E56106">
        <w:rPr>
          <w:rFonts w:ascii="Times New Roman" w:hAnsi="Times New Roman" w:cs="Times New Roman"/>
          <w:sz w:val="24"/>
          <w:szCs w:val="24"/>
        </w:rPr>
        <w:t xml:space="preserve">Proceedings </w:t>
      </w:r>
      <w:r w:rsidRPr="005A0420">
        <w:rPr>
          <w:rFonts w:ascii="Times New Roman" w:hAnsi="Times New Roman" w:cs="Times New Roman"/>
          <w:sz w:val="24"/>
          <w:szCs w:val="24"/>
        </w:rPr>
        <w:t xml:space="preserve">LVII </w:t>
      </w:r>
      <w:r w:rsidR="00E56106">
        <w:rPr>
          <w:rFonts w:ascii="Times New Roman" w:hAnsi="Times New Roman" w:cs="Times New Roman"/>
          <w:sz w:val="24"/>
          <w:szCs w:val="24"/>
        </w:rPr>
        <w:t xml:space="preserve">Conference Italian Society of Agricultural Economics, September 18, </w:t>
      </w:r>
      <w:r w:rsidRPr="005A0420">
        <w:rPr>
          <w:rFonts w:ascii="Times New Roman" w:hAnsi="Times New Roman" w:cs="Times New Roman"/>
          <w:sz w:val="24"/>
          <w:szCs w:val="24"/>
        </w:rPr>
        <w:t>Bologna</w:t>
      </w:r>
      <w:r w:rsidR="00E56106">
        <w:rPr>
          <w:rFonts w:ascii="Times New Roman" w:hAnsi="Times New Roman" w:cs="Times New Roman"/>
          <w:sz w:val="24"/>
          <w:szCs w:val="24"/>
        </w:rPr>
        <w:t>, Italy</w:t>
      </w:r>
      <w:r w:rsidRPr="005A0420">
        <w:rPr>
          <w:rFonts w:ascii="Times New Roman" w:hAnsi="Times New Roman" w:cs="Times New Roman"/>
          <w:sz w:val="24"/>
          <w:szCs w:val="24"/>
        </w:rPr>
        <w:t xml:space="preserve">. </w:t>
      </w:r>
    </w:p>
    <w:p w14:paraId="6AFE8688" w14:textId="2B929F72" w:rsidR="00E56106" w:rsidRPr="005A0420" w:rsidRDefault="00E56106" w:rsidP="00E56106">
      <w:pPr>
        <w:spacing w:line="240" w:lineRule="auto"/>
        <w:jc w:val="both"/>
        <w:rPr>
          <w:rFonts w:ascii="Times New Roman" w:hAnsi="Times New Roman" w:cs="Times New Roman"/>
          <w:sz w:val="24"/>
          <w:szCs w:val="24"/>
        </w:rPr>
      </w:pPr>
      <w:r w:rsidRPr="007A5753">
        <w:rPr>
          <w:rFonts w:ascii="Times New Roman" w:hAnsi="Times New Roman" w:cs="Times New Roman"/>
          <w:sz w:val="24"/>
          <w:szCs w:val="24"/>
          <w:lang w:val="es-ES"/>
        </w:rPr>
        <w:t xml:space="preserve">De Luca A. I., González de Molina, M., Falcone G., Iofrida N. Gulisano G., García-Ruíz R. (2021b). </w:t>
      </w:r>
      <w:r w:rsidRPr="00E56106">
        <w:rPr>
          <w:rFonts w:ascii="Times New Roman" w:hAnsi="Times New Roman" w:cs="Times New Roman"/>
          <w:sz w:val="24"/>
          <w:szCs w:val="24"/>
        </w:rPr>
        <w:t>Life Cycle Methodologies and Social Agrarian Metabolism Approach to assess</w:t>
      </w:r>
      <w:r>
        <w:rPr>
          <w:rFonts w:ascii="Times New Roman" w:hAnsi="Times New Roman" w:cs="Times New Roman"/>
          <w:sz w:val="24"/>
          <w:szCs w:val="24"/>
        </w:rPr>
        <w:t xml:space="preserve"> </w:t>
      </w:r>
      <w:r w:rsidRPr="00E56106">
        <w:rPr>
          <w:rFonts w:ascii="Times New Roman" w:hAnsi="Times New Roman" w:cs="Times New Roman"/>
          <w:sz w:val="24"/>
          <w:szCs w:val="24"/>
        </w:rPr>
        <w:t>Agroecology Practices in Mediterranean Olive Growing: A Methodological</w:t>
      </w:r>
      <w:r>
        <w:rPr>
          <w:rFonts w:ascii="Times New Roman" w:hAnsi="Times New Roman" w:cs="Times New Roman"/>
          <w:sz w:val="24"/>
          <w:szCs w:val="24"/>
        </w:rPr>
        <w:t xml:space="preserve"> </w:t>
      </w:r>
      <w:r w:rsidRPr="00E56106">
        <w:rPr>
          <w:rFonts w:ascii="Times New Roman" w:hAnsi="Times New Roman" w:cs="Times New Roman"/>
          <w:sz w:val="24"/>
          <w:szCs w:val="24"/>
        </w:rPr>
        <w:t>Framework in the International “Sustainolive” Project</w:t>
      </w:r>
      <w:r>
        <w:rPr>
          <w:rFonts w:ascii="Times New Roman" w:hAnsi="Times New Roman" w:cs="Times New Roman"/>
          <w:sz w:val="24"/>
          <w:szCs w:val="24"/>
        </w:rPr>
        <w:t xml:space="preserve">. </w:t>
      </w:r>
      <w:proofErr w:type="gramStart"/>
      <w:r>
        <w:rPr>
          <w:rFonts w:ascii="Times New Roman" w:hAnsi="Times New Roman" w:cs="Times New Roman"/>
          <w:sz w:val="24"/>
          <w:szCs w:val="24"/>
        </w:rPr>
        <w:t>Proceedings</w:t>
      </w:r>
      <w:proofErr w:type="gramEnd"/>
      <w:r>
        <w:rPr>
          <w:rFonts w:ascii="Times New Roman" w:hAnsi="Times New Roman" w:cs="Times New Roman"/>
          <w:sz w:val="24"/>
          <w:szCs w:val="24"/>
        </w:rPr>
        <w:t xml:space="preserve"> 10</w:t>
      </w:r>
      <w:r w:rsidRPr="0088447C">
        <w:rPr>
          <w:rFonts w:ascii="Times New Roman" w:hAnsi="Times New Roman" w:cs="Times New Roman"/>
          <w:sz w:val="24"/>
          <w:szCs w:val="24"/>
          <w:vertAlign w:val="superscript"/>
        </w:rPr>
        <w:t>th</w:t>
      </w:r>
      <w:r>
        <w:rPr>
          <w:rFonts w:ascii="Times New Roman" w:hAnsi="Times New Roman" w:cs="Times New Roman"/>
          <w:sz w:val="24"/>
          <w:szCs w:val="24"/>
        </w:rPr>
        <w:t xml:space="preserve"> LCA Italian Network Conference, </w:t>
      </w:r>
      <w:r w:rsidRPr="00E56106">
        <w:rPr>
          <w:rFonts w:ascii="Times New Roman" w:hAnsi="Times New Roman" w:cs="Times New Roman"/>
          <w:sz w:val="24"/>
          <w:szCs w:val="24"/>
        </w:rPr>
        <w:t>Se</w:t>
      </w:r>
      <w:r>
        <w:rPr>
          <w:rFonts w:ascii="Times New Roman" w:hAnsi="Times New Roman" w:cs="Times New Roman"/>
          <w:sz w:val="24"/>
          <w:szCs w:val="24"/>
        </w:rPr>
        <w:t>ptember</w:t>
      </w:r>
      <w:r w:rsidRPr="00E56106">
        <w:rPr>
          <w:rFonts w:ascii="Times New Roman" w:hAnsi="Times New Roman" w:cs="Times New Roman"/>
          <w:sz w:val="24"/>
          <w:szCs w:val="24"/>
        </w:rPr>
        <w:t xml:space="preserve"> 30,</w:t>
      </w:r>
      <w:r>
        <w:rPr>
          <w:rFonts w:ascii="Times New Roman" w:hAnsi="Times New Roman" w:cs="Times New Roman"/>
          <w:sz w:val="24"/>
          <w:szCs w:val="24"/>
        </w:rPr>
        <w:t xml:space="preserve"> Reggio Calabria, Italy. </w:t>
      </w:r>
    </w:p>
    <w:p w14:paraId="03FC287B" w14:textId="77777777" w:rsidR="00111CC1" w:rsidRPr="00111CC1" w:rsidRDefault="00111CC1" w:rsidP="00111CC1">
      <w:pPr>
        <w:spacing w:after="0" w:line="240" w:lineRule="auto"/>
        <w:jc w:val="both"/>
        <w:rPr>
          <w:rStyle w:val="Fontepargpadro1"/>
          <w:rFonts w:ascii="Times New Roman" w:hAnsi="Times New Roman" w:cs="Times New Roman"/>
          <w:sz w:val="24"/>
          <w:szCs w:val="24"/>
        </w:rPr>
      </w:pPr>
      <w:r w:rsidRPr="00111CC1">
        <w:rPr>
          <w:rStyle w:val="Fontepargpadro1"/>
          <w:rFonts w:ascii="Times New Roman" w:hAnsi="Times New Roman" w:cs="Times New Roman"/>
          <w:sz w:val="24"/>
          <w:szCs w:val="24"/>
        </w:rPr>
        <w:t xml:space="preserve">European </w:t>
      </w:r>
      <w:proofErr w:type="spellStart"/>
      <w:r w:rsidRPr="00111CC1">
        <w:rPr>
          <w:rStyle w:val="Fontepargpadro1"/>
          <w:rFonts w:ascii="Times New Roman" w:hAnsi="Times New Roman" w:cs="Times New Roman"/>
          <w:sz w:val="24"/>
          <w:szCs w:val="24"/>
        </w:rPr>
        <w:t>Comission</w:t>
      </w:r>
      <w:proofErr w:type="spellEnd"/>
      <w:r w:rsidRPr="00111CC1">
        <w:rPr>
          <w:rStyle w:val="Fontepargpadro1"/>
          <w:rFonts w:ascii="Times New Roman" w:hAnsi="Times New Roman" w:cs="Times New Roman"/>
          <w:sz w:val="24"/>
          <w:szCs w:val="24"/>
        </w:rPr>
        <w:t>. (2021). Sustainable land use (greening):</w:t>
      </w:r>
    </w:p>
    <w:p w14:paraId="3E5E09FF" w14:textId="41EEBB01" w:rsidR="00E84633" w:rsidRDefault="00111CC1" w:rsidP="00111CC1">
      <w:pPr>
        <w:spacing w:after="0" w:line="240" w:lineRule="auto"/>
        <w:jc w:val="both"/>
        <w:rPr>
          <w:rStyle w:val="Fontepargpadro1"/>
          <w:rFonts w:ascii="Times New Roman" w:hAnsi="Times New Roman" w:cs="Times New Roman"/>
          <w:sz w:val="24"/>
          <w:szCs w:val="24"/>
        </w:rPr>
      </w:pPr>
      <w:r w:rsidRPr="00111CC1">
        <w:rPr>
          <w:rStyle w:val="Fontepargpadro1"/>
          <w:rFonts w:ascii="Times New Roman" w:hAnsi="Times New Roman" w:cs="Times New Roman"/>
          <w:sz w:val="24"/>
          <w:szCs w:val="24"/>
        </w:rPr>
        <w:t>Sustainable use of farmland and how this benefits farmers financially. Retrieved from https://ec.europa.eu/info/food-farming-fisheries/key-policies/common-agricultural-policy/income-support/greening_en</w:t>
      </w:r>
    </w:p>
    <w:p w14:paraId="3EC7D981" w14:textId="77777777" w:rsidR="00111CC1" w:rsidRDefault="00111CC1" w:rsidP="00111CC1">
      <w:pPr>
        <w:spacing w:after="0" w:line="240" w:lineRule="auto"/>
        <w:jc w:val="both"/>
        <w:rPr>
          <w:rStyle w:val="Fontepargpadro1"/>
          <w:rFonts w:ascii="Times New Roman" w:hAnsi="Times New Roman" w:cs="Times New Roman"/>
          <w:sz w:val="24"/>
          <w:szCs w:val="24"/>
        </w:rPr>
      </w:pPr>
    </w:p>
    <w:p w14:paraId="0A9DBE06" w14:textId="77777777" w:rsidR="005A7B5D" w:rsidRDefault="005A7B5D" w:rsidP="005A0420">
      <w:pPr>
        <w:spacing w:after="0" w:line="240" w:lineRule="auto"/>
        <w:jc w:val="both"/>
        <w:rPr>
          <w:rStyle w:val="Fontepargpadro1"/>
          <w:rFonts w:ascii="Times New Roman" w:hAnsi="Times New Roman" w:cs="Times New Roman"/>
          <w:sz w:val="24"/>
          <w:szCs w:val="24"/>
        </w:rPr>
      </w:pPr>
      <w:r w:rsidRPr="005A7B5D">
        <w:rPr>
          <w:rStyle w:val="Fontepargpadro1"/>
          <w:rFonts w:ascii="Times New Roman" w:hAnsi="Times New Roman" w:cs="Times New Roman"/>
          <w:sz w:val="24"/>
          <w:szCs w:val="24"/>
        </w:rPr>
        <w:t xml:space="preserve">FAOSTAT. (2017).  Food and Agriculture Organization of the United Nations. Retrieved from http://faostat.fao.org </w:t>
      </w:r>
    </w:p>
    <w:p w14:paraId="55A7200E" w14:textId="77777777" w:rsidR="005A7B5D" w:rsidRDefault="005A7B5D" w:rsidP="005A0420">
      <w:pPr>
        <w:spacing w:after="0" w:line="240" w:lineRule="auto"/>
        <w:jc w:val="both"/>
        <w:rPr>
          <w:rStyle w:val="Fontepargpadro1"/>
          <w:rFonts w:ascii="Times New Roman" w:hAnsi="Times New Roman" w:cs="Times New Roman"/>
          <w:sz w:val="24"/>
          <w:szCs w:val="24"/>
        </w:rPr>
      </w:pPr>
    </w:p>
    <w:p w14:paraId="52D4191E" w14:textId="57D30657" w:rsidR="005A0420" w:rsidRDefault="006A2A77" w:rsidP="005A0420">
      <w:pPr>
        <w:spacing w:after="0" w:line="240" w:lineRule="auto"/>
        <w:jc w:val="both"/>
        <w:rPr>
          <w:rFonts w:ascii="Times New Roman" w:hAnsi="Times New Roman" w:cs="Times New Roman"/>
          <w:sz w:val="24"/>
          <w:szCs w:val="24"/>
          <w:shd w:val="clear" w:color="auto" w:fill="FFFFFF"/>
        </w:rPr>
      </w:pPr>
      <w:r w:rsidRPr="005A0420">
        <w:rPr>
          <w:rStyle w:val="Fontepargpadro1"/>
          <w:rFonts w:ascii="Times New Roman" w:hAnsi="Times New Roman" w:cs="Times New Roman"/>
          <w:sz w:val="24"/>
          <w:szCs w:val="24"/>
        </w:rPr>
        <w:t xml:space="preserve">Farr, J. V. (2011). Systems Life Cycle Costing Economic Analysis, estimation, and management. Boca Raton: CRC Press Taylor and Francis Group. </w:t>
      </w:r>
      <w:r w:rsidR="005A0420" w:rsidRPr="005A0420">
        <w:rPr>
          <w:rFonts w:ascii="Times New Roman" w:hAnsi="Times New Roman" w:cs="Times New Roman"/>
          <w:sz w:val="24"/>
          <w:szCs w:val="24"/>
          <w:shd w:val="clear" w:color="auto" w:fill="FFFFFF"/>
        </w:rPr>
        <w:t>https://doi.org/10.1201/b10963</w:t>
      </w:r>
      <w:r w:rsidRPr="005A0420">
        <w:rPr>
          <w:rFonts w:ascii="Times New Roman" w:hAnsi="Times New Roman" w:cs="Times New Roman"/>
          <w:sz w:val="24"/>
          <w:szCs w:val="24"/>
          <w:shd w:val="clear" w:color="auto" w:fill="FFFFFF"/>
        </w:rPr>
        <w:t>.</w:t>
      </w:r>
    </w:p>
    <w:p w14:paraId="0A107D87" w14:textId="77777777" w:rsidR="005A0420" w:rsidRDefault="005A0420" w:rsidP="005A0420">
      <w:pPr>
        <w:spacing w:after="0" w:line="240" w:lineRule="auto"/>
        <w:jc w:val="both"/>
        <w:rPr>
          <w:rFonts w:ascii="Times New Roman" w:hAnsi="Times New Roman" w:cs="Times New Roman"/>
          <w:sz w:val="24"/>
          <w:szCs w:val="24"/>
          <w:shd w:val="clear" w:color="auto" w:fill="FFFFFF"/>
        </w:rPr>
      </w:pPr>
    </w:p>
    <w:p w14:paraId="4DD87AEB" w14:textId="2EA7469F" w:rsidR="006A2A77" w:rsidRDefault="006A2A77" w:rsidP="005A0420">
      <w:pPr>
        <w:spacing w:after="0" w:line="240" w:lineRule="auto"/>
        <w:jc w:val="both"/>
        <w:rPr>
          <w:rFonts w:ascii="Times New Roman" w:hAnsi="Times New Roman" w:cs="Times New Roman"/>
          <w:sz w:val="24"/>
          <w:szCs w:val="24"/>
        </w:rPr>
      </w:pPr>
      <w:r w:rsidRPr="00A14B7B">
        <w:rPr>
          <w:rFonts w:ascii="Times New Roman" w:hAnsi="Times New Roman" w:cs="Times New Roman"/>
          <w:sz w:val="24"/>
          <w:szCs w:val="24"/>
          <w:lang w:val="fr-FR"/>
        </w:rPr>
        <w:t>Finkbeiner M</w:t>
      </w:r>
      <w:r w:rsidR="006D68C6" w:rsidRPr="00A14B7B">
        <w:rPr>
          <w:rFonts w:ascii="Times New Roman" w:hAnsi="Times New Roman" w:cs="Times New Roman"/>
          <w:sz w:val="24"/>
          <w:szCs w:val="24"/>
          <w:lang w:val="fr-FR"/>
        </w:rPr>
        <w:t>.</w:t>
      </w:r>
      <w:r w:rsidRPr="00A14B7B">
        <w:rPr>
          <w:rFonts w:ascii="Times New Roman" w:hAnsi="Times New Roman" w:cs="Times New Roman"/>
          <w:sz w:val="24"/>
          <w:szCs w:val="24"/>
          <w:lang w:val="fr-FR"/>
        </w:rPr>
        <w:t>, Schau E</w:t>
      </w:r>
      <w:r w:rsidR="006D68C6" w:rsidRPr="00A14B7B">
        <w:rPr>
          <w:rFonts w:ascii="Times New Roman" w:hAnsi="Times New Roman" w:cs="Times New Roman"/>
          <w:sz w:val="24"/>
          <w:szCs w:val="24"/>
          <w:lang w:val="fr-FR"/>
        </w:rPr>
        <w:t>.</w:t>
      </w:r>
      <w:r w:rsidRPr="00A14B7B">
        <w:rPr>
          <w:rFonts w:ascii="Times New Roman" w:hAnsi="Times New Roman" w:cs="Times New Roman"/>
          <w:sz w:val="24"/>
          <w:szCs w:val="24"/>
          <w:lang w:val="fr-FR"/>
        </w:rPr>
        <w:t>M</w:t>
      </w:r>
      <w:r w:rsidR="006D68C6" w:rsidRPr="00A14B7B">
        <w:rPr>
          <w:rFonts w:ascii="Times New Roman" w:hAnsi="Times New Roman" w:cs="Times New Roman"/>
          <w:sz w:val="24"/>
          <w:szCs w:val="24"/>
          <w:lang w:val="fr-FR"/>
        </w:rPr>
        <w:t>.</w:t>
      </w:r>
      <w:r w:rsidRPr="00A14B7B">
        <w:rPr>
          <w:rFonts w:ascii="Times New Roman" w:hAnsi="Times New Roman" w:cs="Times New Roman"/>
          <w:sz w:val="24"/>
          <w:szCs w:val="24"/>
          <w:lang w:val="fr-FR"/>
        </w:rPr>
        <w:t>, Lehmann A</w:t>
      </w:r>
      <w:r w:rsidR="006D68C6" w:rsidRPr="00A14B7B">
        <w:rPr>
          <w:rFonts w:ascii="Times New Roman" w:hAnsi="Times New Roman" w:cs="Times New Roman"/>
          <w:sz w:val="24"/>
          <w:szCs w:val="24"/>
          <w:lang w:val="fr-FR"/>
        </w:rPr>
        <w:t>.</w:t>
      </w:r>
      <w:r w:rsidRPr="00A14B7B">
        <w:rPr>
          <w:rFonts w:ascii="Times New Roman" w:hAnsi="Times New Roman" w:cs="Times New Roman"/>
          <w:sz w:val="24"/>
          <w:szCs w:val="24"/>
          <w:lang w:val="fr-FR"/>
        </w:rPr>
        <w:t>, Traverso M</w:t>
      </w:r>
      <w:r w:rsidR="006D68C6" w:rsidRPr="00A14B7B">
        <w:rPr>
          <w:rFonts w:ascii="Times New Roman" w:hAnsi="Times New Roman" w:cs="Times New Roman"/>
          <w:sz w:val="24"/>
          <w:szCs w:val="24"/>
          <w:lang w:val="fr-FR"/>
        </w:rPr>
        <w:t>.</w:t>
      </w:r>
      <w:r w:rsidRPr="00A14B7B">
        <w:rPr>
          <w:rFonts w:ascii="Times New Roman" w:hAnsi="Times New Roman" w:cs="Times New Roman"/>
          <w:sz w:val="24"/>
          <w:szCs w:val="24"/>
          <w:lang w:val="fr-FR"/>
        </w:rPr>
        <w:t xml:space="preserve"> (2010)</w:t>
      </w:r>
      <w:r w:rsidR="006D68C6" w:rsidRPr="00A14B7B">
        <w:rPr>
          <w:rFonts w:ascii="Times New Roman" w:hAnsi="Times New Roman" w:cs="Times New Roman"/>
          <w:sz w:val="24"/>
          <w:szCs w:val="24"/>
          <w:lang w:val="fr-FR"/>
        </w:rPr>
        <w:t>.</w:t>
      </w:r>
      <w:r w:rsidRPr="00A14B7B">
        <w:rPr>
          <w:rFonts w:ascii="Times New Roman" w:hAnsi="Times New Roman" w:cs="Times New Roman"/>
          <w:sz w:val="24"/>
          <w:szCs w:val="24"/>
          <w:lang w:val="fr-FR"/>
        </w:rPr>
        <w:t xml:space="preserve"> </w:t>
      </w:r>
      <w:r w:rsidRPr="005A0420">
        <w:rPr>
          <w:rFonts w:ascii="Times New Roman" w:hAnsi="Times New Roman" w:cs="Times New Roman"/>
          <w:sz w:val="24"/>
          <w:szCs w:val="24"/>
        </w:rPr>
        <w:t xml:space="preserve">Towards life cycle sustainability assessment. </w:t>
      </w:r>
      <w:r w:rsidRPr="00BC70A2">
        <w:rPr>
          <w:rFonts w:ascii="Times New Roman" w:hAnsi="Times New Roman" w:cs="Times New Roman"/>
          <w:i/>
          <w:iCs/>
          <w:sz w:val="24"/>
          <w:szCs w:val="24"/>
        </w:rPr>
        <w:t>Sustainability</w:t>
      </w:r>
      <w:r w:rsidR="00BC70A2">
        <w:rPr>
          <w:rFonts w:ascii="Times New Roman" w:hAnsi="Times New Roman" w:cs="Times New Roman"/>
          <w:sz w:val="24"/>
          <w:szCs w:val="24"/>
        </w:rPr>
        <w:t xml:space="preserve">. </w:t>
      </w:r>
      <w:r w:rsidRPr="005A0420">
        <w:rPr>
          <w:rFonts w:ascii="Times New Roman" w:hAnsi="Times New Roman" w:cs="Times New Roman"/>
          <w:sz w:val="24"/>
          <w:szCs w:val="24"/>
        </w:rPr>
        <w:t xml:space="preserve"> 2:3309–3322</w:t>
      </w:r>
    </w:p>
    <w:p w14:paraId="624D1707" w14:textId="77777777" w:rsidR="00BC70A2" w:rsidRPr="005A0420" w:rsidRDefault="00BC70A2" w:rsidP="005A0420">
      <w:pPr>
        <w:spacing w:after="0" w:line="240" w:lineRule="auto"/>
        <w:jc w:val="both"/>
        <w:rPr>
          <w:rFonts w:ascii="Times New Roman" w:hAnsi="Times New Roman" w:cs="Times New Roman"/>
          <w:sz w:val="24"/>
          <w:szCs w:val="24"/>
        </w:rPr>
      </w:pPr>
    </w:p>
    <w:p w14:paraId="04F06BC2" w14:textId="554CC07F" w:rsidR="006A2A77" w:rsidRPr="00A14B7B" w:rsidRDefault="006A2A77" w:rsidP="005A0420">
      <w:pPr>
        <w:spacing w:line="240" w:lineRule="auto"/>
        <w:jc w:val="both"/>
        <w:rPr>
          <w:rFonts w:ascii="Times New Roman" w:hAnsi="Times New Roman" w:cs="Times New Roman"/>
          <w:sz w:val="24"/>
          <w:szCs w:val="24"/>
        </w:rPr>
      </w:pPr>
      <w:r w:rsidRPr="005A0420">
        <w:rPr>
          <w:rFonts w:ascii="Times New Roman" w:hAnsi="Times New Roman" w:cs="Times New Roman"/>
          <w:sz w:val="24"/>
          <w:szCs w:val="24"/>
        </w:rPr>
        <w:t xml:space="preserve">Garnett, T., et al. (2013). Sustainable intensification in agriculture: premises and policies. </w:t>
      </w:r>
      <w:r w:rsidRPr="00A14B7B">
        <w:rPr>
          <w:rFonts w:ascii="Times New Roman" w:hAnsi="Times New Roman" w:cs="Times New Roman"/>
          <w:i/>
          <w:iCs/>
          <w:sz w:val="24"/>
          <w:szCs w:val="24"/>
        </w:rPr>
        <w:t>Science</w:t>
      </w:r>
      <w:r w:rsidRPr="00A14B7B">
        <w:rPr>
          <w:rFonts w:ascii="Times New Roman" w:hAnsi="Times New Roman" w:cs="Times New Roman"/>
          <w:sz w:val="24"/>
          <w:szCs w:val="24"/>
        </w:rPr>
        <w:t xml:space="preserve">, 341 (6141): 33-34. </w:t>
      </w:r>
      <w:r w:rsidRPr="00A14B7B">
        <w:rPr>
          <w:rFonts w:ascii="Times New Roman" w:hAnsi="Times New Roman" w:cs="Times New Roman"/>
          <w:sz w:val="24"/>
          <w:szCs w:val="24"/>
          <w:shd w:val="clear" w:color="auto" w:fill="FFFFFF"/>
        </w:rPr>
        <w:t>https://doi.org/10.1126/science.1234485</w:t>
      </w:r>
      <w:r w:rsidRPr="00A14B7B">
        <w:rPr>
          <w:rFonts w:ascii="Times New Roman" w:hAnsi="Times New Roman" w:cs="Times New Roman"/>
          <w:sz w:val="24"/>
          <w:szCs w:val="24"/>
        </w:rPr>
        <w:t xml:space="preserve"> </w:t>
      </w:r>
    </w:p>
    <w:p w14:paraId="1662918C" w14:textId="182D332A" w:rsidR="006A2A77" w:rsidRPr="005A0420" w:rsidRDefault="006A2A77" w:rsidP="005A0420">
      <w:pPr>
        <w:spacing w:line="240" w:lineRule="auto"/>
        <w:jc w:val="both"/>
        <w:rPr>
          <w:rStyle w:val="Fontepargpadro1"/>
          <w:rFonts w:ascii="Times New Roman" w:hAnsi="Times New Roman" w:cs="Times New Roman"/>
          <w:sz w:val="24"/>
          <w:szCs w:val="24"/>
        </w:rPr>
      </w:pPr>
      <w:r w:rsidRPr="00A14B7B">
        <w:rPr>
          <w:rStyle w:val="Fontepargpadro1"/>
          <w:rFonts w:ascii="Times New Roman" w:hAnsi="Times New Roman" w:cs="Times New Roman"/>
          <w:sz w:val="24"/>
          <w:szCs w:val="24"/>
        </w:rPr>
        <w:t xml:space="preserve">Guarino, F., Falcone, G., Stillitano, T., De Luca, A. I., Gulisano, G., Mistretta, M., Strano, A. (2019). </w:t>
      </w:r>
      <w:r w:rsidRPr="005A0420">
        <w:rPr>
          <w:rStyle w:val="Fontepargpadro1"/>
          <w:rFonts w:ascii="Times New Roman" w:hAnsi="Times New Roman" w:cs="Times New Roman"/>
          <w:sz w:val="24"/>
          <w:szCs w:val="24"/>
        </w:rPr>
        <w:t xml:space="preserve">Life cycle assessment of olive oil: A case study in southern Italy, </w:t>
      </w:r>
      <w:r w:rsidRPr="00BC70A2">
        <w:rPr>
          <w:rStyle w:val="Fontepargpadro1"/>
          <w:rFonts w:ascii="Times New Roman" w:hAnsi="Times New Roman" w:cs="Times New Roman"/>
          <w:i/>
          <w:iCs/>
          <w:sz w:val="24"/>
          <w:szCs w:val="24"/>
        </w:rPr>
        <w:t xml:space="preserve">Journal of </w:t>
      </w:r>
      <w:r w:rsidRPr="00BC70A2">
        <w:rPr>
          <w:rStyle w:val="Fontepargpadro1"/>
          <w:rFonts w:ascii="Times New Roman" w:hAnsi="Times New Roman" w:cs="Times New Roman"/>
          <w:i/>
          <w:iCs/>
          <w:sz w:val="24"/>
          <w:szCs w:val="24"/>
        </w:rPr>
        <w:lastRenderedPageBreak/>
        <w:t>Environmental Management</w:t>
      </w:r>
      <w:r w:rsidRPr="005A0420">
        <w:rPr>
          <w:rStyle w:val="Fontepargpadro1"/>
          <w:rFonts w:ascii="Times New Roman" w:hAnsi="Times New Roman" w:cs="Times New Roman"/>
          <w:sz w:val="24"/>
          <w:szCs w:val="24"/>
        </w:rPr>
        <w:t xml:space="preserve">, </w:t>
      </w:r>
      <w:r w:rsidR="00183076" w:rsidRPr="005A0420">
        <w:rPr>
          <w:rStyle w:val="Fontepargpadro1"/>
          <w:rFonts w:ascii="Times New Roman" w:hAnsi="Times New Roman" w:cs="Times New Roman"/>
          <w:sz w:val="24"/>
          <w:szCs w:val="24"/>
        </w:rPr>
        <w:t>238, 396</w:t>
      </w:r>
      <w:r w:rsidRPr="005A0420">
        <w:rPr>
          <w:rStyle w:val="Fontepargpadro1"/>
          <w:rFonts w:ascii="Times New Roman" w:hAnsi="Times New Roman" w:cs="Times New Roman"/>
          <w:sz w:val="24"/>
          <w:szCs w:val="24"/>
        </w:rPr>
        <w:t xml:space="preserve">-407, ISSN 0301-4797, https://doi.org/10.1016/j.jenvman.2019.03.006.  </w:t>
      </w:r>
    </w:p>
    <w:p w14:paraId="5E7677CE" w14:textId="5B91F751" w:rsidR="006A2A77" w:rsidRPr="005A0420" w:rsidRDefault="006A2A77" w:rsidP="005A0420">
      <w:pPr>
        <w:spacing w:line="240" w:lineRule="auto"/>
        <w:jc w:val="both"/>
        <w:rPr>
          <w:rFonts w:ascii="Times New Roman" w:hAnsi="Times New Roman" w:cs="Times New Roman"/>
          <w:sz w:val="24"/>
          <w:szCs w:val="24"/>
        </w:rPr>
      </w:pPr>
      <w:r w:rsidRPr="00A14B7B">
        <w:rPr>
          <w:rFonts w:ascii="Times New Roman" w:hAnsi="Times New Roman" w:cs="Times New Roman"/>
          <w:sz w:val="24"/>
          <w:szCs w:val="24"/>
        </w:rPr>
        <w:t>González de Molina, M</w:t>
      </w:r>
      <w:r w:rsidR="007E738E" w:rsidRPr="00A14B7B">
        <w:rPr>
          <w:rFonts w:ascii="Times New Roman" w:hAnsi="Times New Roman" w:cs="Times New Roman"/>
          <w:sz w:val="24"/>
          <w:szCs w:val="24"/>
        </w:rPr>
        <w:t>.</w:t>
      </w:r>
      <w:r w:rsidRPr="00A14B7B">
        <w:rPr>
          <w:rFonts w:ascii="Times New Roman" w:hAnsi="Times New Roman" w:cs="Times New Roman"/>
          <w:sz w:val="24"/>
          <w:szCs w:val="24"/>
        </w:rPr>
        <w:t>, Soto Fernández, D</w:t>
      </w:r>
      <w:r w:rsidR="007E738E" w:rsidRPr="00A14B7B">
        <w:rPr>
          <w:rFonts w:ascii="Times New Roman" w:hAnsi="Times New Roman" w:cs="Times New Roman"/>
          <w:sz w:val="24"/>
          <w:szCs w:val="24"/>
        </w:rPr>
        <w:t>.</w:t>
      </w:r>
      <w:r w:rsidRPr="00A14B7B">
        <w:rPr>
          <w:rFonts w:ascii="Times New Roman" w:hAnsi="Times New Roman" w:cs="Times New Roman"/>
          <w:sz w:val="24"/>
          <w:szCs w:val="24"/>
        </w:rPr>
        <w:t>, Guzmán Casado, G</w:t>
      </w:r>
      <w:r w:rsidR="007E738E" w:rsidRPr="00A14B7B">
        <w:rPr>
          <w:rFonts w:ascii="Times New Roman" w:hAnsi="Times New Roman" w:cs="Times New Roman"/>
          <w:sz w:val="24"/>
          <w:szCs w:val="24"/>
        </w:rPr>
        <w:t>.</w:t>
      </w:r>
      <w:r w:rsidRPr="00A14B7B">
        <w:rPr>
          <w:rFonts w:ascii="Times New Roman" w:hAnsi="Times New Roman" w:cs="Times New Roman"/>
          <w:sz w:val="24"/>
          <w:szCs w:val="24"/>
        </w:rPr>
        <w:t>, Infante-Amate, J</w:t>
      </w:r>
      <w:r w:rsidR="007E738E" w:rsidRPr="00A14B7B">
        <w:rPr>
          <w:rFonts w:ascii="Times New Roman" w:hAnsi="Times New Roman" w:cs="Times New Roman"/>
          <w:sz w:val="24"/>
          <w:szCs w:val="24"/>
        </w:rPr>
        <w:t>.</w:t>
      </w:r>
      <w:r w:rsidRPr="00A14B7B">
        <w:rPr>
          <w:rFonts w:ascii="Times New Roman" w:hAnsi="Times New Roman" w:cs="Times New Roman"/>
          <w:sz w:val="24"/>
          <w:szCs w:val="24"/>
        </w:rPr>
        <w:t>, Aguilera Fernández, E</w:t>
      </w:r>
      <w:r w:rsidR="007E738E" w:rsidRPr="00A14B7B">
        <w:rPr>
          <w:rFonts w:ascii="Times New Roman" w:hAnsi="Times New Roman" w:cs="Times New Roman"/>
          <w:sz w:val="24"/>
          <w:szCs w:val="24"/>
        </w:rPr>
        <w:t>.</w:t>
      </w:r>
      <w:r w:rsidRPr="00A14B7B">
        <w:rPr>
          <w:rFonts w:ascii="Times New Roman" w:hAnsi="Times New Roman" w:cs="Times New Roman"/>
          <w:sz w:val="24"/>
          <w:szCs w:val="24"/>
        </w:rPr>
        <w:t>, Vila Traver, J</w:t>
      </w:r>
      <w:r w:rsidR="007E738E" w:rsidRPr="00A14B7B">
        <w:rPr>
          <w:rFonts w:ascii="Times New Roman" w:hAnsi="Times New Roman" w:cs="Times New Roman"/>
          <w:sz w:val="24"/>
          <w:szCs w:val="24"/>
        </w:rPr>
        <w:t>.</w:t>
      </w:r>
      <w:r w:rsidRPr="00A14B7B">
        <w:rPr>
          <w:rFonts w:ascii="Times New Roman" w:hAnsi="Times New Roman" w:cs="Times New Roman"/>
          <w:sz w:val="24"/>
          <w:szCs w:val="24"/>
        </w:rPr>
        <w:t>, García Ruiz, R</w:t>
      </w:r>
      <w:r w:rsidR="007E738E" w:rsidRPr="00A14B7B">
        <w:rPr>
          <w:rFonts w:ascii="Times New Roman" w:hAnsi="Times New Roman" w:cs="Times New Roman"/>
          <w:sz w:val="24"/>
          <w:szCs w:val="24"/>
        </w:rPr>
        <w:t>.</w:t>
      </w:r>
      <w:r w:rsidRPr="00A14B7B">
        <w:rPr>
          <w:rFonts w:ascii="Times New Roman" w:hAnsi="Times New Roman" w:cs="Times New Roman"/>
          <w:sz w:val="24"/>
          <w:szCs w:val="24"/>
        </w:rPr>
        <w:t xml:space="preserve"> </w:t>
      </w:r>
      <w:r w:rsidR="007E738E" w:rsidRPr="00A14B7B">
        <w:rPr>
          <w:rFonts w:ascii="Times New Roman" w:hAnsi="Times New Roman" w:cs="Times New Roman"/>
          <w:sz w:val="24"/>
          <w:szCs w:val="24"/>
        </w:rPr>
        <w:t>(</w:t>
      </w:r>
      <w:r w:rsidRPr="00A14B7B">
        <w:rPr>
          <w:rFonts w:ascii="Times New Roman" w:hAnsi="Times New Roman" w:cs="Times New Roman"/>
          <w:sz w:val="24"/>
          <w:szCs w:val="24"/>
        </w:rPr>
        <w:t>2020</w:t>
      </w:r>
      <w:r w:rsidR="007E738E" w:rsidRPr="00A14B7B">
        <w:rPr>
          <w:rFonts w:ascii="Times New Roman" w:hAnsi="Times New Roman" w:cs="Times New Roman"/>
          <w:sz w:val="24"/>
          <w:szCs w:val="24"/>
        </w:rPr>
        <w:t>)</w:t>
      </w:r>
      <w:r w:rsidRPr="00A14B7B">
        <w:rPr>
          <w:rFonts w:ascii="Times New Roman" w:hAnsi="Times New Roman" w:cs="Times New Roman"/>
          <w:sz w:val="24"/>
          <w:szCs w:val="24"/>
        </w:rPr>
        <w:t xml:space="preserve">. Agrarian Metabolism: The Metabolic Approach Applied to Agriculture, </w:t>
      </w:r>
      <w:r w:rsidR="00BC70A2" w:rsidRPr="00A14B7B">
        <w:rPr>
          <w:rFonts w:ascii="Times New Roman" w:hAnsi="Times New Roman" w:cs="Times New Roman"/>
          <w:sz w:val="24"/>
          <w:szCs w:val="24"/>
        </w:rPr>
        <w:t>In</w:t>
      </w:r>
      <w:r w:rsidRPr="00A14B7B">
        <w:rPr>
          <w:rFonts w:ascii="Times New Roman" w:hAnsi="Times New Roman" w:cs="Times New Roman"/>
          <w:sz w:val="24"/>
          <w:szCs w:val="24"/>
        </w:rPr>
        <w:t xml:space="preserve">: González de Molina, M, Soto Fernández, D, Guzmán Casado, G, Infante-Amate, J, Aguilera Fernández, E, Vila Traver, J, García Ruiz, R, (Ed.), </w:t>
      </w:r>
      <w:r w:rsidRPr="00A14B7B">
        <w:rPr>
          <w:rFonts w:ascii="Times New Roman" w:hAnsi="Times New Roman" w:cs="Times New Roman"/>
          <w:i/>
          <w:iCs/>
          <w:sz w:val="24"/>
          <w:szCs w:val="24"/>
        </w:rPr>
        <w:t xml:space="preserve">The Social Metabolism of Spanish Agriculture, 1900–2008. </w:t>
      </w:r>
      <w:r w:rsidRPr="00C47091">
        <w:rPr>
          <w:rFonts w:ascii="Times New Roman" w:hAnsi="Times New Roman" w:cs="Times New Roman"/>
          <w:i/>
          <w:iCs/>
          <w:sz w:val="24"/>
          <w:szCs w:val="24"/>
        </w:rPr>
        <w:t>The Mediterranean Way Towards Industrialization</w:t>
      </w:r>
      <w:r w:rsidRPr="005A0420">
        <w:rPr>
          <w:rFonts w:ascii="Times New Roman" w:hAnsi="Times New Roman" w:cs="Times New Roman"/>
          <w:sz w:val="24"/>
          <w:szCs w:val="24"/>
        </w:rPr>
        <w:t xml:space="preserve">. Environmental History, 10. Springer Open. https://doi.org/10.1007/978-3-030- 20900-1 </w:t>
      </w:r>
    </w:p>
    <w:p w14:paraId="6277A45D" w14:textId="77777777" w:rsidR="007E738E" w:rsidRPr="005A0420" w:rsidRDefault="007E738E" w:rsidP="005A0420">
      <w:pPr>
        <w:spacing w:line="240" w:lineRule="auto"/>
        <w:jc w:val="both"/>
        <w:rPr>
          <w:rFonts w:ascii="Times New Roman" w:hAnsi="Times New Roman" w:cs="Times New Roman"/>
          <w:sz w:val="24"/>
          <w:szCs w:val="24"/>
          <w:lang w:val="pt-BR"/>
        </w:rPr>
      </w:pPr>
      <w:r w:rsidRPr="00A14B7B">
        <w:rPr>
          <w:rFonts w:ascii="Times New Roman" w:hAnsi="Times New Roman" w:cs="Times New Roman"/>
          <w:sz w:val="24"/>
          <w:szCs w:val="24"/>
          <w:lang w:val="es-ES"/>
        </w:rPr>
        <w:t xml:space="preserve">Gonzaléz de Molina, M.; Toledo, V. M. (2011). </w:t>
      </w:r>
      <w:r w:rsidRPr="00A14B7B">
        <w:rPr>
          <w:rFonts w:ascii="Times New Roman" w:hAnsi="Times New Roman" w:cs="Times New Roman"/>
          <w:i/>
          <w:iCs/>
          <w:sz w:val="24"/>
          <w:szCs w:val="24"/>
          <w:lang w:val="es-ES"/>
        </w:rPr>
        <w:t>Metabolismos, naturaleza e historia: hacia una teoría socio-ecológica de las transformaciones</w:t>
      </w:r>
      <w:r w:rsidRPr="00A14B7B">
        <w:rPr>
          <w:rFonts w:ascii="Times New Roman" w:hAnsi="Times New Roman" w:cs="Times New Roman"/>
          <w:sz w:val="24"/>
          <w:szCs w:val="24"/>
          <w:lang w:val="es-ES"/>
        </w:rPr>
        <w:t xml:space="preserve">. </w:t>
      </w:r>
      <w:r w:rsidRPr="005A0420">
        <w:rPr>
          <w:rFonts w:ascii="Times New Roman" w:hAnsi="Times New Roman" w:cs="Times New Roman"/>
          <w:sz w:val="24"/>
          <w:szCs w:val="24"/>
          <w:lang w:val="pt-BR"/>
        </w:rPr>
        <w:t>Barcelona, Spain: Icaria editorial.</w:t>
      </w:r>
    </w:p>
    <w:p w14:paraId="38EE3716" w14:textId="77777777" w:rsidR="007973AC" w:rsidRPr="00C90A6A" w:rsidRDefault="007973AC" w:rsidP="005A0420">
      <w:pPr>
        <w:spacing w:line="240" w:lineRule="auto"/>
        <w:jc w:val="both"/>
        <w:rPr>
          <w:rFonts w:ascii="Times New Roman" w:hAnsi="Times New Roman" w:cs="Times New Roman"/>
          <w:sz w:val="24"/>
          <w:szCs w:val="24"/>
        </w:rPr>
      </w:pPr>
      <w:r w:rsidRPr="005A0420">
        <w:rPr>
          <w:rFonts w:ascii="Times New Roman" w:hAnsi="Times New Roman" w:cs="Times New Roman"/>
          <w:sz w:val="24"/>
          <w:szCs w:val="24"/>
          <w:shd w:val="clear" w:color="auto" w:fill="FFFFFF"/>
          <w:lang w:val="pt-BR"/>
        </w:rPr>
        <w:t xml:space="preserve">GPP. (2020). </w:t>
      </w:r>
      <w:r w:rsidRPr="00BC70A2">
        <w:rPr>
          <w:rFonts w:ascii="Times New Roman" w:hAnsi="Times New Roman" w:cs="Times New Roman"/>
          <w:i/>
          <w:iCs/>
          <w:sz w:val="24"/>
          <w:szCs w:val="24"/>
          <w:shd w:val="clear" w:color="auto" w:fill="FFFFFF"/>
          <w:lang w:val="pt-BR"/>
        </w:rPr>
        <w:t>Analise setorial do azeite</w:t>
      </w:r>
      <w:r w:rsidRPr="005A0420">
        <w:rPr>
          <w:rFonts w:ascii="Times New Roman" w:hAnsi="Times New Roman" w:cs="Times New Roman"/>
          <w:sz w:val="24"/>
          <w:szCs w:val="24"/>
          <w:shd w:val="clear" w:color="auto" w:fill="FFFFFF"/>
          <w:lang w:val="pt-BR"/>
        </w:rPr>
        <w:t xml:space="preserve"> (versão dezembro 2020). </w:t>
      </w:r>
      <w:r w:rsidRPr="00C90A6A">
        <w:rPr>
          <w:rFonts w:ascii="Times New Roman" w:hAnsi="Times New Roman" w:cs="Times New Roman"/>
          <w:sz w:val="24"/>
          <w:szCs w:val="24"/>
          <w:shd w:val="clear" w:color="auto" w:fill="FFFFFF"/>
        </w:rPr>
        <w:t>Retrieved from https://www.gpp.pt/images/PEPAC/Anexo_NDICE_ANLISE_SETORIAL___AZEITE.pdf</w:t>
      </w:r>
    </w:p>
    <w:p w14:paraId="39C3A230" w14:textId="4B9F1872" w:rsidR="00635913" w:rsidRPr="00635913" w:rsidRDefault="00635913" w:rsidP="005A0420">
      <w:pPr>
        <w:spacing w:line="240" w:lineRule="auto"/>
        <w:jc w:val="both"/>
        <w:rPr>
          <w:rFonts w:ascii="Times New Roman" w:hAnsi="Times New Roman" w:cs="Times New Roman"/>
          <w:sz w:val="24"/>
          <w:szCs w:val="24"/>
        </w:rPr>
      </w:pPr>
      <w:proofErr w:type="spellStart"/>
      <w:r w:rsidRPr="00635913">
        <w:rPr>
          <w:rFonts w:ascii="Times New Roman" w:hAnsi="Times New Roman" w:cs="Times New Roman"/>
          <w:sz w:val="24"/>
          <w:szCs w:val="24"/>
        </w:rPr>
        <w:t>Guinée</w:t>
      </w:r>
      <w:proofErr w:type="spellEnd"/>
      <w:r w:rsidRPr="00635913">
        <w:rPr>
          <w:rFonts w:ascii="Times New Roman" w:hAnsi="Times New Roman" w:cs="Times New Roman"/>
          <w:sz w:val="24"/>
          <w:szCs w:val="24"/>
        </w:rPr>
        <w:t>. J. B. (2006). Handbook on Life Cycle Assessment Operational Guide to the ISO Standards, Springer. https://doi.org/10.1007/0-306-48055-7</w:t>
      </w:r>
    </w:p>
    <w:p w14:paraId="01DF12C6" w14:textId="61EC1A8E" w:rsidR="006A2A77" w:rsidRPr="005A0420" w:rsidRDefault="006A2A77" w:rsidP="005A0420">
      <w:pPr>
        <w:spacing w:line="240" w:lineRule="auto"/>
        <w:jc w:val="both"/>
        <w:rPr>
          <w:rFonts w:ascii="Times New Roman" w:hAnsi="Times New Roman" w:cs="Times New Roman"/>
          <w:sz w:val="24"/>
          <w:szCs w:val="24"/>
        </w:rPr>
      </w:pPr>
      <w:r w:rsidRPr="00A14B7B">
        <w:rPr>
          <w:rFonts w:ascii="Times New Roman" w:hAnsi="Times New Roman" w:cs="Times New Roman"/>
          <w:sz w:val="24"/>
          <w:szCs w:val="24"/>
          <w:lang w:val="es-ES"/>
        </w:rPr>
        <w:t xml:space="preserve">Guzmán, G.I., González de Molina, M. (2017). </w:t>
      </w:r>
      <w:r w:rsidRPr="005A0420">
        <w:rPr>
          <w:rFonts w:ascii="Times New Roman" w:hAnsi="Times New Roman" w:cs="Times New Roman"/>
          <w:sz w:val="24"/>
          <w:szCs w:val="24"/>
        </w:rPr>
        <w:t>Energy in agroecosystems: a tool for assessing sustainability. CRC Press, Boca Raton, FL.</w:t>
      </w:r>
    </w:p>
    <w:p w14:paraId="65DFEFD9" w14:textId="77777777" w:rsidR="006A2A77" w:rsidRPr="005A0420" w:rsidRDefault="006A2A77" w:rsidP="005A0420">
      <w:pPr>
        <w:spacing w:line="240" w:lineRule="auto"/>
        <w:jc w:val="both"/>
        <w:rPr>
          <w:rFonts w:ascii="Times New Roman" w:hAnsi="Times New Roman" w:cs="Times New Roman"/>
          <w:sz w:val="24"/>
          <w:szCs w:val="24"/>
        </w:rPr>
      </w:pPr>
      <w:proofErr w:type="spellStart"/>
      <w:r w:rsidRPr="005A0420">
        <w:rPr>
          <w:rFonts w:ascii="Times New Roman" w:hAnsi="Times New Roman" w:cs="Times New Roman"/>
          <w:sz w:val="24"/>
          <w:szCs w:val="24"/>
        </w:rPr>
        <w:t>Hanieh</w:t>
      </w:r>
      <w:proofErr w:type="spellEnd"/>
      <w:r w:rsidRPr="005A0420">
        <w:rPr>
          <w:rFonts w:ascii="Times New Roman" w:hAnsi="Times New Roman" w:cs="Times New Roman"/>
          <w:sz w:val="24"/>
          <w:szCs w:val="24"/>
        </w:rPr>
        <w:t xml:space="preserve">, A. A., </w:t>
      </w:r>
      <w:proofErr w:type="spellStart"/>
      <w:r w:rsidRPr="005A0420">
        <w:rPr>
          <w:rFonts w:ascii="Times New Roman" w:hAnsi="Times New Roman" w:cs="Times New Roman"/>
          <w:sz w:val="24"/>
          <w:szCs w:val="24"/>
        </w:rPr>
        <w:t>Karaeen</w:t>
      </w:r>
      <w:proofErr w:type="spellEnd"/>
      <w:r w:rsidRPr="005A0420">
        <w:rPr>
          <w:rFonts w:ascii="Times New Roman" w:hAnsi="Times New Roman" w:cs="Times New Roman"/>
          <w:sz w:val="24"/>
          <w:szCs w:val="24"/>
        </w:rPr>
        <w:t>, M., Hasan A. (2020). Towards a Sustainability Model for Olive Sector in Palestine. Procedia Manufacturing, Volume 43, Pages 269-276, ISSN 2351-9789, https://doi.org/10.1016/j.promfg.2020.02.153.</w:t>
      </w:r>
    </w:p>
    <w:p w14:paraId="2D9ACD74" w14:textId="77777777" w:rsidR="00E07E44" w:rsidRPr="00A14B7B" w:rsidRDefault="006A2A77" w:rsidP="00E07E44">
      <w:pPr>
        <w:shd w:val="clear" w:color="auto" w:fill="FFFFFF"/>
        <w:spacing w:after="0" w:line="240" w:lineRule="auto"/>
        <w:jc w:val="both"/>
        <w:rPr>
          <w:rFonts w:ascii="Times New Roman" w:hAnsi="Times New Roman" w:cs="Times New Roman"/>
          <w:sz w:val="24"/>
          <w:szCs w:val="24"/>
          <w:shd w:val="clear" w:color="auto" w:fill="FFFFFF"/>
        </w:rPr>
      </w:pPr>
      <w:proofErr w:type="spellStart"/>
      <w:r w:rsidRPr="005A0420">
        <w:rPr>
          <w:rFonts w:ascii="Times New Roman" w:hAnsi="Times New Roman" w:cs="Times New Roman"/>
          <w:sz w:val="24"/>
          <w:szCs w:val="24"/>
        </w:rPr>
        <w:t>Hunkeler</w:t>
      </w:r>
      <w:proofErr w:type="spellEnd"/>
      <w:r w:rsidRPr="005A0420">
        <w:rPr>
          <w:rFonts w:ascii="Times New Roman" w:hAnsi="Times New Roman" w:cs="Times New Roman"/>
          <w:sz w:val="24"/>
          <w:szCs w:val="24"/>
        </w:rPr>
        <w:t xml:space="preserve">. D., </w:t>
      </w:r>
      <w:proofErr w:type="spellStart"/>
      <w:r w:rsidRPr="005A0420">
        <w:rPr>
          <w:rFonts w:ascii="Times New Roman" w:hAnsi="Times New Roman" w:cs="Times New Roman"/>
          <w:sz w:val="24"/>
          <w:szCs w:val="24"/>
        </w:rPr>
        <w:t>Lichtenvort</w:t>
      </w:r>
      <w:proofErr w:type="spellEnd"/>
      <w:r w:rsidRPr="005A0420">
        <w:rPr>
          <w:rFonts w:ascii="Times New Roman" w:hAnsi="Times New Roman" w:cs="Times New Roman"/>
          <w:sz w:val="24"/>
          <w:szCs w:val="24"/>
        </w:rPr>
        <w:t xml:space="preserve">, K., </w:t>
      </w:r>
      <w:proofErr w:type="spellStart"/>
      <w:r w:rsidRPr="005A0420">
        <w:rPr>
          <w:rFonts w:ascii="Times New Roman" w:hAnsi="Times New Roman" w:cs="Times New Roman"/>
          <w:sz w:val="24"/>
          <w:szCs w:val="24"/>
        </w:rPr>
        <w:t>Rebitzer</w:t>
      </w:r>
      <w:proofErr w:type="spellEnd"/>
      <w:r w:rsidRPr="005A0420">
        <w:rPr>
          <w:rFonts w:ascii="Times New Roman" w:hAnsi="Times New Roman" w:cs="Times New Roman"/>
          <w:sz w:val="24"/>
          <w:szCs w:val="24"/>
        </w:rPr>
        <w:t xml:space="preserve">, G. (eds) (2008). Environmental life cycle costing. SETAC, Pensacola, FL (USA) in collaboration with CRC Press, Boca Raton, FL, USA.  </w:t>
      </w:r>
      <w:r w:rsidRPr="00A14B7B">
        <w:rPr>
          <w:rFonts w:ascii="Times New Roman" w:hAnsi="Times New Roman" w:cs="Times New Roman"/>
          <w:sz w:val="24"/>
          <w:szCs w:val="24"/>
          <w:shd w:val="clear" w:color="auto" w:fill="FFFFFF"/>
        </w:rPr>
        <w:t>ISBN 9781420054705.</w:t>
      </w:r>
      <w:r w:rsidR="00E07E44" w:rsidRPr="00A14B7B">
        <w:rPr>
          <w:rFonts w:ascii="Times New Roman" w:hAnsi="Times New Roman" w:cs="Times New Roman"/>
          <w:sz w:val="24"/>
          <w:szCs w:val="24"/>
          <w:shd w:val="clear" w:color="auto" w:fill="FFFFFF"/>
        </w:rPr>
        <w:t xml:space="preserve">  </w:t>
      </w:r>
    </w:p>
    <w:p w14:paraId="7C219ADF" w14:textId="7232F8BD" w:rsidR="00E07E44" w:rsidRPr="00A14B7B" w:rsidRDefault="00E07E44" w:rsidP="00E07E44">
      <w:pPr>
        <w:shd w:val="clear" w:color="auto" w:fill="FFFFFF"/>
        <w:spacing w:after="0" w:line="240" w:lineRule="auto"/>
        <w:jc w:val="both"/>
        <w:rPr>
          <w:rFonts w:ascii="Times New Roman" w:hAnsi="Times New Roman" w:cs="Times New Roman"/>
          <w:sz w:val="24"/>
          <w:szCs w:val="24"/>
          <w:shd w:val="clear" w:color="auto" w:fill="FFFFFF"/>
        </w:rPr>
      </w:pPr>
    </w:p>
    <w:p w14:paraId="388B37D7" w14:textId="5A3B06D5" w:rsidR="00041DAD" w:rsidRPr="00041DAD" w:rsidRDefault="00041DAD" w:rsidP="00041DAD">
      <w:pPr>
        <w:shd w:val="clear" w:color="auto" w:fill="FFFFFF"/>
        <w:spacing w:after="0" w:line="240" w:lineRule="auto"/>
        <w:jc w:val="both"/>
        <w:rPr>
          <w:rFonts w:ascii="Times New Roman" w:hAnsi="Times New Roman" w:cs="Times New Roman"/>
          <w:sz w:val="24"/>
          <w:szCs w:val="24"/>
        </w:rPr>
      </w:pPr>
      <w:r w:rsidRPr="00A14B7B">
        <w:rPr>
          <w:rFonts w:ascii="Times New Roman" w:hAnsi="Times New Roman" w:cs="Times New Roman"/>
          <w:sz w:val="24"/>
          <w:szCs w:val="24"/>
        </w:rPr>
        <w:t xml:space="preserve">Iofrida, N. De Luca, A.I., Gulisano, G. Strano. </w:t>
      </w:r>
      <w:r w:rsidRPr="005A0420">
        <w:rPr>
          <w:rFonts w:ascii="Times New Roman" w:hAnsi="Times New Roman" w:cs="Times New Roman"/>
          <w:sz w:val="24"/>
          <w:szCs w:val="24"/>
        </w:rPr>
        <w:t>A. (2018</w:t>
      </w:r>
      <w:r>
        <w:rPr>
          <w:rFonts w:ascii="Times New Roman" w:hAnsi="Times New Roman" w:cs="Times New Roman"/>
          <w:sz w:val="24"/>
          <w:szCs w:val="24"/>
        </w:rPr>
        <w:t>a</w:t>
      </w:r>
      <w:r w:rsidRPr="005A0420">
        <w:rPr>
          <w:rFonts w:ascii="Times New Roman" w:hAnsi="Times New Roman" w:cs="Times New Roman"/>
          <w:sz w:val="24"/>
          <w:szCs w:val="24"/>
        </w:rPr>
        <w:t>).</w:t>
      </w:r>
      <w:r>
        <w:rPr>
          <w:rFonts w:ascii="Times New Roman" w:hAnsi="Times New Roman" w:cs="Times New Roman"/>
          <w:sz w:val="24"/>
          <w:szCs w:val="24"/>
        </w:rPr>
        <w:t xml:space="preserve"> </w:t>
      </w:r>
      <w:r w:rsidRPr="00041DAD">
        <w:rPr>
          <w:rFonts w:ascii="Times New Roman" w:hAnsi="Times New Roman" w:cs="Times New Roman"/>
          <w:sz w:val="24"/>
          <w:szCs w:val="24"/>
        </w:rPr>
        <w:t>Can social research paradigms justify the diversity of approaches to social life cycle assessment?</w:t>
      </w:r>
      <w:r>
        <w:rPr>
          <w:rFonts w:ascii="Times New Roman" w:hAnsi="Times New Roman" w:cs="Times New Roman"/>
          <w:sz w:val="24"/>
          <w:szCs w:val="24"/>
        </w:rPr>
        <w:t xml:space="preserve"> </w:t>
      </w:r>
      <w:r w:rsidRPr="00041DAD">
        <w:rPr>
          <w:rFonts w:ascii="Times New Roman" w:hAnsi="Times New Roman" w:cs="Times New Roman"/>
          <w:sz w:val="24"/>
          <w:szCs w:val="24"/>
        </w:rPr>
        <w:t>The International Journal of Life Cycle Assessment</w:t>
      </w:r>
      <w:r>
        <w:rPr>
          <w:rFonts w:ascii="Times New Roman" w:hAnsi="Times New Roman" w:cs="Times New Roman"/>
          <w:sz w:val="24"/>
          <w:szCs w:val="24"/>
        </w:rPr>
        <w:t>, 23:464-480.</w:t>
      </w:r>
    </w:p>
    <w:p w14:paraId="0F2383F1" w14:textId="77777777" w:rsidR="00041DAD" w:rsidRPr="005D62CA" w:rsidRDefault="00041DAD" w:rsidP="00E07E44">
      <w:pPr>
        <w:shd w:val="clear" w:color="auto" w:fill="FFFFFF"/>
        <w:spacing w:after="0" w:line="240" w:lineRule="auto"/>
        <w:jc w:val="both"/>
        <w:rPr>
          <w:rFonts w:ascii="Times New Roman" w:hAnsi="Times New Roman" w:cs="Times New Roman"/>
          <w:sz w:val="24"/>
          <w:szCs w:val="24"/>
        </w:rPr>
      </w:pPr>
    </w:p>
    <w:p w14:paraId="7015D7E1" w14:textId="1CA55E68" w:rsidR="00D775C9" w:rsidRPr="005A0420" w:rsidRDefault="00D775C9" w:rsidP="00E07E44">
      <w:pPr>
        <w:shd w:val="clear" w:color="auto" w:fill="FFFFFF"/>
        <w:spacing w:after="0" w:line="240" w:lineRule="auto"/>
        <w:jc w:val="both"/>
        <w:rPr>
          <w:rFonts w:ascii="Times New Roman" w:hAnsi="Times New Roman" w:cs="Times New Roman"/>
          <w:sz w:val="24"/>
          <w:szCs w:val="24"/>
        </w:rPr>
      </w:pPr>
      <w:r w:rsidRPr="00A14B7B">
        <w:rPr>
          <w:rFonts w:ascii="Times New Roman" w:hAnsi="Times New Roman" w:cs="Times New Roman"/>
          <w:sz w:val="24"/>
          <w:szCs w:val="24"/>
        </w:rPr>
        <w:t xml:space="preserve">Iofrida, N. De Luca, A.I. Silveri, F. Falcone, G. Stillitano, T. Gulisano, G. Strano. </w:t>
      </w:r>
      <w:r w:rsidRPr="005A0420">
        <w:rPr>
          <w:rFonts w:ascii="Times New Roman" w:hAnsi="Times New Roman" w:cs="Times New Roman"/>
          <w:sz w:val="24"/>
          <w:szCs w:val="24"/>
        </w:rPr>
        <w:t>A. (2018</w:t>
      </w:r>
      <w:r w:rsidR="00041DAD">
        <w:rPr>
          <w:rFonts w:ascii="Times New Roman" w:hAnsi="Times New Roman" w:cs="Times New Roman"/>
          <w:sz w:val="24"/>
          <w:szCs w:val="24"/>
        </w:rPr>
        <w:t>b</w:t>
      </w:r>
      <w:r w:rsidRPr="005A0420">
        <w:rPr>
          <w:rFonts w:ascii="Times New Roman" w:hAnsi="Times New Roman" w:cs="Times New Roman"/>
          <w:sz w:val="24"/>
          <w:szCs w:val="24"/>
        </w:rPr>
        <w:t>). Psychosocial risk factors’ impact pathway for social life cycle assessment: an application to citrus life cycles in South Italy. The International Journal of Life Cycle Assessment https://doi.org/10.1007/s11367-018-1482-4</w:t>
      </w:r>
    </w:p>
    <w:p w14:paraId="45A2F611" w14:textId="77777777" w:rsidR="00041DAD" w:rsidRPr="005D62CA" w:rsidRDefault="00041DAD" w:rsidP="005A0420">
      <w:pPr>
        <w:spacing w:line="240" w:lineRule="auto"/>
        <w:jc w:val="both"/>
        <w:rPr>
          <w:rFonts w:ascii="Times New Roman" w:hAnsi="Times New Roman" w:cs="Times New Roman"/>
          <w:sz w:val="24"/>
          <w:szCs w:val="24"/>
        </w:rPr>
      </w:pPr>
    </w:p>
    <w:p w14:paraId="53912BC8" w14:textId="3036E95A" w:rsidR="007973AC" w:rsidRPr="005A0420" w:rsidRDefault="007973AC" w:rsidP="005A0420">
      <w:pPr>
        <w:spacing w:line="240" w:lineRule="auto"/>
        <w:jc w:val="both"/>
        <w:rPr>
          <w:rFonts w:ascii="Times New Roman" w:hAnsi="Times New Roman" w:cs="Times New Roman"/>
          <w:sz w:val="24"/>
          <w:szCs w:val="24"/>
          <w:shd w:val="clear" w:color="auto" w:fill="FFFFFF"/>
        </w:rPr>
      </w:pPr>
      <w:r w:rsidRPr="005A0420">
        <w:rPr>
          <w:rFonts w:ascii="Times New Roman" w:hAnsi="Times New Roman" w:cs="Times New Roman"/>
          <w:sz w:val="24"/>
          <w:szCs w:val="24"/>
          <w:lang w:val="pt-BR"/>
        </w:rPr>
        <w:t xml:space="preserve">INE. (2017). Estatísticas Agrícolas 2016. </w:t>
      </w:r>
      <w:r w:rsidRPr="005A0420">
        <w:rPr>
          <w:rFonts w:ascii="Times New Roman" w:hAnsi="Times New Roman" w:cs="Times New Roman"/>
          <w:sz w:val="24"/>
          <w:szCs w:val="24"/>
          <w:shd w:val="clear" w:color="auto" w:fill="FFFFFF"/>
          <w:lang w:val="pt-BR"/>
        </w:rPr>
        <w:t xml:space="preserve"> Lisboa. Retrieved from www: &lt;url:https://www.ine.pt/xurl/pub/277047595&gt;. </w:t>
      </w:r>
      <w:r w:rsidRPr="005A0420">
        <w:rPr>
          <w:rFonts w:ascii="Times New Roman" w:hAnsi="Times New Roman" w:cs="Times New Roman"/>
          <w:sz w:val="24"/>
          <w:szCs w:val="24"/>
          <w:shd w:val="clear" w:color="auto" w:fill="FFFFFF"/>
        </w:rPr>
        <w:t>ISSN 0079-4139. ISBN 978-989-25-0395-0</w:t>
      </w:r>
    </w:p>
    <w:p w14:paraId="72F08CF3" w14:textId="1864F053" w:rsidR="00C53248" w:rsidRPr="005A0420" w:rsidRDefault="00C53248" w:rsidP="005A0420">
      <w:pPr>
        <w:spacing w:line="240" w:lineRule="auto"/>
        <w:jc w:val="both"/>
        <w:rPr>
          <w:rFonts w:ascii="Times New Roman" w:hAnsi="Times New Roman" w:cs="Times New Roman"/>
          <w:sz w:val="24"/>
          <w:szCs w:val="24"/>
        </w:rPr>
      </w:pPr>
      <w:r w:rsidRPr="005A0420">
        <w:rPr>
          <w:rFonts w:ascii="Times New Roman" w:hAnsi="Times New Roman" w:cs="Times New Roman"/>
          <w:sz w:val="24"/>
          <w:szCs w:val="24"/>
        </w:rPr>
        <w:t>ISO</w:t>
      </w:r>
      <w:r w:rsidR="00E07E44">
        <w:rPr>
          <w:rFonts w:ascii="Times New Roman" w:hAnsi="Times New Roman" w:cs="Times New Roman"/>
          <w:sz w:val="24"/>
          <w:szCs w:val="24"/>
        </w:rPr>
        <w:t>.</w:t>
      </w:r>
      <w:r w:rsidRPr="005A0420">
        <w:rPr>
          <w:rFonts w:ascii="Times New Roman" w:hAnsi="Times New Roman" w:cs="Times New Roman"/>
          <w:sz w:val="24"/>
          <w:szCs w:val="24"/>
        </w:rPr>
        <w:t xml:space="preserve"> (2006a)</w:t>
      </w:r>
      <w:r w:rsidR="00E07E44">
        <w:rPr>
          <w:rFonts w:ascii="Times New Roman" w:hAnsi="Times New Roman" w:cs="Times New Roman"/>
          <w:sz w:val="24"/>
          <w:szCs w:val="24"/>
        </w:rPr>
        <w:t>.</w:t>
      </w:r>
      <w:r w:rsidRPr="005A0420">
        <w:rPr>
          <w:rFonts w:ascii="Times New Roman" w:hAnsi="Times New Roman" w:cs="Times New Roman"/>
          <w:sz w:val="24"/>
          <w:szCs w:val="24"/>
        </w:rPr>
        <w:t xml:space="preserve"> 14040:2006 environmental management—life cycle assessment—principles and framework</w:t>
      </w:r>
      <w:r w:rsidR="00E07E44">
        <w:rPr>
          <w:rFonts w:ascii="Times New Roman" w:hAnsi="Times New Roman" w:cs="Times New Roman"/>
          <w:sz w:val="24"/>
          <w:szCs w:val="24"/>
        </w:rPr>
        <w:t>.</w:t>
      </w:r>
      <w:r w:rsidRPr="005A0420">
        <w:rPr>
          <w:rFonts w:ascii="Times New Roman" w:hAnsi="Times New Roman" w:cs="Times New Roman"/>
          <w:sz w:val="24"/>
          <w:szCs w:val="24"/>
        </w:rPr>
        <w:t xml:space="preserve"> International Organization for Standardization: Geneva, Switzerland</w:t>
      </w:r>
      <w:r w:rsidR="00E07E44">
        <w:rPr>
          <w:rFonts w:ascii="Times New Roman" w:hAnsi="Times New Roman" w:cs="Times New Roman"/>
          <w:sz w:val="24"/>
          <w:szCs w:val="24"/>
        </w:rPr>
        <w:t>.</w:t>
      </w:r>
    </w:p>
    <w:p w14:paraId="115C3493" w14:textId="0B66A4EC" w:rsidR="00C53248" w:rsidRPr="00A14B7B" w:rsidRDefault="00C53248" w:rsidP="005A0420">
      <w:pPr>
        <w:spacing w:line="240" w:lineRule="auto"/>
        <w:jc w:val="both"/>
        <w:rPr>
          <w:rFonts w:ascii="Times New Roman" w:hAnsi="Times New Roman" w:cs="Times New Roman"/>
          <w:sz w:val="24"/>
          <w:szCs w:val="24"/>
        </w:rPr>
      </w:pPr>
      <w:r w:rsidRPr="005A0420">
        <w:rPr>
          <w:rFonts w:ascii="Times New Roman" w:hAnsi="Times New Roman" w:cs="Times New Roman"/>
          <w:sz w:val="24"/>
          <w:szCs w:val="24"/>
        </w:rPr>
        <w:t>ISO</w:t>
      </w:r>
      <w:r w:rsidR="00E07E44">
        <w:rPr>
          <w:rFonts w:ascii="Times New Roman" w:hAnsi="Times New Roman" w:cs="Times New Roman"/>
          <w:sz w:val="24"/>
          <w:szCs w:val="24"/>
        </w:rPr>
        <w:t xml:space="preserve">. </w:t>
      </w:r>
      <w:r w:rsidRPr="005A0420">
        <w:rPr>
          <w:rFonts w:ascii="Times New Roman" w:hAnsi="Times New Roman" w:cs="Times New Roman"/>
          <w:sz w:val="24"/>
          <w:szCs w:val="24"/>
        </w:rPr>
        <w:t>(2006b)</w:t>
      </w:r>
      <w:r w:rsidR="00E07E44">
        <w:rPr>
          <w:rFonts w:ascii="Times New Roman" w:hAnsi="Times New Roman" w:cs="Times New Roman"/>
          <w:sz w:val="24"/>
          <w:szCs w:val="24"/>
        </w:rPr>
        <w:t>.</w:t>
      </w:r>
      <w:r w:rsidRPr="005A0420">
        <w:rPr>
          <w:rFonts w:ascii="Times New Roman" w:hAnsi="Times New Roman" w:cs="Times New Roman"/>
          <w:sz w:val="24"/>
          <w:szCs w:val="24"/>
        </w:rPr>
        <w:t xml:space="preserve"> 14044:2006 environmental management—life cycle assessment—requirements and guidelines. </w:t>
      </w:r>
      <w:r w:rsidRPr="00A14B7B">
        <w:rPr>
          <w:rFonts w:ascii="Times New Roman" w:hAnsi="Times New Roman" w:cs="Times New Roman"/>
          <w:sz w:val="24"/>
          <w:szCs w:val="24"/>
        </w:rPr>
        <w:t>International Organization for Standardization: Geneva, Switzerland</w:t>
      </w:r>
      <w:r w:rsidR="00E07E44" w:rsidRPr="00A14B7B">
        <w:rPr>
          <w:rFonts w:ascii="Times New Roman" w:hAnsi="Times New Roman" w:cs="Times New Roman"/>
          <w:sz w:val="24"/>
          <w:szCs w:val="24"/>
        </w:rPr>
        <w:t>.</w:t>
      </w:r>
    </w:p>
    <w:p w14:paraId="7BD1B697" w14:textId="3A3B3386" w:rsidR="00DA15F4" w:rsidRPr="00DA15F4" w:rsidRDefault="00DA15F4" w:rsidP="005A0420">
      <w:pPr>
        <w:spacing w:line="240" w:lineRule="auto"/>
        <w:jc w:val="both"/>
        <w:rPr>
          <w:rFonts w:ascii="Times New Roman" w:hAnsi="Times New Roman" w:cs="Times New Roman"/>
          <w:sz w:val="24"/>
          <w:szCs w:val="24"/>
        </w:rPr>
      </w:pPr>
      <w:r w:rsidRPr="00DA15F4">
        <w:rPr>
          <w:rFonts w:ascii="Times New Roman" w:hAnsi="Times New Roman" w:cs="Times New Roman"/>
          <w:sz w:val="24"/>
          <w:szCs w:val="24"/>
        </w:rPr>
        <w:lastRenderedPageBreak/>
        <w:t>ISO (2008). 15686-5 Buildings and Constructed Assets – Service-Life Planning – Part 5: Life-Cycle Costing. International Organization for Standardization</w:t>
      </w:r>
      <w:r>
        <w:rPr>
          <w:rFonts w:ascii="Times New Roman" w:hAnsi="Times New Roman" w:cs="Times New Roman"/>
          <w:sz w:val="24"/>
          <w:szCs w:val="24"/>
        </w:rPr>
        <w:t>: Geneva, Switzerland.</w:t>
      </w:r>
      <w:r w:rsidRPr="00DA15F4">
        <w:rPr>
          <w:rFonts w:ascii="Times New Roman" w:hAnsi="Times New Roman" w:cs="Times New Roman"/>
          <w:sz w:val="24"/>
          <w:szCs w:val="24"/>
        </w:rPr>
        <w:t xml:space="preserve"> Retrieved from https://www.iso.org/standard/39843.html</w:t>
      </w:r>
    </w:p>
    <w:p w14:paraId="273350F9" w14:textId="77777777" w:rsidR="001C5C1A" w:rsidRPr="001C5C1A" w:rsidRDefault="001C5C1A" w:rsidP="001C5C1A">
      <w:pPr>
        <w:jc w:val="both"/>
        <w:rPr>
          <w:rFonts w:ascii="Times New Roman" w:hAnsi="Times New Roman" w:cs="Times New Roman"/>
          <w:b/>
          <w:bCs/>
          <w:sz w:val="24"/>
          <w:szCs w:val="24"/>
        </w:rPr>
      </w:pPr>
      <w:r w:rsidRPr="007A5753">
        <w:rPr>
          <w:rFonts w:ascii="Times New Roman" w:hAnsi="Times New Roman" w:cs="Times New Roman"/>
          <w:sz w:val="24"/>
          <w:szCs w:val="24"/>
          <w:lang w:val="es-ES"/>
        </w:rPr>
        <w:t>Lopez, M. (2014).</w:t>
      </w:r>
      <w:r w:rsidRPr="007A5753">
        <w:rPr>
          <w:rFonts w:ascii="Times New Roman" w:hAnsi="Times New Roman" w:cs="Times New Roman"/>
          <w:b/>
          <w:bCs/>
          <w:sz w:val="24"/>
          <w:szCs w:val="24"/>
          <w:lang w:val="es-ES"/>
        </w:rPr>
        <w:t xml:space="preserve"> </w:t>
      </w:r>
      <w:r w:rsidRPr="007A5753">
        <w:rPr>
          <w:rFonts w:ascii="Times New Roman" w:hAnsi="Times New Roman" w:cs="Times New Roman"/>
          <w:sz w:val="24"/>
          <w:szCs w:val="24"/>
          <w:lang w:val="es-ES"/>
        </w:rPr>
        <w:t xml:space="preserve">Comentario al libro Metabolismos, naturaleza e historia: hacia una teoría de las transformaciones socioecológicas, de Manuel González de Molina y Víctor Manuel Toledo. </w:t>
      </w:r>
      <w:proofErr w:type="spellStart"/>
      <w:r w:rsidRPr="001C5C1A">
        <w:rPr>
          <w:rFonts w:ascii="Times New Roman" w:hAnsi="Times New Roman" w:cs="Times New Roman"/>
          <w:sz w:val="24"/>
          <w:szCs w:val="24"/>
        </w:rPr>
        <w:t>Revista</w:t>
      </w:r>
      <w:proofErr w:type="spellEnd"/>
      <w:r w:rsidRPr="001C5C1A">
        <w:rPr>
          <w:rFonts w:ascii="Times New Roman" w:hAnsi="Times New Roman" w:cs="Times New Roman"/>
          <w:sz w:val="24"/>
          <w:szCs w:val="24"/>
        </w:rPr>
        <w:t xml:space="preserve"> de Historia </w:t>
      </w:r>
      <w:proofErr w:type="gramStart"/>
      <w:r w:rsidRPr="001C5C1A">
        <w:rPr>
          <w:rFonts w:ascii="Times New Roman" w:hAnsi="Times New Roman" w:cs="Times New Roman"/>
          <w:sz w:val="24"/>
          <w:szCs w:val="24"/>
        </w:rPr>
        <w:t>N.º</w:t>
      </w:r>
      <w:proofErr w:type="gramEnd"/>
      <w:r w:rsidRPr="001C5C1A">
        <w:rPr>
          <w:rFonts w:ascii="Times New Roman" w:hAnsi="Times New Roman" w:cs="Times New Roman"/>
          <w:sz w:val="24"/>
          <w:szCs w:val="24"/>
        </w:rPr>
        <w:t xml:space="preserve"> 70  ISSN: 1012-9790 pp. 267-271</w:t>
      </w:r>
    </w:p>
    <w:p w14:paraId="1C1F4115" w14:textId="0E4DE47E" w:rsidR="006064D2" w:rsidRPr="005A0420" w:rsidRDefault="006064D2" w:rsidP="005A0420">
      <w:pPr>
        <w:spacing w:line="240" w:lineRule="auto"/>
        <w:jc w:val="both"/>
        <w:rPr>
          <w:rFonts w:ascii="Times New Roman" w:hAnsi="Times New Roman" w:cs="Times New Roman"/>
          <w:sz w:val="24"/>
          <w:szCs w:val="24"/>
          <w:lang w:val="pt-BR"/>
        </w:rPr>
      </w:pPr>
      <w:proofErr w:type="spellStart"/>
      <w:r w:rsidRPr="005A0420">
        <w:rPr>
          <w:rFonts w:ascii="Times New Roman" w:hAnsi="Times New Roman" w:cs="Times New Roman"/>
          <w:sz w:val="24"/>
          <w:szCs w:val="24"/>
        </w:rPr>
        <w:t>Macombe</w:t>
      </w:r>
      <w:proofErr w:type="spellEnd"/>
      <w:r w:rsidRPr="005A0420">
        <w:rPr>
          <w:rFonts w:ascii="Times New Roman" w:hAnsi="Times New Roman" w:cs="Times New Roman"/>
          <w:sz w:val="24"/>
          <w:szCs w:val="24"/>
        </w:rPr>
        <w:t xml:space="preserve"> C, </w:t>
      </w:r>
      <w:proofErr w:type="spellStart"/>
      <w:r w:rsidRPr="005A0420">
        <w:rPr>
          <w:rFonts w:ascii="Times New Roman" w:hAnsi="Times New Roman" w:cs="Times New Roman"/>
          <w:sz w:val="24"/>
          <w:szCs w:val="24"/>
        </w:rPr>
        <w:t>Leskinen</w:t>
      </w:r>
      <w:proofErr w:type="spellEnd"/>
      <w:r w:rsidRPr="005A0420">
        <w:rPr>
          <w:rFonts w:ascii="Times New Roman" w:hAnsi="Times New Roman" w:cs="Times New Roman"/>
          <w:sz w:val="24"/>
          <w:szCs w:val="24"/>
        </w:rPr>
        <w:t xml:space="preserve"> P, </w:t>
      </w:r>
      <w:proofErr w:type="spellStart"/>
      <w:r w:rsidRPr="005A0420">
        <w:rPr>
          <w:rFonts w:ascii="Times New Roman" w:hAnsi="Times New Roman" w:cs="Times New Roman"/>
          <w:sz w:val="24"/>
          <w:szCs w:val="24"/>
        </w:rPr>
        <w:t>Feschet</w:t>
      </w:r>
      <w:proofErr w:type="spellEnd"/>
      <w:r w:rsidRPr="005A0420">
        <w:rPr>
          <w:rFonts w:ascii="Times New Roman" w:hAnsi="Times New Roman" w:cs="Times New Roman"/>
          <w:sz w:val="24"/>
          <w:szCs w:val="24"/>
        </w:rPr>
        <w:t xml:space="preserve"> P, </w:t>
      </w:r>
      <w:proofErr w:type="spellStart"/>
      <w:r w:rsidRPr="005A0420">
        <w:rPr>
          <w:rFonts w:ascii="Times New Roman" w:hAnsi="Times New Roman" w:cs="Times New Roman"/>
          <w:sz w:val="24"/>
          <w:szCs w:val="24"/>
        </w:rPr>
        <w:t>Antikainen</w:t>
      </w:r>
      <w:proofErr w:type="spellEnd"/>
      <w:r w:rsidRPr="005A0420">
        <w:rPr>
          <w:rFonts w:ascii="Times New Roman" w:hAnsi="Times New Roman" w:cs="Times New Roman"/>
          <w:sz w:val="24"/>
          <w:szCs w:val="24"/>
        </w:rPr>
        <w:t xml:space="preserve"> R. (2013). Social life cycle assessment of biodiesel production at three levels: a literature review and development needs. </w:t>
      </w:r>
      <w:r w:rsidRPr="005A0420">
        <w:rPr>
          <w:rFonts w:ascii="Times New Roman" w:hAnsi="Times New Roman" w:cs="Times New Roman"/>
          <w:i/>
          <w:iCs/>
          <w:sz w:val="24"/>
          <w:szCs w:val="24"/>
          <w:lang w:val="pt-BR"/>
        </w:rPr>
        <w:t xml:space="preserve">Journal of </w:t>
      </w:r>
      <w:r w:rsidR="00E6698F" w:rsidRPr="005A0420">
        <w:rPr>
          <w:rFonts w:ascii="Times New Roman" w:hAnsi="Times New Roman" w:cs="Times New Roman"/>
          <w:i/>
          <w:iCs/>
          <w:sz w:val="24"/>
          <w:szCs w:val="24"/>
          <w:lang w:val="pt-BR"/>
        </w:rPr>
        <w:t>-</w:t>
      </w:r>
      <w:r w:rsidRPr="005A0420">
        <w:rPr>
          <w:rFonts w:ascii="Times New Roman" w:hAnsi="Times New Roman" w:cs="Times New Roman"/>
          <w:i/>
          <w:iCs/>
          <w:sz w:val="24"/>
          <w:szCs w:val="24"/>
          <w:lang w:val="pt-BR"/>
        </w:rPr>
        <w:t xml:space="preserve">Cleaner Production. </w:t>
      </w:r>
      <w:r w:rsidRPr="005A0420">
        <w:rPr>
          <w:rFonts w:ascii="Times New Roman" w:hAnsi="Times New Roman" w:cs="Times New Roman"/>
          <w:sz w:val="24"/>
          <w:szCs w:val="24"/>
          <w:lang w:val="pt-BR"/>
        </w:rPr>
        <w:t>52:205–216.</w:t>
      </w:r>
    </w:p>
    <w:p w14:paraId="21B3745E" w14:textId="77777777" w:rsidR="006A2A77" w:rsidRPr="005A0420" w:rsidRDefault="006A2A77" w:rsidP="005A0420">
      <w:pPr>
        <w:spacing w:line="240" w:lineRule="auto"/>
        <w:jc w:val="both"/>
        <w:rPr>
          <w:rFonts w:ascii="Times New Roman" w:hAnsi="Times New Roman" w:cs="Times New Roman"/>
          <w:sz w:val="24"/>
          <w:szCs w:val="24"/>
          <w:lang w:val="pt-PT"/>
        </w:rPr>
      </w:pPr>
      <w:r w:rsidRPr="005A0420">
        <w:rPr>
          <w:rFonts w:ascii="Times New Roman" w:hAnsi="Times New Roman" w:cs="Times New Roman"/>
          <w:sz w:val="24"/>
          <w:szCs w:val="24"/>
          <w:lang w:val="pt-PT"/>
        </w:rPr>
        <w:t xml:space="preserve">Marques, C., Carvalho, M. (2017). </w:t>
      </w:r>
      <w:r w:rsidRPr="005A0420">
        <w:rPr>
          <w:rFonts w:ascii="Times New Roman" w:hAnsi="Times New Roman" w:cs="Times New Roman"/>
          <w:sz w:val="24"/>
          <w:szCs w:val="24"/>
          <w:lang w:val="pt-BR"/>
        </w:rPr>
        <w:t xml:space="preserve">A agricultura e os sistemas de produção da região Alentejo de Portugal.: Evolução, situação atual e perspectivas. Revista de Economia e Agronegócio – REA,  15,  3,  p.430. ISSN online: 2526-5539. </w:t>
      </w:r>
      <w:r w:rsidRPr="005A0420">
        <w:rPr>
          <w:rFonts w:ascii="Times New Roman" w:hAnsi="Times New Roman" w:cs="Times New Roman"/>
          <w:sz w:val="24"/>
          <w:szCs w:val="24"/>
          <w:lang w:val="pt-PT"/>
        </w:rPr>
        <w:t xml:space="preserve">Retrieved from https:\\dspace.uevora..pt/rdpc/handle/10174/22004. </w:t>
      </w:r>
    </w:p>
    <w:p w14:paraId="0B042156" w14:textId="21E61A63" w:rsidR="00DD443B" w:rsidRPr="00DD443B" w:rsidRDefault="00DD443B" w:rsidP="005A0420">
      <w:pPr>
        <w:spacing w:line="240" w:lineRule="auto"/>
        <w:jc w:val="both"/>
        <w:rPr>
          <w:rFonts w:ascii="Times New Roman" w:hAnsi="Times New Roman" w:cs="Times New Roman"/>
          <w:sz w:val="24"/>
          <w:szCs w:val="24"/>
        </w:rPr>
      </w:pPr>
      <w:r w:rsidRPr="00A14B7B">
        <w:rPr>
          <w:rFonts w:ascii="Times New Roman" w:hAnsi="Times New Roman" w:cs="Times New Roman"/>
          <w:sz w:val="24"/>
          <w:szCs w:val="24"/>
          <w:lang w:val="it-IT"/>
        </w:rPr>
        <w:t xml:space="preserve">Mairech, H., Lopez-Bernal, A., Moriondo, M., Dibari, C., Regni, L. Proietti, P. Villalobos, F. J., Testi, L. (2021). </w:t>
      </w:r>
      <w:r w:rsidRPr="00DD443B">
        <w:rPr>
          <w:rFonts w:ascii="Times New Roman" w:hAnsi="Times New Roman" w:cs="Times New Roman"/>
          <w:sz w:val="24"/>
          <w:szCs w:val="24"/>
        </w:rPr>
        <w:t>Sustainability of olive growing in the Mediterranean area under future climate scenarios: Exploring the effects of intensification and deficit irrigation. European Journal of Agronomy, 129, 126319. https://doi.org/10.1016/j.eja.2021.126319</w:t>
      </w:r>
    </w:p>
    <w:p w14:paraId="7C840AC5" w14:textId="7A0E2090" w:rsidR="006A2A77" w:rsidRPr="005A0420" w:rsidRDefault="006A2A77" w:rsidP="005A0420">
      <w:pPr>
        <w:spacing w:line="240" w:lineRule="auto"/>
        <w:jc w:val="both"/>
        <w:rPr>
          <w:rFonts w:ascii="Times New Roman" w:hAnsi="Times New Roman" w:cs="Times New Roman"/>
          <w:sz w:val="24"/>
          <w:szCs w:val="24"/>
        </w:rPr>
      </w:pPr>
      <w:r w:rsidRPr="007A5753">
        <w:rPr>
          <w:rFonts w:ascii="Times New Roman" w:hAnsi="Times New Roman" w:cs="Times New Roman"/>
          <w:sz w:val="24"/>
          <w:szCs w:val="24"/>
          <w:lang w:val="it-IT"/>
        </w:rPr>
        <w:t>Mohamad, R. S.</w:t>
      </w:r>
      <w:proofErr w:type="gramStart"/>
      <w:r w:rsidRPr="007A5753">
        <w:rPr>
          <w:rFonts w:ascii="Times New Roman" w:hAnsi="Times New Roman" w:cs="Times New Roman"/>
          <w:sz w:val="24"/>
          <w:szCs w:val="24"/>
          <w:lang w:val="it-IT"/>
        </w:rPr>
        <w:t>,  Verrastro</w:t>
      </w:r>
      <w:proofErr w:type="gramEnd"/>
      <w:r w:rsidRPr="007A5753">
        <w:rPr>
          <w:rFonts w:ascii="Times New Roman" w:hAnsi="Times New Roman" w:cs="Times New Roman"/>
          <w:sz w:val="24"/>
          <w:szCs w:val="24"/>
          <w:lang w:val="it-IT"/>
        </w:rPr>
        <w:t xml:space="preserve">, V., Cardone G., Bteich, M. R., Favia, M., Moretti M., Roma R. (2014). </w:t>
      </w:r>
      <w:r w:rsidRPr="005A0420">
        <w:rPr>
          <w:rFonts w:ascii="Times New Roman" w:hAnsi="Times New Roman" w:cs="Times New Roman"/>
          <w:sz w:val="24"/>
          <w:szCs w:val="24"/>
        </w:rPr>
        <w:t xml:space="preserve">Optimization of organic and conventional olive agricultural practices from a Life Cycle Assessment and Life Cycle Costing perspectives. </w:t>
      </w:r>
      <w:r w:rsidRPr="00093000">
        <w:rPr>
          <w:rFonts w:ascii="Times New Roman" w:hAnsi="Times New Roman" w:cs="Times New Roman"/>
          <w:i/>
          <w:iCs/>
          <w:sz w:val="24"/>
          <w:szCs w:val="24"/>
        </w:rPr>
        <w:t xml:space="preserve">Journal of Cleaner </w:t>
      </w:r>
      <w:proofErr w:type="gramStart"/>
      <w:r w:rsidRPr="00093000">
        <w:rPr>
          <w:rFonts w:ascii="Times New Roman" w:hAnsi="Times New Roman" w:cs="Times New Roman"/>
          <w:i/>
          <w:iCs/>
          <w:sz w:val="24"/>
          <w:szCs w:val="24"/>
        </w:rPr>
        <w:t>Production</w:t>
      </w:r>
      <w:r w:rsidR="00093000">
        <w:rPr>
          <w:rFonts w:ascii="Times New Roman" w:hAnsi="Times New Roman" w:cs="Times New Roman"/>
          <w:sz w:val="24"/>
          <w:szCs w:val="24"/>
        </w:rPr>
        <w:t>,</w:t>
      </w:r>
      <w:r w:rsidRPr="005A0420">
        <w:rPr>
          <w:rFonts w:ascii="Times New Roman" w:hAnsi="Times New Roman" w:cs="Times New Roman"/>
          <w:sz w:val="24"/>
          <w:szCs w:val="24"/>
        </w:rPr>
        <w:t xml:space="preserve">  70</w:t>
      </w:r>
      <w:proofErr w:type="gramEnd"/>
      <w:r w:rsidRPr="005A0420">
        <w:rPr>
          <w:rFonts w:ascii="Times New Roman" w:hAnsi="Times New Roman" w:cs="Times New Roman"/>
          <w:sz w:val="24"/>
          <w:szCs w:val="24"/>
        </w:rPr>
        <w:t>, 78-89. ISSN 0959-6526. https://doi.org/10.1016/j.jclepro.2014.02.033.</w:t>
      </w:r>
    </w:p>
    <w:p w14:paraId="343E9E8C" w14:textId="5D15D928" w:rsidR="006A2A77" w:rsidRPr="005A0420" w:rsidRDefault="006A2A77" w:rsidP="005A0420">
      <w:pPr>
        <w:spacing w:line="240" w:lineRule="auto"/>
        <w:jc w:val="both"/>
        <w:rPr>
          <w:rFonts w:ascii="Times New Roman" w:hAnsi="Times New Roman" w:cs="Times New Roman"/>
          <w:sz w:val="24"/>
          <w:szCs w:val="24"/>
        </w:rPr>
      </w:pPr>
      <w:r w:rsidRPr="005A0420">
        <w:rPr>
          <w:rFonts w:ascii="Times New Roman" w:hAnsi="Times New Roman" w:cs="Times New Roman"/>
          <w:sz w:val="24"/>
          <w:szCs w:val="24"/>
        </w:rPr>
        <w:t xml:space="preserve">Ramos, T.B. (2019). Sustainability Assessment: Exploring the Frontiers and Paradigms of Indicator Approaches. </w:t>
      </w:r>
      <w:r w:rsidRPr="00093000">
        <w:rPr>
          <w:rFonts w:ascii="Times New Roman" w:hAnsi="Times New Roman" w:cs="Times New Roman"/>
          <w:i/>
          <w:iCs/>
          <w:sz w:val="24"/>
          <w:szCs w:val="24"/>
        </w:rPr>
        <w:t>Sustainability,</w:t>
      </w:r>
      <w:r w:rsidRPr="005A0420">
        <w:rPr>
          <w:rFonts w:ascii="Times New Roman" w:hAnsi="Times New Roman" w:cs="Times New Roman"/>
          <w:sz w:val="24"/>
          <w:szCs w:val="24"/>
        </w:rPr>
        <w:t xml:space="preserve"> 11(824). DOI: 10.3390/su11030824 </w:t>
      </w:r>
    </w:p>
    <w:p w14:paraId="668E9419" w14:textId="5D5130CF" w:rsidR="003E2AF4" w:rsidRPr="00C90A6A" w:rsidRDefault="006A2A77" w:rsidP="003E2AF4">
      <w:pPr>
        <w:pStyle w:val="nova-legacy-e-listitem"/>
        <w:shd w:val="clear" w:color="auto" w:fill="FFFFFF"/>
        <w:spacing w:after="120" w:afterAutospacing="0"/>
        <w:rPr>
          <w:rFonts w:ascii="Roboto" w:hAnsi="Roboto"/>
          <w:color w:val="555555"/>
          <w:sz w:val="21"/>
          <w:szCs w:val="21"/>
          <w:lang w:val="en-US"/>
        </w:rPr>
      </w:pPr>
      <w:proofErr w:type="spellStart"/>
      <w:r w:rsidRPr="005A0420">
        <w:rPr>
          <w:lang w:val="en-US"/>
        </w:rPr>
        <w:t>Remmen</w:t>
      </w:r>
      <w:proofErr w:type="spellEnd"/>
      <w:r w:rsidRPr="005A0420">
        <w:rPr>
          <w:lang w:val="en-US"/>
        </w:rPr>
        <w:t xml:space="preserve"> A</w:t>
      </w:r>
      <w:r w:rsidR="006D68C6" w:rsidRPr="00C90A6A">
        <w:rPr>
          <w:lang w:val="en-US"/>
        </w:rPr>
        <w:t>.</w:t>
      </w:r>
      <w:r w:rsidRPr="005A0420">
        <w:rPr>
          <w:lang w:val="en-US"/>
        </w:rPr>
        <w:t>, Jensen A</w:t>
      </w:r>
      <w:r w:rsidR="006D68C6" w:rsidRPr="00C90A6A">
        <w:rPr>
          <w:lang w:val="en-US"/>
        </w:rPr>
        <w:t>.</w:t>
      </w:r>
      <w:r w:rsidRPr="005A0420">
        <w:rPr>
          <w:lang w:val="en-US"/>
        </w:rPr>
        <w:t>A</w:t>
      </w:r>
      <w:r w:rsidR="006D68C6" w:rsidRPr="00C90A6A">
        <w:rPr>
          <w:lang w:val="en-US"/>
        </w:rPr>
        <w:t>.</w:t>
      </w:r>
      <w:r w:rsidRPr="005A0420">
        <w:rPr>
          <w:lang w:val="en-US"/>
        </w:rPr>
        <w:t xml:space="preserve">, </w:t>
      </w:r>
      <w:proofErr w:type="spellStart"/>
      <w:r w:rsidRPr="005A0420">
        <w:rPr>
          <w:lang w:val="en-US"/>
        </w:rPr>
        <w:t>Frydendal</w:t>
      </w:r>
      <w:proofErr w:type="spellEnd"/>
      <w:r w:rsidRPr="005A0420">
        <w:rPr>
          <w:lang w:val="en-US"/>
        </w:rPr>
        <w:t xml:space="preserve"> J</w:t>
      </w:r>
      <w:r w:rsidR="006D68C6" w:rsidRPr="00C90A6A">
        <w:rPr>
          <w:lang w:val="en-US"/>
        </w:rPr>
        <w:t>.</w:t>
      </w:r>
      <w:r w:rsidRPr="005A0420">
        <w:rPr>
          <w:lang w:val="en-US"/>
        </w:rPr>
        <w:t xml:space="preserve"> (2007)</w:t>
      </w:r>
      <w:r w:rsidR="006D68C6" w:rsidRPr="00C90A6A">
        <w:rPr>
          <w:lang w:val="en-US"/>
        </w:rPr>
        <w:t>.</w:t>
      </w:r>
      <w:r w:rsidRPr="005A0420">
        <w:rPr>
          <w:lang w:val="en-US"/>
        </w:rPr>
        <w:t xml:space="preserve"> </w:t>
      </w:r>
      <w:r w:rsidRPr="00093000">
        <w:rPr>
          <w:i/>
          <w:iCs/>
          <w:lang w:val="en-US"/>
        </w:rPr>
        <w:t>Life cycle management</w:t>
      </w:r>
      <w:r w:rsidR="00093000">
        <w:rPr>
          <w:lang w:val="en-US"/>
        </w:rPr>
        <w:t>:</w:t>
      </w:r>
      <w:r w:rsidRPr="005A0420">
        <w:rPr>
          <w:lang w:val="en-US"/>
        </w:rPr>
        <w:t xml:space="preserve"> A business guide to sustainability. UNEP DTIE</w:t>
      </w:r>
      <w:r w:rsidR="003E2AF4" w:rsidRPr="00C90A6A">
        <w:rPr>
          <w:lang w:val="en-US"/>
        </w:rPr>
        <w:t>, Paris.</w:t>
      </w:r>
      <w:r w:rsidR="003E2AF4" w:rsidRPr="00C90A6A">
        <w:rPr>
          <w:rFonts w:ascii="Roboto" w:hAnsi="Roboto"/>
          <w:color w:val="555555"/>
          <w:sz w:val="21"/>
          <w:szCs w:val="21"/>
          <w:lang w:val="en-US"/>
        </w:rPr>
        <w:t> </w:t>
      </w:r>
      <w:r w:rsidR="003E2AF4" w:rsidRPr="00C90A6A">
        <w:rPr>
          <w:lang w:val="en-US"/>
        </w:rPr>
        <w:t>ISBN: 978-92-807-2772-2</w:t>
      </w:r>
    </w:p>
    <w:p w14:paraId="69A936FE" w14:textId="77777777" w:rsidR="007D16A1" w:rsidRDefault="007D16A1" w:rsidP="007D16A1">
      <w:pPr>
        <w:spacing w:line="240" w:lineRule="auto"/>
        <w:jc w:val="both"/>
        <w:rPr>
          <w:rFonts w:ascii="Times New Roman" w:hAnsi="Times New Roman" w:cs="Times New Roman"/>
          <w:sz w:val="24"/>
          <w:szCs w:val="24"/>
        </w:rPr>
      </w:pPr>
      <w:r w:rsidRPr="00A14B7B">
        <w:rPr>
          <w:rFonts w:ascii="Times New Roman" w:hAnsi="Times New Roman" w:cs="Times New Roman"/>
          <w:sz w:val="24"/>
          <w:szCs w:val="24"/>
        </w:rPr>
        <w:t xml:space="preserve">Romero-Gamez, M. Castro-Rodríguez, J. Suarez-Rey, E. M. (2017). </w:t>
      </w:r>
      <w:r>
        <w:rPr>
          <w:rFonts w:ascii="Times New Roman" w:hAnsi="Times New Roman" w:cs="Times New Roman"/>
          <w:sz w:val="24"/>
          <w:szCs w:val="24"/>
        </w:rPr>
        <w:t>Optimization of olive growing practices in Spain from a life cycle assessment perspective. Journal of Cleaner Production. 149, 25-37. http://dx.doi.org/10.1016/j.jclepro.2017.02.071</w:t>
      </w:r>
    </w:p>
    <w:p w14:paraId="6F452CE0" w14:textId="2296AF9B" w:rsidR="009C358C" w:rsidRPr="005A0420" w:rsidRDefault="009C358C" w:rsidP="005A0420">
      <w:pPr>
        <w:spacing w:line="240" w:lineRule="auto"/>
        <w:jc w:val="both"/>
        <w:rPr>
          <w:rFonts w:ascii="Times New Roman" w:hAnsi="Times New Roman" w:cs="Times New Roman"/>
          <w:sz w:val="24"/>
          <w:szCs w:val="24"/>
        </w:rPr>
      </w:pPr>
      <w:r w:rsidRPr="00A14B7B">
        <w:rPr>
          <w:rFonts w:ascii="Times New Roman" w:hAnsi="Times New Roman" w:cs="Times New Roman"/>
          <w:sz w:val="24"/>
          <w:szCs w:val="24"/>
          <w:lang w:val="it-IT"/>
        </w:rPr>
        <w:t xml:space="preserve">Sala S., Farioli F., Zamagni A. (2013). </w:t>
      </w:r>
      <w:r w:rsidRPr="005A0420">
        <w:rPr>
          <w:rFonts w:ascii="Times New Roman" w:hAnsi="Times New Roman" w:cs="Times New Roman"/>
          <w:sz w:val="24"/>
          <w:szCs w:val="24"/>
        </w:rPr>
        <w:t xml:space="preserve">Progress in sustainability science: lessons learnt from current methodologies for sustainability assessment: Part 1. </w:t>
      </w:r>
      <w:r w:rsidRPr="00575B74">
        <w:rPr>
          <w:rFonts w:ascii="Times New Roman" w:hAnsi="Times New Roman" w:cs="Times New Roman"/>
          <w:i/>
          <w:iCs/>
          <w:sz w:val="24"/>
          <w:szCs w:val="24"/>
        </w:rPr>
        <w:t>International Journal of Life Cycle Assessment</w:t>
      </w:r>
      <w:r w:rsidRPr="005A0420">
        <w:rPr>
          <w:rFonts w:ascii="Times New Roman" w:hAnsi="Times New Roman" w:cs="Times New Roman"/>
          <w:sz w:val="24"/>
          <w:szCs w:val="24"/>
        </w:rPr>
        <w:t xml:space="preserve">, 18(9): 1653-1672, </w:t>
      </w:r>
      <w:proofErr w:type="spellStart"/>
      <w:r w:rsidRPr="005A0420">
        <w:rPr>
          <w:rFonts w:ascii="Times New Roman" w:hAnsi="Times New Roman" w:cs="Times New Roman"/>
          <w:sz w:val="24"/>
          <w:szCs w:val="24"/>
        </w:rPr>
        <w:t>doi</w:t>
      </w:r>
      <w:proofErr w:type="spellEnd"/>
      <w:r w:rsidRPr="005A0420">
        <w:rPr>
          <w:rFonts w:ascii="Times New Roman" w:hAnsi="Times New Roman" w:cs="Times New Roman"/>
          <w:sz w:val="24"/>
          <w:szCs w:val="24"/>
        </w:rPr>
        <w:t>: 10.1007/s11367-012-0508-6</w:t>
      </w:r>
    </w:p>
    <w:p w14:paraId="1DB9B6B4" w14:textId="72D9BAD3" w:rsidR="006A2A77" w:rsidRPr="005A0420" w:rsidRDefault="006A2A77" w:rsidP="005A0420">
      <w:pPr>
        <w:spacing w:line="240" w:lineRule="auto"/>
        <w:jc w:val="both"/>
        <w:rPr>
          <w:rFonts w:ascii="Times New Roman" w:hAnsi="Times New Roman" w:cs="Times New Roman"/>
          <w:sz w:val="24"/>
          <w:szCs w:val="24"/>
        </w:rPr>
      </w:pPr>
      <w:r w:rsidRPr="00A14B7B">
        <w:rPr>
          <w:rFonts w:ascii="Times New Roman" w:hAnsi="Times New Roman" w:cs="Times New Roman"/>
          <w:sz w:val="24"/>
          <w:szCs w:val="24"/>
        </w:rPr>
        <w:t xml:space="preserve">Sala, S., Anton, A., McLaren, S. J., Notarnicola,B., Saouter, E., Sonesson, U. (2017). </w:t>
      </w:r>
      <w:r w:rsidRPr="005A0420">
        <w:rPr>
          <w:rFonts w:ascii="Times New Roman" w:hAnsi="Times New Roman" w:cs="Times New Roman"/>
          <w:sz w:val="24"/>
          <w:szCs w:val="24"/>
        </w:rPr>
        <w:t>In quest of reducing the environmental impacts of food production and consumption</w:t>
      </w:r>
      <w:r w:rsidRPr="00575B74">
        <w:rPr>
          <w:rFonts w:ascii="Times New Roman" w:hAnsi="Times New Roman" w:cs="Times New Roman"/>
          <w:i/>
          <w:iCs/>
          <w:sz w:val="24"/>
          <w:szCs w:val="24"/>
        </w:rPr>
        <w:t>. Journal of Cleaner Production</w:t>
      </w:r>
      <w:r w:rsidRPr="005A0420">
        <w:rPr>
          <w:rFonts w:ascii="Times New Roman" w:hAnsi="Times New Roman" w:cs="Times New Roman"/>
          <w:sz w:val="24"/>
          <w:szCs w:val="24"/>
        </w:rPr>
        <w:t xml:space="preserve">, 140, Part 2, 387-398. ISSN 0959-6526. </w:t>
      </w:r>
      <w:r w:rsidR="009912B1" w:rsidRPr="00575B74">
        <w:rPr>
          <w:rFonts w:ascii="Times New Roman" w:hAnsi="Times New Roman" w:cs="Times New Roman"/>
          <w:sz w:val="24"/>
          <w:szCs w:val="24"/>
        </w:rPr>
        <w:t>https://doi.org/10.1016/j.jclepro.2016.09.054</w:t>
      </w:r>
      <w:r w:rsidRPr="005A0420">
        <w:rPr>
          <w:rFonts w:ascii="Times New Roman" w:hAnsi="Times New Roman" w:cs="Times New Roman"/>
          <w:sz w:val="24"/>
          <w:szCs w:val="24"/>
        </w:rPr>
        <w:t>.</w:t>
      </w:r>
    </w:p>
    <w:p w14:paraId="54D31236" w14:textId="3A5C171E" w:rsidR="00C73171" w:rsidRPr="00C73171" w:rsidRDefault="00C73171" w:rsidP="005A0420">
      <w:pPr>
        <w:spacing w:line="240" w:lineRule="auto"/>
        <w:jc w:val="both"/>
        <w:rPr>
          <w:rFonts w:ascii="Times New Roman" w:hAnsi="Times New Roman" w:cs="Times New Roman"/>
          <w:sz w:val="24"/>
          <w:szCs w:val="24"/>
        </w:rPr>
      </w:pPr>
      <w:proofErr w:type="spellStart"/>
      <w:r w:rsidRPr="00C73171">
        <w:rPr>
          <w:rFonts w:ascii="Times New Roman" w:hAnsi="Times New Roman" w:cs="Times New Roman"/>
          <w:sz w:val="24"/>
          <w:szCs w:val="24"/>
        </w:rPr>
        <w:t>Salomone</w:t>
      </w:r>
      <w:proofErr w:type="spellEnd"/>
      <w:r w:rsidRPr="00C73171">
        <w:rPr>
          <w:rFonts w:ascii="Times New Roman" w:hAnsi="Times New Roman" w:cs="Times New Roman"/>
          <w:sz w:val="24"/>
          <w:szCs w:val="24"/>
        </w:rPr>
        <w:t xml:space="preserve">, R., &amp; </w:t>
      </w:r>
      <w:proofErr w:type="spellStart"/>
      <w:r w:rsidRPr="00C73171">
        <w:rPr>
          <w:rFonts w:ascii="Times New Roman" w:hAnsi="Times New Roman" w:cs="Times New Roman"/>
          <w:sz w:val="24"/>
          <w:szCs w:val="24"/>
        </w:rPr>
        <w:t>Ioppolo</w:t>
      </w:r>
      <w:proofErr w:type="spellEnd"/>
      <w:r w:rsidRPr="00C73171">
        <w:rPr>
          <w:rFonts w:ascii="Times New Roman" w:hAnsi="Times New Roman" w:cs="Times New Roman"/>
          <w:sz w:val="24"/>
          <w:szCs w:val="24"/>
        </w:rPr>
        <w:t xml:space="preserve">, G. (2012). Environmental impacts of olive oil production: A life cycle assessment case study in the province of </w:t>
      </w:r>
      <w:proofErr w:type="spellStart"/>
      <w:r w:rsidRPr="00C73171">
        <w:rPr>
          <w:rFonts w:ascii="Times New Roman" w:hAnsi="Times New Roman" w:cs="Times New Roman"/>
          <w:sz w:val="24"/>
          <w:szCs w:val="24"/>
        </w:rPr>
        <w:t>messina</w:t>
      </w:r>
      <w:proofErr w:type="spellEnd"/>
      <w:r w:rsidRPr="00C73171">
        <w:rPr>
          <w:rFonts w:ascii="Times New Roman" w:hAnsi="Times New Roman" w:cs="Times New Roman"/>
          <w:sz w:val="24"/>
          <w:szCs w:val="24"/>
        </w:rPr>
        <w:t xml:space="preserve">. </w:t>
      </w:r>
      <w:r w:rsidRPr="00C73171">
        <w:rPr>
          <w:rFonts w:ascii="Times New Roman" w:hAnsi="Times New Roman" w:cs="Times New Roman"/>
          <w:i/>
          <w:iCs/>
          <w:sz w:val="24"/>
          <w:szCs w:val="24"/>
        </w:rPr>
        <w:t>Journal of Cleaner Production,</w:t>
      </w:r>
      <w:r w:rsidRPr="00C73171">
        <w:rPr>
          <w:rFonts w:ascii="Times New Roman" w:hAnsi="Times New Roman" w:cs="Times New Roman"/>
          <w:sz w:val="24"/>
          <w:szCs w:val="24"/>
        </w:rPr>
        <w:t xml:space="preserve"> 28, 88–100</w:t>
      </w:r>
      <w:r>
        <w:rPr>
          <w:rFonts w:ascii="Times New Roman" w:hAnsi="Times New Roman" w:cs="Times New Roman"/>
          <w:sz w:val="24"/>
          <w:szCs w:val="24"/>
        </w:rPr>
        <w:t xml:space="preserve">. </w:t>
      </w:r>
      <w:r w:rsidRPr="00C73171">
        <w:rPr>
          <w:rFonts w:ascii="Times New Roman" w:hAnsi="Times New Roman" w:cs="Times New Roman"/>
          <w:sz w:val="24"/>
          <w:szCs w:val="24"/>
        </w:rPr>
        <w:t>http://dx.doi.org/10.1016/j.jclepro.2011.10.004</w:t>
      </w:r>
    </w:p>
    <w:p w14:paraId="36359F1C" w14:textId="2F832299" w:rsidR="009912B1" w:rsidRPr="00575B74" w:rsidRDefault="009912B1" w:rsidP="005A0420">
      <w:pPr>
        <w:spacing w:line="240" w:lineRule="auto"/>
        <w:jc w:val="both"/>
        <w:rPr>
          <w:rFonts w:ascii="Times New Roman" w:hAnsi="Times New Roman" w:cs="Times New Roman"/>
          <w:sz w:val="24"/>
          <w:szCs w:val="24"/>
          <w:lang w:val="pt-BR"/>
        </w:rPr>
      </w:pPr>
      <w:proofErr w:type="spellStart"/>
      <w:r w:rsidRPr="005A0420">
        <w:rPr>
          <w:rFonts w:ascii="Times New Roman" w:hAnsi="Times New Roman" w:cs="Times New Roman"/>
          <w:spacing w:val="4"/>
          <w:sz w:val="24"/>
          <w:szCs w:val="24"/>
          <w:shd w:val="clear" w:color="auto" w:fill="FCFCFC"/>
        </w:rPr>
        <w:t>Salomone</w:t>
      </w:r>
      <w:proofErr w:type="spellEnd"/>
      <w:r w:rsidRPr="005A0420">
        <w:rPr>
          <w:rFonts w:ascii="Times New Roman" w:hAnsi="Times New Roman" w:cs="Times New Roman"/>
          <w:spacing w:val="4"/>
          <w:sz w:val="24"/>
          <w:szCs w:val="24"/>
          <w:shd w:val="clear" w:color="auto" w:fill="FCFCFC"/>
        </w:rPr>
        <w:t xml:space="preserve"> R. et al. (2015). Life Cycle Assessment in the Olive Oil Sector. </w:t>
      </w:r>
      <w:r w:rsidRPr="00A14B7B">
        <w:rPr>
          <w:rFonts w:ascii="Times New Roman" w:hAnsi="Times New Roman" w:cs="Times New Roman"/>
          <w:spacing w:val="4"/>
          <w:sz w:val="24"/>
          <w:szCs w:val="24"/>
          <w:shd w:val="clear" w:color="auto" w:fill="FCFCFC"/>
          <w:lang w:val="it-IT"/>
        </w:rPr>
        <w:t xml:space="preserve">In: Notarnicola B., Salomone R., Petti L., Renzulli P., Roma R., Cerutti A. (eds) Life Cycle Assessment in the Agri-food Sector. </w:t>
      </w:r>
      <w:r w:rsidRPr="00575B74">
        <w:rPr>
          <w:rFonts w:ascii="Times New Roman" w:hAnsi="Times New Roman" w:cs="Times New Roman"/>
          <w:spacing w:val="4"/>
          <w:sz w:val="24"/>
          <w:szCs w:val="24"/>
          <w:shd w:val="clear" w:color="auto" w:fill="FCFCFC"/>
          <w:lang w:val="pt-BR"/>
        </w:rPr>
        <w:t>Springer, Cham. https://doi.org/10.1007/978-3-319-11940-3_</w:t>
      </w:r>
    </w:p>
    <w:p w14:paraId="4A6C21CE" w14:textId="77777777" w:rsidR="008953FF" w:rsidRPr="005A0420" w:rsidRDefault="008953FF" w:rsidP="005A0420">
      <w:pPr>
        <w:spacing w:line="240" w:lineRule="auto"/>
        <w:jc w:val="both"/>
        <w:rPr>
          <w:rFonts w:ascii="Times New Roman" w:hAnsi="Times New Roman" w:cs="Times New Roman"/>
          <w:sz w:val="24"/>
          <w:szCs w:val="24"/>
          <w:lang w:val="pt-BR"/>
        </w:rPr>
      </w:pPr>
      <w:r w:rsidRPr="005A0420">
        <w:rPr>
          <w:rFonts w:ascii="Times New Roman" w:hAnsi="Times New Roman" w:cs="Times New Roman"/>
          <w:sz w:val="24"/>
          <w:szCs w:val="24"/>
          <w:lang w:val="pt-BR"/>
        </w:rPr>
        <w:lastRenderedPageBreak/>
        <w:t>Seo, E. S. M., Kulay, L. A. Avaliação do ciclo de vida: ferramenta gerencial para tomada de decisão.</w:t>
      </w:r>
      <w:r w:rsidRPr="005A0420">
        <w:rPr>
          <w:rFonts w:ascii="Times New Roman" w:hAnsi="Times New Roman" w:cs="Times New Roman"/>
          <w:i/>
          <w:iCs/>
          <w:sz w:val="24"/>
          <w:szCs w:val="24"/>
          <w:lang w:val="pt-BR"/>
        </w:rPr>
        <w:t xml:space="preserve"> Interfaches</w:t>
      </w:r>
      <w:r w:rsidRPr="005A0420">
        <w:rPr>
          <w:rFonts w:ascii="Times New Roman" w:hAnsi="Times New Roman" w:cs="Times New Roman"/>
          <w:sz w:val="24"/>
          <w:szCs w:val="24"/>
          <w:lang w:val="pt-BR"/>
        </w:rPr>
        <w:t xml:space="preserve">. Retrieved from: http://www.interfacehs.sp.senac.br/   </w:t>
      </w:r>
    </w:p>
    <w:p w14:paraId="78A2CA6A" w14:textId="77777777" w:rsidR="006A2A77" w:rsidRPr="005A0420" w:rsidRDefault="006A2A77" w:rsidP="005A0420">
      <w:pPr>
        <w:spacing w:line="240" w:lineRule="auto"/>
        <w:jc w:val="both"/>
        <w:rPr>
          <w:rFonts w:ascii="Times New Roman" w:hAnsi="Times New Roman" w:cs="Times New Roman"/>
          <w:sz w:val="24"/>
          <w:szCs w:val="24"/>
          <w:lang w:val="pt-BR"/>
        </w:rPr>
      </w:pPr>
      <w:r w:rsidRPr="005A0420">
        <w:rPr>
          <w:rFonts w:ascii="Times New Roman" w:hAnsi="Times New Roman" w:cs="Times New Roman"/>
          <w:sz w:val="24"/>
          <w:szCs w:val="24"/>
          <w:lang w:val="pt-BR"/>
        </w:rPr>
        <w:t xml:space="preserve">Silveira, A., Ferrão, J., Muñoz-Rojas, J., Pinto-Correia, T., Guimarães M. H., Schmidt, L. (2018). </w:t>
      </w:r>
      <w:r w:rsidRPr="005A0420">
        <w:rPr>
          <w:rFonts w:ascii="Times New Roman" w:hAnsi="Times New Roman" w:cs="Times New Roman"/>
          <w:sz w:val="24"/>
          <w:szCs w:val="24"/>
        </w:rPr>
        <w:t xml:space="preserve">The sustainability of agricultural intensification in the early 21st century: insights from the olive oil production in Alentejo (Southern Portugal). In Changing Societies: Legacies and Challenges. Vol. iii. The Diverse Worlds of Sustainability, eds. </w:t>
      </w:r>
      <w:r w:rsidRPr="005A0420">
        <w:rPr>
          <w:rFonts w:ascii="Times New Roman" w:hAnsi="Times New Roman" w:cs="Times New Roman"/>
          <w:sz w:val="24"/>
          <w:szCs w:val="24"/>
          <w:lang w:val="pt-BR"/>
        </w:rPr>
        <w:t>A. Delicado, N. Domingos and L. de Sousa. Lisbon: Imprensa de Ciências Sociais, 247-275. https://doi.org/10.31447/ics9789726715054.10</w:t>
      </w:r>
    </w:p>
    <w:p w14:paraId="2A47CBFB" w14:textId="5C69ACC5" w:rsidR="00E6698F" w:rsidRPr="005A0420" w:rsidRDefault="00E6698F" w:rsidP="005A0420">
      <w:pPr>
        <w:spacing w:line="240" w:lineRule="auto"/>
        <w:jc w:val="both"/>
        <w:rPr>
          <w:rFonts w:ascii="Times New Roman" w:hAnsi="Times New Roman" w:cs="Times New Roman"/>
          <w:sz w:val="24"/>
          <w:szCs w:val="24"/>
        </w:rPr>
      </w:pPr>
      <w:r w:rsidRPr="005A0420">
        <w:rPr>
          <w:rFonts w:ascii="Times New Roman" w:hAnsi="Times New Roman" w:cs="Times New Roman"/>
          <w:color w:val="000000"/>
          <w:sz w:val="24"/>
          <w:szCs w:val="24"/>
          <w:shd w:val="clear" w:color="auto" w:fill="FFFFFF"/>
          <w:lang w:val="pt-BR"/>
        </w:rPr>
        <w:t xml:space="preserve">Souza, R. H. P. (2013). </w:t>
      </w:r>
      <w:r w:rsidRPr="005A0420">
        <w:rPr>
          <w:rFonts w:ascii="Times New Roman" w:hAnsi="Times New Roman" w:cs="Times New Roman"/>
          <w:sz w:val="24"/>
          <w:szCs w:val="24"/>
          <w:lang w:val="pt-BR"/>
        </w:rPr>
        <w:t xml:space="preserve">Pagamento por serviços ambientais (PSA) nas terras altas da Mantiqueira (Master’s thesis, Universidade Federal de Lavras). </w:t>
      </w:r>
      <w:r w:rsidRPr="005A0420">
        <w:rPr>
          <w:rFonts w:ascii="Times New Roman" w:hAnsi="Times New Roman" w:cs="Times New Roman"/>
          <w:sz w:val="24"/>
          <w:szCs w:val="24"/>
        </w:rPr>
        <w:t xml:space="preserve">Retrieved </w:t>
      </w:r>
      <w:r w:rsidR="00093000" w:rsidRPr="005A0420">
        <w:rPr>
          <w:rFonts w:ascii="Times New Roman" w:hAnsi="Times New Roman" w:cs="Times New Roman"/>
          <w:sz w:val="24"/>
          <w:szCs w:val="24"/>
        </w:rPr>
        <w:t>from http://repositorio.ufla.br/jspui/bitstream/1/772/1/DISSERTACAO_Pagamento%20por%20servi%C3%A7os%20ambientais%20%28PSA%29%20nas%20terras%20altas%20da.pdf</w:t>
      </w:r>
    </w:p>
    <w:p w14:paraId="183C3919" w14:textId="0F84BD33" w:rsidR="006A2A77" w:rsidRDefault="006A2A77" w:rsidP="005A0420">
      <w:pPr>
        <w:spacing w:line="240" w:lineRule="auto"/>
        <w:jc w:val="both"/>
        <w:rPr>
          <w:rFonts w:ascii="Times New Roman" w:hAnsi="Times New Roman" w:cs="Times New Roman"/>
          <w:sz w:val="24"/>
          <w:szCs w:val="24"/>
        </w:rPr>
      </w:pPr>
      <w:r w:rsidRPr="00A14B7B">
        <w:rPr>
          <w:rFonts w:ascii="Times New Roman" w:hAnsi="Times New Roman" w:cs="Times New Roman"/>
          <w:sz w:val="24"/>
          <w:szCs w:val="24"/>
          <w:lang w:val="it-IT"/>
        </w:rPr>
        <w:t>Stillitano, T., De Luca, a. I., Falcone, G., Spada, E., Gulisano, G. (2016)</w:t>
      </w:r>
      <w:r w:rsidR="00575B74" w:rsidRPr="00A14B7B">
        <w:rPr>
          <w:rFonts w:ascii="Times New Roman" w:hAnsi="Times New Roman" w:cs="Times New Roman"/>
          <w:sz w:val="24"/>
          <w:szCs w:val="24"/>
          <w:lang w:val="it-IT"/>
        </w:rPr>
        <w:t>.</w:t>
      </w:r>
      <w:r w:rsidRPr="00A14B7B">
        <w:rPr>
          <w:rFonts w:ascii="Times New Roman" w:hAnsi="Times New Roman" w:cs="Times New Roman"/>
          <w:sz w:val="24"/>
          <w:szCs w:val="24"/>
          <w:lang w:val="it-IT"/>
        </w:rPr>
        <w:t xml:space="preserve"> </w:t>
      </w:r>
      <w:r w:rsidRPr="005A0420">
        <w:rPr>
          <w:rFonts w:ascii="Times New Roman" w:hAnsi="Times New Roman" w:cs="Times New Roman"/>
          <w:sz w:val="24"/>
          <w:szCs w:val="24"/>
        </w:rPr>
        <w:t xml:space="preserve">Economic Profitability Assessment of Mediterranean Olive Growing Systems. </w:t>
      </w:r>
      <w:r w:rsidRPr="00BC70A2">
        <w:rPr>
          <w:rFonts w:ascii="Times New Roman" w:hAnsi="Times New Roman" w:cs="Times New Roman"/>
          <w:i/>
          <w:iCs/>
          <w:sz w:val="24"/>
          <w:szCs w:val="24"/>
        </w:rPr>
        <w:t>Bulgarian Journal of Agricultural Science</w:t>
      </w:r>
      <w:r w:rsidRPr="005A0420">
        <w:rPr>
          <w:rFonts w:ascii="Times New Roman" w:hAnsi="Times New Roman" w:cs="Times New Roman"/>
          <w:sz w:val="24"/>
          <w:szCs w:val="24"/>
        </w:rPr>
        <w:t xml:space="preserve">, 22 (4) 2016, 517–526. </w:t>
      </w:r>
    </w:p>
    <w:p w14:paraId="5B68CFF8" w14:textId="79C2BC93" w:rsidR="00F75E07" w:rsidRPr="005A0420" w:rsidRDefault="00F75E07" w:rsidP="00F75E07">
      <w:pPr>
        <w:spacing w:line="240" w:lineRule="auto"/>
        <w:jc w:val="both"/>
        <w:rPr>
          <w:rFonts w:ascii="Times New Roman" w:hAnsi="Times New Roman" w:cs="Times New Roman"/>
          <w:sz w:val="24"/>
          <w:szCs w:val="24"/>
        </w:rPr>
      </w:pPr>
      <w:r w:rsidRPr="00A14B7B">
        <w:rPr>
          <w:rFonts w:ascii="Times New Roman" w:hAnsi="Times New Roman" w:cs="Times New Roman"/>
          <w:sz w:val="24"/>
          <w:szCs w:val="24"/>
          <w:lang w:val="it-IT"/>
        </w:rPr>
        <w:t xml:space="preserve">Stillitano, T., Falcone, G., De Luca, A.I., Piga A., Conte P., Strano, A., Gulisano, G. 2019. </w:t>
      </w:r>
      <w:r w:rsidRPr="00F75E07">
        <w:rPr>
          <w:rFonts w:ascii="Times New Roman" w:hAnsi="Times New Roman" w:cs="Times New Roman"/>
          <w:sz w:val="24"/>
          <w:szCs w:val="24"/>
        </w:rPr>
        <w:t>A life cycle perspective to assess the environmental and economic impacts of innovative technologies in extra virgin olive oil extraction</w:t>
      </w:r>
      <w:r>
        <w:rPr>
          <w:rFonts w:ascii="Times New Roman" w:hAnsi="Times New Roman" w:cs="Times New Roman"/>
          <w:sz w:val="24"/>
          <w:szCs w:val="24"/>
        </w:rPr>
        <w:t xml:space="preserve">. </w:t>
      </w:r>
      <w:r w:rsidRPr="00F75E07">
        <w:rPr>
          <w:rFonts w:ascii="Times New Roman" w:hAnsi="Times New Roman" w:cs="Times New Roman"/>
          <w:sz w:val="24"/>
          <w:szCs w:val="24"/>
        </w:rPr>
        <w:t>Foods, 8(6), 209</w:t>
      </w:r>
      <w:r>
        <w:rPr>
          <w:rFonts w:ascii="Times New Roman" w:hAnsi="Times New Roman" w:cs="Times New Roman"/>
          <w:sz w:val="24"/>
          <w:szCs w:val="24"/>
        </w:rPr>
        <w:t xml:space="preserve">. </w:t>
      </w:r>
    </w:p>
    <w:p w14:paraId="59673FD5" w14:textId="77777777" w:rsidR="006A2A77" w:rsidRPr="005A0420" w:rsidRDefault="006A2A77" w:rsidP="005A0420">
      <w:pPr>
        <w:spacing w:line="240" w:lineRule="auto"/>
        <w:jc w:val="both"/>
        <w:rPr>
          <w:rFonts w:ascii="Times New Roman" w:hAnsi="Times New Roman" w:cs="Times New Roman"/>
          <w:sz w:val="24"/>
          <w:szCs w:val="24"/>
        </w:rPr>
      </w:pPr>
      <w:proofErr w:type="spellStart"/>
      <w:r w:rsidRPr="005A0420">
        <w:rPr>
          <w:rFonts w:ascii="Times New Roman" w:hAnsi="Times New Roman" w:cs="Times New Roman"/>
          <w:sz w:val="24"/>
          <w:szCs w:val="24"/>
        </w:rPr>
        <w:t>Sonnemann</w:t>
      </w:r>
      <w:proofErr w:type="spellEnd"/>
      <w:r w:rsidRPr="005A0420">
        <w:rPr>
          <w:rFonts w:ascii="Times New Roman" w:hAnsi="Times New Roman" w:cs="Times New Roman"/>
          <w:sz w:val="24"/>
          <w:szCs w:val="24"/>
        </w:rPr>
        <w:t xml:space="preserve">, </w:t>
      </w:r>
      <w:proofErr w:type="gramStart"/>
      <w:r w:rsidRPr="005A0420">
        <w:rPr>
          <w:rFonts w:ascii="Times New Roman" w:hAnsi="Times New Roman" w:cs="Times New Roman"/>
          <w:sz w:val="24"/>
          <w:szCs w:val="24"/>
        </w:rPr>
        <w:t>G. ,</w:t>
      </w:r>
      <w:proofErr w:type="gramEnd"/>
      <w:r w:rsidRPr="005A0420">
        <w:rPr>
          <w:rFonts w:ascii="Times New Roman" w:hAnsi="Times New Roman" w:cs="Times New Roman"/>
          <w:sz w:val="24"/>
          <w:szCs w:val="24"/>
        </w:rPr>
        <w:t xml:space="preserve">  </w:t>
      </w:r>
      <w:proofErr w:type="spellStart"/>
      <w:r w:rsidRPr="005A0420">
        <w:rPr>
          <w:rFonts w:ascii="Times New Roman" w:hAnsi="Times New Roman" w:cs="Times New Roman"/>
          <w:sz w:val="24"/>
          <w:szCs w:val="24"/>
        </w:rPr>
        <w:t>Gemechu</w:t>
      </w:r>
      <w:proofErr w:type="spellEnd"/>
      <w:r w:rsidRPr="005A0420">
        <w:rPr>
          <w:rFonts w:ascii="Times New Roman" w:hAnsi="Times New Roman" w:cs="Times New Roman"/>
          <w:sz w:val="24"/>
          <w:szCs w:val="24"/>
        </w:rPr>
        <w:t xml:space="preserve">, E. D., </w:t>
      </w:r>
      <w:proofErr w:type="spellStart"/>
      <w:r w:rsidRPr="005A0420">
        <w:rPr>
          <w:rFonts w:ascii="Times New Roman" w:hAnsi="Times New Roman" w:cs="Times New Roman"/>
          <w:sz w:val="24"/>
          <w:szCs w:val="24"/>
        </w:rPr>
        <w:t>Remmen</w:t>
      </w:r>
      <w:proofErr w:type="spellEnd"/>
      <w:r w:rsidRPr="005A0420">
        <w:rPr>
          <w:rFonts w:ascii="Times New Roman" w:hAnsi="Times New Roman" w:cs="Times New Roman"/>
          <w:sz w:val="24"/>
          <w:szCs w:val="24"/>
        </w:rPr>
        <w:t xml:space="preserve">, A., </w:t>
      </w:r>
      <w:proofErr w:type="spellStart"/>
      <w:r w:rsidRPr="005A0420">
        <w:rPr>
          <w:rFonts w:ascii="Times New Roman" w:hAnsi="Times New Roman" w:cs="Times New Roman"/>
          <w:sz w:val="24"/>
          <w:szCs w:val="24"/>
        </w:rPr>
        <w:t>Frydendal</w:t>
      </w:r>
      <w:proofErr w:type="spellEnd"/>
      <w:r w:rsidRPr="005A0420">
        <w:rPr>
          <w:rFonts w:ascii="Times New Roman" w:hAnsi="Times New Roman" w:cs="Times New Roman"/>
          <w:sz w:val="24"/>
          <w:szCs w:val="24"/>
        </w:rPr>
        <w:t xml:space="preserve"> J., Jensen, A. A. (2015) Life Cycle Management: Implementing Sustainability in Business Practice In </w:t>
      </w:r>
      <w:proofErr w:type="spellStart"/>
      <w:r w:rsidRPr="005A0420">
        <w:rPr>
          <w:rFonts w:ascii="Times New Roman" w:hAnsi="Times New Roman" w:cs="Times New Roman"/>
          <w:sz w:val="24"/>
          <w:szCs w:val="24"/>
        </w:rPr>
        <w:t>Sonnemann</w:t>
      </w:r>
      <w:proofErr w:type="spellEnd"/>
      <w:r w:rsidRPr="005A0420">
        <w:rPr>
          <w:rFonts w:ascii="Times New Roman" w:hAnsi="Times New Roman" w:cs="Times New Roman"/>
          <w:sz w:val="24"/>
          <w:szCs w:val="24"/>
        </w:rPr>
        <w:t xml:space="preserve">, G.; </w:t>
      </w:r>
      <w:proofErr w:type="spellStart"/>
      <w:r w:rsidRPr="005A0420">
        <w:rPr>
          <w:rFonts w:ascii="Times New Roman" w:hAnsi="Times New Roman" w:cs="Times New Roman"/>
          <w:sz w:val="24"/>
          <w:szCs w:val="24"/>
        </w:rPr>
        <w:t>Margni</w:t>
      </w:r>
      <w:proofErr w:type="spellEnd"/>
      <w:r w:rsidRPr="005A0420">
        <w:rPr>
          <w:rFonts w:ascii="Times New Roman" w:hAnsi="Times New Roman" w:cs="Times New Roman"/>
          <w:sz w:val="24"/>
          <w:szCs w:val="24"/>
        </w:rPr>
        <w:t>, M. (Eds) Life Cycle Management, LCA Compendium – The Complete World of Life Cycle Assessment, DOI 10.1007/978-94-017-7221-1_2.</w:t>
      </w:r>
    </w:p>
    <w:p w14:paraId="6908C0B8" w14:textId="73211C3F" w:rsidR="006A2A77" w:rsidRPr="00A14B7B" w:rsidRDefault="006A2A77" w:rsidP="005A0420">
      <w:pPr>
        <w:spacing w:line="240" w:lineRule="auto"/>
        <w:jc w:val="both"/>
        <w:rPr>
          <w:rFonts w:ascii="Times New Roman" w:hAnsi="Times New Roman" w:cs="Times New Roman"/>
          <w:sz w:val="24"/>
          <w:szCs w:val="24"/>
        </w:rPr>
      </w:pPr>
      <w:r w:rsidRPr="00A14B7B">
        <w:rPr>
          <w:rFonts w:ascii="Times New Roman" w:hAnsi="Times New Roman" w:cs="Times New Roman"/>
          <w:sz w:val="24"/>
          <w:szCs w:val="24"/>
        </w:rPr>
        <w:t>Sustainolive (2021). Projeto Sustainolive. Retrieved from: https://sustainolive.eu/importance-olive-grove-mediterranean-basin/?lang=en</w:t>
      </w:r>
    </w:p>
    <w:p w14:paraId="744A1140" w14:textId="1E92F083" w:rsidR="007E738E" w:rsidRPr="005A0420" w:rsidRDefault="007E738E" w:rsidP="005A0420">
      <w:pPr>
        <w:spacing w:line="240" w:lineRule="auto"/>
        <w:jc w:val="both"/>
        <w:rPr>
          <w:rFonts w:ascii="Times New Roman" w:hAnsi="Times New Roman" w:cs="Times New Roman"/>
          <w:b/>
          <w:bCs/>
          <w:sz w:val="24"/>
          <w:szCs w:val="24"/>
        </w:rPr>
      </w:pPr>
      <w:bookmarkStart w:id="1" w:name="_Hlk79404134"/>
      <w:r w:rsidRPr="00A14B7B">
        <w:rPr>
          <w:rFonts w:ascii="Times New Roman" w:hAnsi="Times New Roman" w:cs="Times New Roman"/>
          <w:color w:val="000000"/>
          <w:sz w:val="24"/>
          <w:szCs w:val="24"/>
          <w:shd w:val="clear" w:color="auto" w:fill="FFFFFF"/>
          <w:lang w:val="es-ES"/>
        </w:rPr>
        <w:t>Toledo, V. M. (2011). La crisis de civilización es una crisis de las relaciones de la sociedad industrial con los procesos naturales</w:t>
      </w:r>
      <w:r w:rsidR="00BC70A2" w:rsidRPr="00A14B7B">
        <w:rPr>
          <w:rFonts w:ascii="Times New Roman" w:hAnsi="Times New Roman" w:cs="Times New Roman"/>
          <w:color w:val="000000"/>
          <w:sz w:val="24"/>
          <w:szCs w:val="24"/>
          <w:shd w:val="clear" w:color="auto" w:fill="FFFFFF"/>
          <w:lang w:val="es-ES"/>
        </w:rPr>
        <w:t>.</w:t>
      </w:r>
      <w:r w:rsidRPr="00A14B7B">
        <w:rPr>
          <w:rFonts w:ascii="Times New Roman" w:hAnsi="Times New Roman" w:cs="Times New Roman"/>
          <w:color w:val="000000"/>
          <w:sz w:val="24"/>
          <w:szCs w:val="24"/>
          <w:shd w:val="clear" w:color="auto" w:fill="FFFFFF"/>
          <w:lang w:val="es-ES"/>
        </w:rPr>
        <w:t> </w:t>
      </w:r>
      <w:proofErr w:type="spellStart"/>
      <w:r w:rsidRPr="00C90A6A">
        <w:rPr>
          <w:rFonts w:ascii="Times New Roman" w:hAnsi="Times New Roman" w:cs="Times New Roman"/>
          <w:i/>
          <w:iCs/>
          <w:color w:val="000000"/>
          <w:sz w:val="24"/>
          <w:szCs w:val="24"/>
          <w:shd w:val="clear" w:color="auto" w:fill="FFFFFF"/>
        </w:rPr>
        <w:t>Papeles</w:t>
      </w:r>
      <w:proofErr w:type="spellEnd"/>
      <w:r w:rsidR="004B547D">
        <w:rPr>
          <w:rFonts w:ascii="Times New Roman" w:hAnsi="Times New Roman" w:cs="Times New Roman"/>
          <w:i/>
          <w:iCs/>
          <w:color w:val="000000"/>
          <w:sz w:val="24"/>
          <w:szCs w:val="24"/>
          <w:shd w:val="clear" w:color="auto" w:fill="FFFFFF"/>
        </w:rPr>
        <w:t>,</w:t>
      </w:r>
      <w:r w:rsidRPr="00C90A6A">
        <w:rPr>
          <w:rFonts w:ascii="Times New Roman" w:hAnsi="Times New Roman" w:cs="Times New Roman"/>
          <w:color w:val="000000"/>
          <w:sz w:val="24"/>
          <w:szCs w:val="24"/>
          <w:shd w:val="clear" w:color="auto" w:fill="FFFFFF"/>
        </w:rPr>
        <w:t xml:space="preserve"> 110,171-177. </w:t>
      </w:r>
      <w:r w:rsidRPr="005A0420">
        <w:rPr>
          <w:rFonts w:ascii="Times New Roman" w:hAnsi="Times New Roman" w:cs="Times New Roman"/>
          <w:color w:val="000000"/>
          <w:sz w:val="24"/>
          <w:szCs w:val="24"/>
          <w:shd w:val="clear" w:color="auto" w:fill="FFFFFF"/>
        </w:rPr>
        <w:t xml:space="preserve">Retrieved from </w:t>
      </w:r>
      <w:r w:rsidRPr="005A0420">
        <w:rPr>
          <w:rFonts w:ascii="Times New Roman" w:hAnsi="Times New Roman" w:cs="Times New Roman"/>
          <w:sz w:val="24"/>
          <w:szCs w:val="24"/>
          <w:shd w:val="clear" w:color="auto" w:fill="FFFFFF"/>
        </w:rPr>
        <w:t>http://www.fuhem.es/media/ecosocial/File/Entrevistas/entrevista%20a%20Victor%20Toledo_b_M.%20DI%20DONATO.pdf</w:t>
      </w:r>
      <w:r w:rsidRPr="005A0420">
        <w:rPr>
          <w:rFonts w:ascii="Times New Roman" w:hAnsi="Times New Roman" w:cs="Times New Roman"/>
          <w:color w:val="000000"/>
          <w:sz w:val="24"/>
          <w:szCs w:val="24"/>
          <w:shd w:val="clear" w:color="auto" w:fill="FFFFFF"/>
        </w:rPr>
        <w:t>  </w:t>
      </w:r>
    </w:p>
    <w:bookmarkEnd w:id="1"/>
    <w:p w14:paraId="5884B491" w14:textId="06219122" w:rsidR="007E738E" w:rsidRPr="00877446" w:rsidRDefault="007E738E" w:rsidP="005A0420">
      <w:pPr>
        <w:spacing w:line="240" w:lineRule="auto"/>
        <w:jc w:val="both"/>
        <w:rPr>
          <w:rFonts w:ascii="Times New Roman" w:hAnsi="Times New Roman" w:cs="Times New Roman"/>
          <w:color w:val="000000"/>
          <w:sz w:val="24"/>
          <w:szCs w:val="24"/>
          <w:shd w:val="clear" w:color="auto" w:fill="FFFFFF"/>
        </w:rPr>
      </w:pPr>
      <w:r w:rsidRPr="00A14B7B">
        <w:rPr>
          <w:rFonts w:ascii="Times New Roman" w:hAnsi="Times New Roman" w:cs="Times New Roman"/>
          <w:color w:val="000000"/>
          <w:sz w:val="24"/>
          <w:szCs w:val="24"/>
          <w:shd w:val="clear" w:color="auto" w:fill="FFFFFF"/>
          <w:lang w:val="es-ES"/>
        </w:rPr>
        <w:t>Toledo, V. M. (2012). Diez tesis sobre la crisis de la modernidad, </w:t>
      </w:r>
      <w:r w:rsidRPr="00A14B7B">
        <w:rPr>
          <w:rFonts w:ascii="Times New Roman" w:hAnsi="Times New Roman" w:cs="Times New Roman"/>
          <w:i/>
          <w:iCs/>
          <w:color w:val="000000"/>
          <w:sz w:val="24"/>
          <w:szCs w:val="24"/>
          <w:shd w:val="clear" w:color="auto" w:fill="FFFFFF"/>
          <w:lang w:val="es-ES"/>
        </w:rPr>
        <w:t>Polis Revista</w:t>
      </w:r>
      <w:r w:rsidRPr="00A14B7B">
        <w:rPr>
          <w:rFonts w:ascii="Times New Roman" w:hAnsi="Times New Roman" w:cs="Times New Roman"/>
          <w:color w:val="000000"/>
          <w:sz w:val="24"/>
          <w:szCs w:val="24"/>
          <w:shd w:val="clear" w:color="auto" w:fill="FFFFFF"/>
          <w:lang w:val="es-ES"/>
        </w:rPr>
        <w:t> </w:t>
      </w:r>
      <w:r w:rsidRPr="00A14B7B">
        <w:rPr>
          <w:rFonts w:ascii="Times New Roman" w:hAnsi="Times New Roman" w:cs="Times New Roman"/>
          <w:i/>
          <w:iCs/>
          <w:color w:val="000000"/>
          <w:sz w:val="24"/>
          <w:szCs w:val="24"/>
          <w:shd w:val="clear" w:color="auto" w:fill="FFFFFF"/>
          <w:lang w:val="es-ES"/>
        </w:rPr>
        <w:t>Latinoamericana</w:t>
      </w:r>
      <w:r w:rsidR="004B547D" w:rsidRPr="00A14B7B">
        <w:rPr>
          <w:rFonts w:ascii="Times New Roman" w:hAnsi="Times New Roman" w:cs="Times New Roman"/>
          <w:i/>
          <w:iCs/>
          <w:color w:val="000000"/>
          <w:sz w:val="24"/>
          <w:szCs w:val="24"/>
          <w:shd w:val="clear" w:color="auto" w:fill="FFFFFF"/>
          <w:lang w:val="es-ES"/>
        </w:rPr>
        <w:t>,</w:t>
      </w:r>
      <w:r w:rsidRPr="00A14B7B">
        <w:rPr>
          <w:rFonts w:ascii="Times New Roman" w:hAnsi="Times New Roman" w:cs="Times New Roman"/>
          <w:color w:val="000000"/>
          <w:sz w:val="24"/>
          <w:szCs w:val="24"/>
          <w:shd w:val="clear" w:color="auto" w:fill="FFFFFF"/>
          <w:lang w:val="es-ES"/>
        </w:rPr>
        <w:t xml:space="preserve"> 33. </w:t>
      </w:r>
      <w:r w:rsidRPr="00877446">
        <w:rPr>
          <w:rFonts w:ascii="Times New Roman" w:hAnsi="Times New Roman" w:cs="Times New Roman"/>
          <w:color w:val="000000"/>
          <w:sz w:val="24"/>
          <w:szCs w:val="24"/>
          <w:shd w:val="clear" w:color="auto" w:fill="FFFFFF"/>
        </w:rPr>
        <w:t>Retrieved from https://journals.openedition.org/polis/8544</w:t>
      </w:r>
    </w:p>
    <w:p w14:paraId="7610034D" w14:textId="5078EF2A" w:rsidR="007E738E" w:rsidRPr="00A14B7B" w:rsidRDefault="007E738E" w:rsidP="005A0420">
      <w:pPr>
        <w:spacing w:line="240" w:lineRule="auto"/>
        <w:jc w:val="both"/>
        <w:rPr>
          <w:rFonts w:ascii="Times New Roman" w:hAnsi="Times New Roman" w:cs="Times New Roman"/>
          <w:sz w:val="24"/>
          <w:szCs w:val="24"/>
          <w:lang w:val="es-ES"/>
        </w:rPr>
      </w:pPr>
      <w:r w:rsidRPr="00877446">
        <w:rPr>
          <w:rFonts w:ascii="Times New Roman" w:hAnsi="Times New Roman" w:cs="Times New Roman"/>
          <w:color w:val="000000"/>
          <w:sz w:val="24"/>
          <w:szCs w:val="24"/>
        </w:rPr>
        <w:t xml:space="preserve">Toledo, Víctor M. (2013). </w:t>
      </w:r>
      <w:r w:rsidRPr="00A14B7B">
        <w:rPr>
          <w:rFonts w:ascii="Times New Roman" w:hAnsi="Times New Roman" w:cs="Times New Roman"/>
          <w:color w:val="000000"/>
          <w:sz w:val="24"/>
          <w:szCs w:val="24"/>
          <w:lang w:val="es-ES"/>
        </w:rPr>
        <w:t>El metabolismo social: una nueva teoría socioecológica. </w:t>
      </w:r>
      <w:r w:rsidRPr="00A14B7B">
        <w:rPr>
          <w:rFonts w:ascii="Times New Roman" w:hAnsi="Times New Roman" w:cs="Times New Roman"/>
          <w:i/>
          <w:iCs/>
          <w:color w:val="000000"/>
          <w:sz w:val="24"/>
          <w:szCs w:val="24"/>
          <w:lang w:val="es-ES"/>
        </w:rPr>
        <w:t>Relacione</w:t>
      </w:r>
      <w:r w:rsidR="00BC70A2" w:rsidRPr="00A14B7B">
        <w:rPr>
          <w:rFonts w:ascii="Times New Roman" w:hAnsi="Times New Roman" w:cs="Times New Roman"/>
          <w:i/>
          <w:iCs/>
          <w:color w:val="000000"/>
          <w:sz w:val="24"/>
          <w:szCs w:val="24"/>
          <w:lang w:val="es-ES"/>
        </w:rPr>
        <w:t>s</w:t>
      </w:r>
      <w:r w:rsidRPr="00A14B7B">
        <w:rPr>
          <w:rFonts w:ascii="Times New Roman" w:hAnsi="Times New Roman" w:cs="Times New Roman"/>
          <w:i/>
          <w:iCs/>
          <w:color w:val="000000"/>
          <w:sz w:val="24"/>
          <w:szCs w:val="24"/>
          <w:lang w:val="es-ES"/>
        </w:rPr>
        <w:t xml:space="preserve"> Estudios de historia y sociedad</w:t>
      </w:r>
      <w:r w:rsidRPr="00A14B7B">
        <w:rPr>
          <w:rFonts w:ascii="Times New Roman" w:hAnsi="Times New Roman" w:cs="Times New Roman"/>
          <w:color w:val="000000"/>
          <w:sz w:val="24"/>
          <w:szCs w:val="24"/>
          <w:lang w:val="es-ES"/>
        </w:rPr>
        <w:t>, </w:t>
      </w:r>
      <w:r w:rsidRPr="00A14B7B">
        <w:rPr>
          <w:rFonts w:ascii="Times New Roman" w:hAnsi="Times New Roman" w:cs="Times New Roman"/>
          <w:i/>
          <w:iCs/>
          <w:color w:val="000000"/>
          <w:sz w:val="24"/>
          <w:szCs w:val="24"/>
          <w:lang w:val="es-ES"/>
        </w:rPr>
        <w:t>34</w:t>
      </w:r>
      <w:r w:rsidRPr="00A14B7B">
        <w:rPr>
          <w:rFonts w:ascii="Times New Roman" w:hAnsi="Times New Roman" w:cs="Times New Roman"/>
          <w:color w:val="000000"/>
          <w:sz w:val="24"/>
          <w:szCs w:val="24"/>
          <w:lang w:val="es-ES"/>
        </w:rPr>
        <w:t>(136), 41-71. Retrieved from http://www.scielo.org.mx/scielo.php?script=sci_arttext&amp;pid=S0185-39292013000400004&amp;lng=es&amp;tlng=es.</w:t>
      </w:r>
    </w:p>
    <w:p w14:paraId="0FD633BB" w14:textId="50C97A07" w:rsidR="006A2A77" w:rsidRPr="005A0420" w:rsidRDefault="006A2A77" w:rsidP="005A0420">
      <w:pPr>
        <w:spacing w:line="240" w:lineRule="auto"/>
        <w:jc w:val="both"/>
        <w:rPr>
          <w:rFonts w:ascii="Times New Roman" w:hAnsi="Times New Roman" w:cs="Times New Roman"/>
          <w:sz w:val="24"/>
          <w:szCs w:val="24"/>
        </w:rPr>
      </w:pPr>
      <w:r w:rsidRPr="005A0420">
        <w:rPr>
          <w:rFonts w:ascii="Times New Roman" w:hAnsi="Times New Roman" w:cs="Times New Roman"/>
          <w:sz w:val="24"/>
          <w:szCs w:val="24"/>
        </w:rPr>
        <w:t>UNEP</w:t>
      </w:r>
      <w:r w:rsidR="006D68C6" w:rsidRPr="005A0420">
        <w:rPr>
          <w:rFonts w:ascii="Times New Roman" w:hAnsi="Times New Roman" w:cs="Times New Roman"/>
          <w:sz w:val="24"/>
          <w:szCs w:val="24"/>
        </w:rPr>
        <w:t>.</w:t>
      </w:r>
      <w:r w:rsidRPr="005A0420">
        <w:rPr>
          <w:rFonts w:ascii="Times New Roman" w:hAnsi="Times New Roman" w:cs="Times New Roman"/>
          <w:sz w:val="24"/>
          <w:szCs w:val="24"/>
        </w:rPr>
        <w:t xml:space="preserve"> (2011)</w:t>
      </w:r>
      <w:r w:rsidR="006D68C6" w:rsidRPr="005A0420">
        <w:rPr>
          <w:rFonts w:ascii="Times New Roman" w:hAnsi="Times New Roman" w:cs="Times New Roman"/>
          <w:sz w:val="24"/>
          <w:szCs w:val="24"/>
        </w:rPr>
        <w:t>.</w:t>
      </w:r>
      <w:r w:rsidRPr="005A0420">
        <w:rPr>
          <w:rFonts w:ascii="Times New Roman" w:hAnsi="Times New Roman" w:cs="Times New Roman"/>
          <w:sz w:val="24"/>
          <w:szCs w:val="24"/>
        </w:rPr>
        <w:t xml:space="preserve"> Towards a life cycle sustainability assessment: making informed choices on products. UNEP/SETAC, Paris</w:t>
      </w:r>
      <w:r w:rsidR="004B547D">
        <w:rPr>
          <w:rFonts w:ascii="Times New Roman" w:hAnsi="Times New Roman" w:cs="Times New Roman"/>
          <w:sz w:val="24"/>
          <w:szCs w:val="24"/>
        </w:rPr>
        <w:t>.</w:t>
      </w:r>
    </w:p>
    <w:p w14:paraId="3D56B0F2" w14:textId="7DD78A41" w:rsidR="00C53248" w:rsidRDefault="00C53248" w:rsidP="005A0420">
      <w:pPr>
        <w:spacing w:line="240" w:lineRule="auto"/>
        <w:jc w:val="both"/>
        <w:rPr>
          <w:rFonts w:ascii="Times New Roman" w:hAnsi="Times New Roman" w:cs="Times New Roman"/>
          <w:sz w:val="24"/>
          <w:szCs w:val="24"/>
        </w:rPr>
      </w:pPr>
      <w:bookmarkStart w:id="2" w:name="_Hlk79404342"/>
      <w:r w:rsidRPr="005A0420">
        <w:rPr>
          <w:rFonts w:ascii="Times New Roman" w:hAnsi="Times New Roman" w:cs="Times New Roman"/>
          <w:sz w:val="24"/>
          <w:szCs w:val="24"/>
        </w:rPr>
        <w:t xml:space="preserve">UNEP/SETAC Life Cycle Initiative. (2012). Greening the Economy Through Life Cycle Thinking. Retrieved from </w:t>
      </w:r>
      <w:bookmarkEnd w:id="2"/>
      <w:r w:rsidR="00877446" w:rsidRPr="00877446">
        <w:rPr>
          <w:rFonts w:ascii="Times New Roman" w:hAnsi="Times New Roman" w:cs="Times New Roman"/>
          <w:sz w:val="24"/>
          <w:szCs w:val="24"/>
        </w:rPr>
        <w:t>https://www.lifecycleinitiative.org/wp-content/uploads/2013/03/2012_LCI_10_years_28.3.13.pdf</w:t>
      </w:r>
      <w:r w:rsidR="004B547D">
        <w:rPr>
          <w:rFonts w:ascii="Times New Roman" w:hAnsi="Times New Roman" w:cs="Times New Roman"/>
          <w:sz w:val="24"/>
          <w:szCs w:val="24"/>
        </w:rPr>
        <w:t>.</w:t>
      </w:r>
    </w:p>
    <w:p w14:paraId="79864B2A" w14:textId="58B767A7" w:rsidR="00877446" w:rsidRPr="005A0420" w:rsidRDefault="00877446" w:rsidP="00877446">
      <w:pPr>
        <w:spacing w:line="240" w:lineRule="auto"/>
        <w:jc w:val="both"/>
        <w:rPr>
          <w:rFonts w:ascii="Times New Roman" w:hAnsi="Times New Roman" w:cs="Times New Roman"/>
          <w:sz w:val="24"/>
          <w:szCs w:val="24"/>
        </w:rPr>
      </w:pPr>
      <w:r w:rsidRPr="005A0420">
        <w:rPr>
          <w:rFonts w:ascii="Times New Roman" w:hAnsi="Times New Roman" w:cs="Times New Roman"/>
          <w:sz w:val="24"/>
          <w:szCs w:val="24"/>
        </w:rPr>
        <w:t>UNEP/SETAC Life Cycle Initiative. (20</w:t>
      </w:r>
      <w:r>
        <w:rPr>
          <w:rFonts w:ascii="Times New Roman" w:hAnsi="Times New Roman" w:cs="Times New Roman"/>
          <w:sz w:val="24"/>
          <w:szCs w:val="24"/>
        </w:rPr>
        <w:t>20</w:t>
      </w:r>
      <w:r w:rsidRPr="005A0420">
        <w:rPr>
          <w:rFonts w:ascii="Times New Roman" w:hAnsi="Times New Roman" w:cs="Times New Roman"/>
          <w:sz w:val="24"/>
          <w:szCs w:val="24"/>
        </w:rPr>
        <w:t xml:space="preserve">). </w:t>
      </w:r>
      <w:r>
        <w:rPr>
          <w:rFonts w:ascii="Times New Roman" w:hAnsi="Times New Roman" w:cs="Times New Roman"/>
          <w:sz w:val="24"/>
          <w:szCs w:val="24"/>
        </w:rPr>
        <w:t xml:space="preserve">Guidelines for social life cycle assessment of products and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 xml:space="preserve"> 2020.</w:t>
      </w:r>
      <w:r w:rsidRPr="005A0420">
        <w:rPr>
          <w:rFonts w:ascii="Times New Roman" w:hAnsi="Times New Roman" w:cs="Times New Roman"/>
          <w:sz w:val="24"/>
          <w:szCs w:val="24"/>
        </w:rPr>
        <w:t xml:space="preserve"> Retrieved from </w:t>
      </w:r>
      <w:bookmarkStart w:id="3" w:name="_Hlk96337329"/>
      <w:r w:rsidRPr="00877446">
        <w:rPr>
          <w:rFonts w:ascii="Times New Roman" w:hAnsi="Times New Roman" w:cs="Times New Roman"/>
          <w:sz w:val="24"/>
          <w:szCs w:val="24"/>
        </w:rPr>
        <w:lastRenderedPageBreak/>
        <w:t>https://www.lifecycleinitiative.org/wp-content/uploads/2021/01/Guidelines-for-Social-Life-Cycle-Assessment-of-Products-and-Organizations-2020-22.1.21sml.pdf</w:t>
      </w:r>
      <w:bookmarkEnd w:id="3"/>
    </w:p>
    <w:p w14:paraId="2E469C6A" w14:textId="272DD614" w:rsidR="00877446" w:rsidRPr="005A0420" w:rsidRDefault="004917B6" w:rsidP="005A0420">
      <w:pPr>
        <w:spacing w:line="240" w:lineRule="auto"/>
        <w:jc w:val="both"/>
        <w:rPr>
          <w:rFonts w:ascii="Times New Roman" w:hAnsi="Times New Roman" w:cs="Times New Roman"/>
          <w:sz w:val="24"/>
          <w:szCs w:val="24"/>
        </w:rPr>
      </w:pPr>
      <w:r w:rsidRPr="004917B6">
        <w:rPr>
          <w:rFonts w:ascii="Times New Roman" w:hAnsi="Times New Roman" w:cs="Times New Roman"/>
          <w:sz w:val="24"/>
          <w:szCs w:val="24"/>
        </w:rPr>
        <w:t>USDA (United States Department of Agriculture)/ NIFA (National Institute of food and Agriculture). (2002). National Agricultural Research, extension and teaching policy act of 1977 [As Amended Through Public Law 107–293, Nov. 13, 2002]. Retrieved from https://nifa.usda.gov/sites/default/files/resource/nar77.pdf</w:t>
      </w:r>
    </w:p>
    <w:p w14:paraId="278B3B17" w14:textId="2276C3C2" w:rsidR="006A2A77" w:rsidRPr="005A0420" w:rsidRDefault="006A2A77" w:rsidP="005A0420">
      <w:pPr>
        <w:spacing w:line="240" w:lineRule="auto"/>
        <w:jc w:val="both"/>
        <w:rPr>
          <w:rFonts w:ascii="Times New Roman" w:hAnsi="Times New Roman" w:cs="Times New Roman"/>
          <w:sz w:val="24"/>
          <w:szCs w:val="24"/>
        </w:rPr>
      </w:pPr>
      <w:r w:rsidRPr="005A0420">
        <w:rPr>
          <w:rFonts w:ascii="Times New Roman" w:hAnsi="Times New Roman" w:cs="Times New Roman"/>
          <w:sz w:val="24"/>
          <w:szCs w:val="24"/>
        </w:rPr>
        <w:t>Zhang, S., Zhu, D. (2020). Have countries moved towards sustainable development or not? Definition, criteria, indicators and empirical analysis</w:t>
      </w:r>
      <w:r w:rsidR="00BC70A2">
        <w:rPr>
          <w:rFonts w:ascii="Times New Roman" w:hAnsi="Times New Roman" w:cs="Times New Roman"/>
          <w:sz w:val="24"/>
          <w:szCs w:val="24"/>
        </w:rPr>
        <w:t>.</w:t>
      </w:r>
      <w:r w:rsidRPr="005A0420">
        <w:rPr>
          <w:rFonts w:ascii="Times New Roman" w:hAnsi="Times New Roman" w:cs="Times New Roman"/>
          <w:sz w:val="24"/>
          <w:szCs w:val="24"/>
        </w:rPr>
        <w:t xml:space="preserve"> </w:t>
      </w:r>
      <w:r w:rsidRPr="00BC70A2">
        <w:rPr>
          <w:rFonts w:ascii="Times New Roman" w:hAnsi="Times New Roman" w:cs="Times New Roman"/>
          <w:i/>
          <w:iCs/>
          <w:sz w:val="24"/>
          <w:szCs w:val="24"/>
        </w:rPr>
        <w:t>Journal of Cleaner Production</w:t>
      </w:r>
      <w:r w:rsidRPr="005A0420">
        <w:rPr>
          <w:rFonts w:ascii="Times New Roman" w:hAnsi="Times New Roman" w:cs="Times New Roman"/>
          <w:sz w:val="24"/>
          <w:szCs w:val="24"/>
        </w:rPr>
        <w:t xml:space="preserve">, 267, ISSN 0959-6526. https://doi.org/10.1016/j.jclepro.2020.121929. </w:t>
      </w:r>
      <w:r w:rsidRPr="005A0420">
        <w:rPr>
          <w:rFonts w:ascii="Times New Roman" w:hAnsi="Times New Roman" w:cs="Times New Roman"/>
          <w:sz w:val="24"/>
          <w:szCs w:val="24"/>
        </w:rPr>
        <w:br/>
      </w:r>
    </w:p>
    <w:p w14:paraId="5870E59C" w14:textId="46C7E1C1" w:rsidR="003D4F59" w:rsidRPr="007B0CBD" w:rsidRDefault="003D4F59" w:rsidP="005A0420">
      <w:pPr>
        <w:spacing w:line="240" w:lineRule="auto"/>
        <w:jc w:val="both"/>
        <w:rPr>
          <w:rFonts w:ascii="Times New Roman" w:hAnsi="Times New Roman" w:cs="Times New Roman"/>
          <w:b/>
          <w:bCs/>
          <w:sz w:val="24"/>
          <w:szCs w:val="24"/>
        </w:rPr>
      </w:pPr>
      <w:r w:rsidRPr="007B0CBD">
        <w:rPr>
          <w:rFonts w:ascii="Times New Roman" w:hAnsi="Times New Roman" w:cs="Times New Roman"/>
          <w:b/>
          <w:bCs/>
          <w:sz w:val="24"/>
          <w:szCs w:val="24"/>
        </w:rPr>
        <w:t xml:space="preserve">Acknowledgements </w:t>
      </w:r>
    </w:p>
    <w:p w14:paraId="7D2C868C" w14:textId="67B7046E" w:rsidR="003D4F59" w:rsidRPr="007B0CBD" w:rsidRDefault="003D4F59" w:rsidP="00EB10DF">
      <w:pPr>
        <w:spacing w:line="240" w:lineRule="auto"/>
        <w:jc w:val="both"/>
        <w:rPr>
          <w:rFonts w:ascii="Times New Roman" w:hAnsi="Times New Roman" w:cs="Times New Roman"/>
          <w:sz w:val="24"/>
          <w:szCs w:val="24"/>
        </w:rPr>
      </w:pPr>
      <w:r w:rsidRPr="007B0CBD">
        <w:rPr>
          <w:rFonts w:ascii="Times New Roman" w:hAnsi="Times New Roman" w:cs="Times New Roman"/>
          <w:sz w:val="24"/>
          <w:szCs w:val="24"/>
        </w:rPr>
        <w:t xml:space="preserve">This work is financed by national funds through FCT - </w:t>
      </w:r>
      <w:proofErr w:type="spellStart"/>
      <w:r w:rsidRPr="007B0CBD">
        <w:rPr>
          <w:rFonts w:ascii="Times New Roman" w:hAnsi="Times New Roman" w:cs="Times New Roman"/>
          <w:sz w:val="24"/>
          <w:szCs w:val="24"/>
        </w:rPr>
        <w:t>Fundação</w:t>
      </w:r>
      <w:proofErr w:type="spellEnd"/>
      <w:r w:rsidRPr="007B0CBD">
        <w:rPr>
          <w:rFonts w:ascii="Times New Roman" w:hAnsi="Times New Roman" w:cs="Times New Roman"/>
          <w:sz w:val="24"/>
          <w:szCs w:val="24"/>
        </w:rPr>
        <w:t xml:space="preserve"> para a </w:t>
      </w:r>
      <w:proofErr w:type="spellStart"/>
      <w:r w:rsidRPr="007B0CBD">
        <w:rPr>
          <w:rFonts w:ascii="Times New Roman" w:hAnsi="Times New Roman" w:cs="Times New Roman"/>
          <w:sz w:val="24"/>
          <w:szCs w:val="24"/>
        </w:rPr>
        <w:t>Ciência</w:t>
      </w:r>
      <w:proofErr w:type="spellEnd"/>
      <w:r w:rsidRPr="007B0CBD">
        <w:rPr>
          <w:rFonts w:ascii="Times New Roman" w:hAnsi="Times New Roman" w:cs="Times New Roman"/>
          <w:sz w:val="24"/>
          <w:szCs w:val="24"/>
        </w:rPr>
        <w:t xml:space="preserve"> e a </w:t>
      </w:r>
      <w:proofErr w:type="spellStart"/>
      <w:r w:rsidRPr="007B0CBD">
        <w:rPr>
          <w:rFonts w:ascii="Times New Roman" w:hAnsi="Times New Roman" w:cs="Times New Roman"/>
          <w:sz w:val="24"/>
          <w:szCs w:val="24"/>
        </w:rPr>
        <w:t>Tecnologia</w:t>
      </w:r>
      <w:proofErr w:type="spellEnd"/>
      <w:r w:rsidRPr="007B0CBD">
        <w:rPr>
          <w:rFonts w:ascii="Times New Roman" w:hAnsi="Times New Roman" w:cs="Times New Roman"/>
          <w:sz w:val="24"/>
          <w:szCs w:val="24"/>
        </w:rPr>
        <w:t>, I.P., under project UIDB/04007/2020</w:t>
      </w:r>
      <w:r w:rsidR="00B302E6">
        <w:rPr>
          <w:rFonts w:ascii="Times New Roman" w:hAnsi="Times New Roman" w:cs="Times New Roman"/>
          <w:sz w:val="24"/>
          <w:szCs w:val="24"/>
        </w:rPr>
        <w:t xml:space="preserve">; furthermore, </w:t>
      </w:r>
      <w:r w:rsidR="005708DA">
        <w:rPr>
          <w:rFonts w:ascii="Times New Roman" w:hAnsi="Times New Roman" w:cs="Times New Roman"/>
          <w:sz w:val="24"/>
          <w:szCs w:val="24"/>
        </w:rPr>
        <w:t xml:space="preserve">the contents of this </w:t>
      </w:r>
      <w:r w:rsidR="00EB10DF">
        <w:rPr>
          <w:rFonts w:ascii="Times New Roman" w:hAnsi="Times New Roman" w:cs="Times New Roman"/>
          <w:sz w:val="24"/>
          <w:szCs w:val="24"/>
        </w:rPr>
        <w:t xml:space="preserve">paper are </w:t>
      </w:r>
      <w:r w:rsidR="00EB10DF" w:rsidRPr="00EB10DF">
        <w:rPr>
          <w:rFonts w:ascii="Times New Roman" w:hAnsi="Times New Roman" w:cs="Times New Roman"/>
          <w:sz w:val="24"/>
          <w:szCs w:val="24"/>
        </w:rPr>
        <w:t xml:space="preserve">part of the international research project “Novel approaches to promote the </w:t>
      </w:r>
      <w:proofErr w:type="spellStart"/>
      <w:r w:rsidR="00EB10DF" w:rsidRPr="00EB10DF">
        <w:rPr>
          <w:rFonts w:ascii="Times New Roman" w:hAnsi="Times New Roman" w:cs="Times New Roman"/>
          <w:sz w:val="24"/>
          <w:szCs w:val="24"/>
        </w:rPr>
        <w:t>SUSTAInability</w:t>
      </w:r>
      <w:proofErr w:type="spellEnd"/>
      <w:r w:rsidR="00EB10DF" w:rsidRPr="00EB10DF">
        <w:rPr>
          <w:rFonts w:ascii="Times New Roman" w:hAnsi="Times New Roman" w:cs="Times New Roman"/>
          <w:sz w:val="24"/>
          <w:szCs w:val="24"/>
        </w:rPr>
        <w:t xml:space="preserve"> of OLIVE groves in the Mediterranean” (2018-SECTION1-FA3) funded by PRIMA (Partnership Research for Innovation in the Mediterranean Area) and co-funded by the Horizon 2020 Framework </w:t>
      </w:r>
      <w:proofErr w:type="spellStart"/>
      <w:r w:rsidR="00EB10DF" w:rsidRPr="00EB10DF">
        <w:rPr>
          <w:rFonts w:ascii="Times New Roman" w:hAnsi="Times New Roman" w:cs="Times New Roman"/>
          <w:sz w:val="24"/>
          <w:szCs w:val="24"/>
        </w:rPr>
        <w:t>Programme</w:t>
      </w:r>
      <w:proofErr w:type="spellEnd"/>
      <w:r w:rsidR="00EB10DF" w:rsidRPr="00EB10DF">
        <w:rPr>
          <w:rFonts w:ascii="Times New Roman" w:hAnsi="Times New Roman" w:cs="Times New Roman"/>
          <w:sz w:val="24"/>
          <w:szCs w:val="24"/>
        </w:rPr>
        <w:t xml:space="preserve"> of the Europ</w:t>
      </w:r>
      <w:r w:rsidR="00EB10DF">
        <w:rPr>
          <w:rFonts w:ascii="Times New Roman" w:hAnsi="Times New Roman" w:cs="Times New Roman"/>
          <w:sz w:val="24"/>
          <w:szCs w:val="24"/>
        </w:rPr>
        <w:t>e (</w:t>
      </w:r>
      <w:r w:rsidR="008B6B4C" w:rsidRPr="008B6B4C">
        <w:rPr>
          <w:rFonts w:ascii="Times New Roman" w:hAnsi="Times New Roman" w:cs="Times New Roman"/>
          <w:sz w:val="24"/>
          <w:szCs w:val="24"/>
        </w:rPr>
        <w:t>https://sustainolive.eu/</w:t>
      </w:r>
      <w:r w:rsidR="00EB10DF">
        <w:rPr>
          <w:rFonts w:ascii="Times New Roman" w:hAnsi="Times New Roman" w:cs="Times New Roman"/>
          <w:sz w:val="24"/>
          <w:szCs w:val="24"/>
        </w:rPr>
        <w:t xml:space="preserve">). </w:t>
      </w:r>
    </w:p>
    <w:sectPr w:rsidR="003D4F59" w:rsidRPr="007B0C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8238C"/>
    <w:multiLevelType w:val="multilevel"/>
    <w:tmpl w:val="B404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F54FA6"/>
    <w:multiLevelType w:val="hybridMultilevel"/>
    <w:tmpl w:val="622A6646"/>
    <w:lvl w:ilvl="0" w:tplc="A2CE6B4A">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3MDQ2s7Q0tbQ0M7dQ0lEKTi0uzszPAykwrQUA7xLSjywAAAA="/>
  </w:docVars>
  <w:rsids>
    <w:rsidRoot w:val="006A034A"/>
    <w:rsid w:val="00024C74"/>
    <w:rsid w:val="00032AA9"/>
    <w:rsid w:val="00041DAD"/>
    <w:rsid w:val="000526A9"/>
    <w:rsid w:val="00052D6D"/>
    <w:rsid w:val="000617E8"/>
    <w:rsid w:val="00083AE0"/>
    <w:rsid w:val="00093000"/>
    <w:rsid w:val="000A18D4"/>
    <w:rsid w:val="000B2016"/>
    <w:rsid w:val="000E0F9A"/>
    <w:rsid w:val="000E6508"/>
    <w:rsid w:val="000F7F2A"/>
    <w:rsid w:val="00111CC1"/>
    <w:rsid w:val="0013523A"/>
    <w:rsid w:val="00155EFA"/>
    <w:rsid w:val="00157306"/>
    <w:rsid w:val="0017519D"/>
    <w:rsid w:val="00183076"/>
    <w:rsid w:val="00197050"/>
    <w:rsid w:val="001A3D6D"/>
    <w:rsid w:val="001A7324"/>
    <w:rsid w:val="001B1E05"/>
    <w:rsid w:val="001B2432"/>
    <w:rsid w:val="001C5C1A"/>
    <w:rsid w:val="002330F2"/>
    <w:rsid w:val="00263AB2"/>
    <w:rsid w:val="00264F22"/>
    <w:rsid w:val="002B761B"/>
    <w:rsid w:val="002C51BB"/>
    <w:rsid w:val="002E3346"/>
    <w:rsid w:val="002F356E"/>
    <w:rsid w:val="00307BCC"/>
    <w:rsid w:val="0035036D"/>
    <w:rsid w:val="00361BD2"/>
    <w:rsid w:val="00375BD3"/>
    <w:rsid w:val="003B5ADC"/>
    <w:rsid w:val="003C0995"/>
    <w:rsid w:val="003D4F59"/>
    <w:rsid w:val="003E2AF4"/>
    <w:rsid w:val="003F7732"/>
    <w:rsid w:val="00422E75"/>
    <w:rsid w:val="0043415B"/>
    <w:rsid w:val="00472D67"/>
    <w:rsid w:val="00474689"/>
    <w:rsid w:val="00480F24"/>
    <w:rsid w:val="004917B6"/>
    <w:rsid w:val="004B04EE"/>
    <w:rsid w:val="004B547D"/>
    <w:rsid w:val="004E6614"/>
    <w:rsid w:val="004E7E16"/>
    <w:rsid w:val="005051C1"/>
    <w:rsid w:val="00542543"/>
    <w:rsid w:val="00543197"/>
    <w:rsid w:val="005708DA"/>
    <w:rsid w:val="00575B74"/>
    <w:rsid w:val="005A0420"/>
    <w:rsid w:val="005A7B5D"/>
    <w:rsid w:val="005D41FF"/>
    <w:rsid w:val="005D62CA"/>
    <w:rsid w:val="005F20E8"/>
    <w:rsid w:val="006064D2"/>
    <w:rsid w:val="00612882"/>
    <w:rsid w:val="0063363E"/>
    <w:rsid w:val="00634429"/>
    <w:rsid w:val="00635913"/>
    <w:rsid w:val="00665D31"/>
    <w:rsid w:val="00674B07"/>
    <w:rsid w:val="0069437E"/>
    <w:rsid w:val="00697F8A"/>
    <w:rsid w:val="006A034A"/>
    <w:rsid w:val="006A2A77"/>
    <w:rsid w:val="006A5B5E"/>
    <w:rsid w:val="006B4363"/>
    <w:rsid w:val="006D5C3E"/>
    <w:rsid w:val="006D68C6"/>
    <w:rsid w:val="0070203F"/>
    <w:rsid w:val="00727080"/>
    <w:rsid w:val="00727F26"/>
    <w:rsid w:val="00731C8B"/>
    <w:rsid w:val="00737514"/>
    <w:rsid w:val="00762435"/>
    <w:rsid w:val="00772BD3"/>
    <w:rsid w:val="007966FF"/>
    <w:rsid w:val="007973AC"/>
    <w:rsid w:val="007A49E6"/>
    <w:rsid w:val="007A5753"/>
    <w:rsid w:val="007B0CBD"/>
    <w:rsid w:val="007C39DF"/>
    <w:rsid w:val="007C7EB2"/>
    <w:rsid w:val="007D16A1"/>
    <w:rsid w:val="007D7290"/>
    <w:rsid w:val="007E35DC"/>
    <w:rsid w:val="007E738E"/>
    <w:rsid w:val="007F66BE"/>
    <w:rsid w:val="0080046F"/>
    <w:rsid w:val="0081545D"/>
    <w:rsid w:val="0082474E"/>
    <w:rsid w:val="00824DD3"/>
    <w:rsid w:val="008761FC"/>
    <w:rsid w:val="00877446"/>
    <w:rsid w:val="00883350"/>
    <w:rsid w:val="0088447C"/>
    <w:rsid w:val="008953FF"/>
    <w:rsid w:val="008B486C"/>
    <w:rsid w:val="008B5DF5"/>
    <w:rsid w:val="008B6B4C"/>
    <w:rsid w:val="008E68EE"/>
    <w:rsid w:val="00931A29"/>
    <w:rsid w:val="009527A0"/>
    <w:rsid w:val="00964746"/>
    <w:rsid w:val="009912B1"/>
    <w:rsid w:val="009B1178"/>
    <w:rsid w:val="009C04FD"/>
    <w:rsid w:val="009C358C"/>
    <w:rsid w:val="009D7E0C"/>
    <w:rsid w:val="00A03684"/>
    <w:rsid w:val="00A14B7B"/>
    <w:rsid w:val="00A8411F"/>
    <w:rsid w:val="00A873BA"/>
    <w:rsid w:val="00A94DC3"/>
    <w:rsid w:val="00AB19B7"/>
    <w:rsid w:val="00AB6067"/>
    <w:rsid w:val="00AD074E"/>
    <w:rsid w:val="00B14D76"/>
    <w:rsid w:val="00B1611A"/>
    <w:rsid w:val="00B261BB"/>
    <w:rsid w:val="00B302E6"/>
    <w:rsid w:val="00B4308E"/>
    <w:rsid w:val="00B606FC"/>
    <w:rsid w:val="00B613CD"/>
    <w:rsid w:val="00B6406A"/>
    <w:rsid w:val="00BC70A2"/>
    <w:rsid w:val="00BF59CD"/>
    <w:rsid w:val="00C03B02"/>
    <w:rsid w:val="00C11F0F"/>
    <w:rsid w:val="00C25AC2"/>
    <w:rsid w:val="00C419D7"/>
    <w:rsid w:val="00C47091"/>
    <w:rsid w:val="00C53248"/>
    <w:rsid w:val="00C640A1"/>
    <w:rsid w:val="00C64C0F"/>
    <w:rsid w:val="00C73171"/>
    <w:rsid w:val="00C8330D"/>
    <w:rsid w:val="00C90A6A"/>
    <w:rsid w:val="00C95058"/>
    <w:rsid w:val="00CC1F06"/>
    <w:rsid w:val="00CD3E0E"/>
    <w:rsid w:val="00D251AA"/>
    <w:rsid w:val="00D4573E"/>
    <w:rsid w:val="00D662E5"/>
    <w:rsid w:val="00D71968"/>
    <w:rsid w:val="00D775C9"/>
    <w:rsid w:val="00D92BC4"/>
    <w:rsid w:val="00DA15F4"/>
    <w:rsid w:val="00DD443B"/>
    <w:rsid w:val="00DF0EF6"/>
    <w:rsid w:val="00DF0F65"/>
    <w:rsid w:val="00DF5709"/>
    <w:rsid w:val="00E07E44"/>
    <w:rsid w:val="00E362BB"/>
    <w:rsid w:val="00E56106"/>
    <w:rsid w:val="00E6698F"/>
    <w:rsid w:val="00E7015E"/>
    <w:rsid w:val="00E84633"/>
    <w:rsid w:val="00E857CD"/>
    <w:rsid w:val="00E85838"/>
    <w:rsid w:val="00E94285"/>
    <w:rsid w:val="00EA6986"/>
    <w:rsid w:val="00EB10DF"/>
    <w:rsid w:val="00EF1188"/>
    <w:rsid w:val="00F735E6"/>
    <w:rsid w:val="00F75E07"/>
    <w:rsid w:val="00F85FF1"/>
    <w:rsid w:val="00FE1D39"/>
    <w:rsid w:val="00FF76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B8E25"/>
  <w15:chartTrackingRefBased/>
  <w15:docId w15:val="{CD6CF609-7391-43C1-934F-4DE05EA6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34A"/>
    <w:pPr>
      <w:spacing w:line="256" w:lineRule="auto"/>
    </w:pPr>
    <w:rPr>
      <w:lang w:val="en-US"/>
    </w:rPr>
  </w:style>
  <w:style w:type="paragraph" w:styleId="Ttulo1">
    <w:name w:val="heading 1"/>
    <w:basedOn w:val="Normal"/>
    <w:link w:val="Ttulo1Carter"/>
    <w:uiPriority w:val="9"/>
    <w:qFormat/>
    <w:rsid w:val="007F66BE"/>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paragraph" w:styleId="Ttulo3">
    <w:name w:val="heading 3"/>
    <w:basedOn w:val="Normal"/>
    <w:next w:val="Normal"/>
    <w:link w:val="Ttulo3Carter"/>
    <w:uiPriority w:val="9"/>
    <w:unhideWhenUsed/>
    <w:qFormat/>
    <w:rsid w:val="00307B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6A2A77"/>
    <w:rPr>
      <w:color w:val="0563C1" w:themeColor="hyperlink"/>
      <w:u w:val="single"/>
    </w:rPr>
  </w:style>
  <w:style w:type="character" w:customStyle="1" w:styleId="Fontepargpadro1">
    <w:name w:val="Fonte parág. padrão1"/>
    <w:rsid w:val="006A2A77"/>
  </w:style>
  <w:style w:type="character" w:customStyle="1" w:styleId="Menzionenonrisolta1">
    <w:name w:val="Menzione non risolta1"/>
    <w:basedOn w:val="Tipodeletrapredefinidodopargrafo"/>
    <w:uiPriority w:val="99"/>
    <w:semiHidden/>
    <w:unhideWhenUsed/>
    <w:rsid w:val="008953FF"/>
    <w:rPr>
      <w:color w:val="605E5C"/>
      <w:shd w:val="clear" w:color="auto" w:fill="E1DFDD"/>
    </w:rPr>
  </w:style>
  <w:style w:type="paragraph" w:customStyle="1" w:styleId="nova-legacy-e-listitem">
    <w:name w:val="nova-legacy-e-list__item"/>
    <w:basedOn w:val="Normal"/>
    <w:rsid w:val="003E2AF4"/>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styleId="Refdecomentrio">
    <w:name w:val="annotation reference"/>
    <w:basedOn w:val="Tipodeletrapredefinidodopargrafo"/>
    <w:uiPriority w:val="99"/>
    <w:semiHidden/>
    <w:unhideWhenUsed/>
    <w:rsid w:val="00C90A6A"/>
    <w:rPr>
      <w:sz w:val="16"/>
      <w:szCs w:val="16"/>
    </w:rPr>
  </w:style>
  <w:style w:type="paragraph" w:styleId="Textodecomentrio">
    <w:name w:val="annotation text"/>
    <w:basedOn w:val="Normal"/>
    <w:link w:val="TextodecomentrioCarter"/>
    <w:uiPriority w:val="99"/>
    <w:semiHidden/>
    <w:unhideWhenUsed/>
    <w:rsid w:val="00C90A6A"/>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C90A6A"/>
    <w:rPr>
      <w:sz w:val="20"/>
      <w:szCs w:val="20"/>
      <w:lang w:val="en-US"/>
    </w:rPr>
  </w:style>
  <w:style w:type="paragraph" w:styleId="Assuntodecomentrio">
    <w:name w:val="annotation subject"/>
    <w:basedOn w:val="Textodecomentrio"/>
    <w:next w:val="Textodecomentrio"/>
    <w:link w:val="AssuntodecomentrioCarter"/>
    <w:uiPriority w:val="99"/>
    <w:semiHidden/>
    <w:unhideWhenUsed/>
    <w:rsid w:val="00C90A6A"/>
    <w:rPr>
      <w:b/>
      <w:bCs/>
    </w:rPr>
  </w:style>
  <w:style w:type="character" w:customStyle="1" w:styleId="AssuntodecomentrioCarter">
    <w:name w:val="Assunto de comentário Caráter"/>
    <w:basedOn w:val="TextodecomentrioCarter"/>
    <w:link w:val="Assuntodecomentrio"/>
    <w:uiPriority w:val="99"/>
    <w:semiHidden/>
    <w:rsid w:val="00C90A6A"/>
    <w:rPr>
      <w:b/>
      <w:bCs/>
      <w:sz w:val="20"/>
      <w:szCs w:val="20"/>
      <w:lang w:val="en-US"/>
    </w:rPr>
  </w:style>
  <w:style w:type="paragraph" w:styleId="Textodebalo">
    <w:name w:val="Balloon Text"/>
    <w:basedOn w:val="Normal"/>
    <w:link w:val="TextodebaloCarter"/>
    <w:uiPriority w:val="99"/>
    <w:semiHidden/>
    <w:unhideWhenUsed/>
    <w:rsid w:val="00C90A6A"/>
    <w:pPr>
      <w:spacing w:after="0" w:line="240" w:lineRule="auto"/>
    </w:pPr>
    <w:rPr>
      <w:rFonts w:ascii="Times New Roman" w:hAnsi="Times New Roman" w:cs="Times New Roman"/>
      <w:sz w:val="18"/>
      <w:szCs w:val="18"/>
    </w:rPr>
  </w:style>
  <w:style w:type="character" w:customStyle="1" w:styleId="TextodebaloCarter">
    <w:name w:val="Texto de balão Caráter"/>
    <w:basedOn w:val="Tipodeletrapredefinidodopargrafo"/>
    <w:link w:val="Textodebalo"/>
    <w:uiPriority w:val="99"/>
    <w:semiHidden/>
    <w:rsid w:val="00C90A6A"/>
    <w:rPr>
      <w:rFonts w:ascii="Times New Roman" w:hAnsi="Times New Roman" w:cs="Times New Roman"/>
      <w:sz w:val="18"/>
      <w:szCs w:val="18"/>
      <w:lang w:val="en-US"/>
    </w:rPr>
  </w:style>
  <w:style w:type="paragraph" w:styleId="Reviso">
    <w:name w:val="Revision"/>
    <w:hidden/>
    <w:uiPriority w:val="99"/>
    <w:semiHidden/>
    <w:rsid w:val="00DF0EF6"/>
    <w:pPr>
      <w:spacing w:after="0" w:line="240" w:lineRule="auto"/>
    </w:pPr>
    <w:rPr>
      <w:lang w:val="en-US"/>
    </w:rPr>
  </w:style>
  <w:style w:type="paragraph" w:styleId="HTMLpr-formatado">
    <w:name w:val="HTML Preformatted"/>
    <w:basedOn w:val="Normal"/>
    <w:link w:val="HTMLpr-formatadoCarter"/>
    <w:uiPriority w:val="99"/>
    <w:semiHidden/>
    <w:unhideWhenUsed/>
    <w:rsid w:val="00AD0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rPr>
  </w:style>
  <w:style w:type="character" w:customStyle="1" w:styleId="HTMLpr-formatadoCarter">
    <w:name w:val="HTML pré-formatado Caráter"/>
    <w:basedOn w:val="Tipodeletrapredefinidodopargrafo"/>
    <w:link w:val="HTMLpr-formatado"/>
    <w:uiPriority w:val="99"/>
    <w:semiHidden/>
    <w:rsid w:val="00AD074E"/>
    <w:rPr>
      <w:rFonts w:ascii="Courier New" w:eastAsia="Times New Roman" w:hAnsi="Courier New" w:cs="Courier New"/>
      <w:sz w:val="20"/>
      <w:szCs w:val="20"/>
      <w:lang w:eastAsia="pt-BR"/>
    </w:rPr>
  </w:style>
  <w:style w:type="character" w:styleId="MenoNoResolvida">
    <w:name w:val="Unresolved Mention"/>
    <w:basedOn w:val="Tipodeletrapredefinidodopargrafo"/>
    <w:uiPriority w:val="99"/>
    <w:semiHidden/>
    <w:unhideWhenUsed/>
    <w:rsid w:val="00E56106"/>
    <w:rPr>
      <w:color w:val="605E5C"/>
      <w:shd w:val="clear" w:color="auto" w:fill="E1DFDD"/>
    </w:rPr>
  </w:style>
  <w:style w:type="character" w:customStyle="1" w:styleId="Ttulo1Carter">
    <w:name w:val="Título 1 Caráter"/>
    <w:basedOn w:val="Tipodeletrapredefinidodopargrafo"/>
    <w:link w:val="Ttulo1"/>
    <w:uiPriority w:val="9"/>
    <w:rsid w:val="007F66BE"/>
    <w:rPr>
      <w:rFonts w:ascii="Times New Roman" w:eastAsia="Times New Roman" w:hAnsi="Times New Roman" w:cs="Times New Roman"/>
      <w:b/>
      <w:bCs/>
      <w:kern w:val="36"/>
      <w:sz w:val="48"/>
      <w:szCs w:val="48"/>
      <w:lang w:val="it-IT" w:eastAsia="it-IT"/>
    </w:rPr>
  </w:style>
  <w:style w:type="character" w:customStyle="1" w:styleId="addmd">
    <w:name w:val="addmd"/>
    <w:basedOn w:val="Tipodeletrapredefinidodopargrafo"/>
    <w:rsid w:val="007F66BE"/>
  </w:style>
  <w:style w:type="paragraph" w:styleId="PargrafodaLista">
    <w:name w:val="List Paragraph"/>
    <w:basedOn w:val="Normal"/>
    <w:uiPriority w:val="34"/>
    <w:qFormat/>
    <w:rsid w:val="00737514"/>
    <w:pPr>
      <w:ind w:left="720"/>
      <w:contextualSpacing/>
    </w:pPr>
  </w:style>
  <w:style w:type="character" w:customStyle="1" w:styleId="Ttulo3Carter">
    <w:name w:val="Título 3 Caráter"/>
    <w:basedOn w:val="Tipodeletrapredefinidodopargrafo"/>
    <w:link w:val="Ttulo3"/>
    <w:uiPriority w:val="9"/>
    <w:rsid w:val="00307BCC"/>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995">
      <w:bodyDiv w:val="1"/>
      <w:marLeft w:val="0"/>
      <w:marRight w:val="0"/>
      <w:marTop w:val="0"/>
      <w:marBottom w:val="0"/>
      <w:divBdr>
        <w:top w:val="none" w:sz="0" w:space="0" w:color="auto"/>
        <w:left w:val="none" w:sz="0" w:space="0" w:color="auto"/>
        <w:bottom w:val="none" w:sz="0" w:space="0" w:color="auto"/>
        <w:right w:val="none" w:sz="0" w:space="0" w:color="auto"/>
      </w:divBdr>
    </w:div>
    <w:div w:id="38013166">
      <w:bodyDiv w:val="1"/>
      <w:marLeft w:val="0"/>
      <w:marRight w:val="0"/>
      <w:marTop w:val="0"/>
      <w:marBottom w:val="0"/>
      <w:divBdr>
        <w:top w:val="none" w:sz="0" w:space="0" w:color="auto"/>
        <w:left w:val="none" w:sz="0" w:space="0" w:color="auto"/>
        <w:bottom w:val="none" w:sz="0" w:space="0" w:color="auto"/>
        <w:right w:val="none" w:sz="0" w:space="0" w:color="auto"/>
      </w:divBdr>
    </w:div>
    <w:div w:id="87123254">
      <w:bodyDiv w:val="1"/>
      <w:marLeft w:val="0"/>
      <w:marRight w:val="0"/>
      <w:marTop w:val="0"/>
      <w:marBottom w:val="0"/>
      <w:divBdr>
        <w:top w:val="none" w:sz="0" w:space="0" w:color="auto"/>
        <w:left w:val="none" w:sz="0" w:space="0" w:color="auto"/>
        <w:bottom w:val="none" w:sz="0" w:space="0" w:color="auto"/>
        <w:right w:val="none" w:sz="0" w:space="0" w:color="auto"/>
      </w:divBdr>
    </w:div>
    <w:div w:id="112138208">
      <w:bodyDiv w:val="1"/>
      <w:marLeft w:val="0"/>
      <w:marRight w:val="0"/>
      <w:marTop w:val="0"/>
      <w:marBottom w:val="0"/>
      <w:divBdr>
        <w:top w:val="none" w:sz="0" w:space="0" w:color="auto"/>
        <w:left w:val="none" w:sz="0" w:space="0" w:color="auto"/>
        <w:bottom w:val="none" w:sz="0" w:space="0" w:color="auto"/>
        <w:right w:val="none" w:sz="0" w:space="0" w:color="auto"/>
      </w:divBdr>
    </w:div>
    <w:div w:id="349452129">
      <w:bodyDiv w:val="1"/>
      <w:marLeft w:val="0"/>
      <w:marRight w:val="0"/>
      <w:marTop w:val="0"/>
      <w:marBottom w:val="0"/>
      <w:divBdr>
        <w:top w:val="none" w:sz="0" w:space="0" w:color="auto"/>
        <w:left w:val="none" w:sz="0" w:space="0" w:color="auto"/>
        <w:bottom w:val="none" w:sz="0" w:space="0" w:color="auto"/>
        <w:right w:val="none" w:sz="0" w:space="0" w:color="auto"/>
      </w:divBdr>
    </w:div>
    <w:div w:id="364908313">
      <w:bodyDiv w:val="1"/>
      <w:marLeft w:val="0"/>
      <w:marRight w:val="0"/>
      <w:marTop w:val="0"/>
      <w:marBottom w:val="0"/>
      <w:divBdr>
        <w:top w:val="none" w:sz="0" w:space="0" w:color="auto"/>
        <w:left w:val="none" w:sz="0" w:space="0" w:color="auto"/>
        <w:bottom w:val="none" w:sz="0" w:space="0" w:color="auto"/>
        <w:right w:val="none" w:sz="0" w:space="0" w:color="auto"/>
      </w:divBdr>
    </w:div>
    <w:div w:id="388311527">
      <w:bodyDiv w:val="1"/>
      <w:marLeft w:val="0"/>
      <w:marRight w:val="0"/>
      <w:marTop w:val="0"/>
      <w:marBottom w:val="0"/>
      <w:divBdr>
        <w:top w:val="none" w:sz="0" w:space="0" w:color="auto"/>
        <w:left w:val="none" w:sz="0" w:space="0" w:color="auto"/>
        <w:bottom w:val="none" w:sz="0" w:space="0" w:color="auto"/>
        <w:right w:val="none" w:sz="0" w:space="0" w:color="auto"/>
      </w:divBdr>
    </w:div>
    <w:div w:id="521168469">
      <w:bodyDiv w:val="1"/>
      <w:marLeft w:val="0"/>
      <w:marRight w:val="0"/>
      <w:marTop w:val="0"/>
      <w:marBottom w:val="0"/>
      <w:divBdr>
        <w:top w:val="none" w:sz="0" w:space="0" w:color="auto"/>
        <w:left w:val="none" w:sz="0" w:space="0" w:color="auto"/>
        <w:bottom w:val="none" w:sz="0" w:space="0" w:color="auto"/>
        <w:right w:val="none" w:sz="0" w:space="0" w:color="auto"/>
      </w:divBdr>
    </w:div>
    <w:div w:id="668826694">
      <w:bodyDiv w:val="1"/>
      <w:marLeft w:val="0"/>
      <w:marRight w:val="0"/>
      <w:marTop w:val="0"/>
      <w:marBottom w:val="0"/>
      <w:divBdr>
        <w:top w:val="none" w:sz="0" w:space="0" w:color="auto"/>
        <w:left w:val="none" w:sz="0" w:space="0" w:color="auto"/>
        <w:bottom w:val="none" w:sz="0" w:space="0" w:color="auto"/>
        <w:right w:val="none" w:sz="0" w:space="0" w:color="auto"/>
      </w:divBdr>
    </w:div>
    <w:div w:id="685834256">
      <w:bodyDiv w:val="1"/>
      <w:marLeft w:val="0"/>
      <w:marRight w:val="0"/>
      <w:marTop w:val="0"/>
      <w:marBottom w:val="0"/>
      <w:divBdr>
        <w:top w:val="none" w:sz="0" w:space="0" w:color="auto"/>
        <w:left w:val="none" w:sz="0" w:space="0" w:color="auto"/>
        <w:bottom w:val="none" w:sz="0" w:space="0" w:color="auto"/>
        <w:right w:val="none" w:sz="0" w:space="0" w:color="auto"/>
      </w:divBdr>
    </w:div>
    <w:div w:id="699091123">
      <w:bodyDiv w:val="1"/>
      <w:marLeft w:val="0"/>
      <w:marRight w:val="0"/>
      <w:marTop w:val="0"/>
      <w:marBottom w:val="0"/>
      <w:divBdr>
        <w:top w:val="none" w:sz="0" w:space="0" w:color="auto"/>
        <w:left w:val="none" w:sz="0" w:space="0" w:color="auto"/>
        <w:bottom w:val="none" w:sz="0" w:space="0" w:color="auto"/>
        <w:right w:val="none" w:sz="0" w:space="0" w:color="auto"/>
      </w:divBdr>
      <w:divsChild>
        <w:div w:id="2114592476">
          <w:marLeft w:val="0"/>
          <w:marRight w:val="0"/>
          <w:marTop w:val="0"/>
          <w:marBottom w:val="0"/>
          <w:divBdr>
            <w:top w:val="none" w:sz="0" w:space="0" w:color="auto"/>
            <w:left w:val="none" w:sz="0" w:space="0" w:color="auto"/>
            <w:bottom w:val="none" w:sz="0" w:space="0" w:color="auto"/>
            <w:right w:val="none" w:sz="0" w:space="0" w:color="auto"/>
          </w:divBdr>
          <w:divsChild>
            <w:div w:id="1702509627">
              <w:marLeft w:val="0"/>
              <w:marRight w:val="0"/>
              <w:marTop w:val="0"/>
              <w:marBottom w:val="0"/>
              <w:divBdr>
                <w:top w:val="none" w:sz="0" w:space="0" w:color="auto"/>
                <w:left w:val="none" w:sz="0" w:space="0" w:color="auto"/>
                <w:bottom w:val="none" w:sz="0" w:space="0" w:color="auto"/>
                <w:right w:val="none" w:sz="0" w:space="0" w:color="auto"/>
              </w:divBdr>
            </w:div>
            <w:div w:id="779955977">
              <w:marLeft w:val="0"/>
              <w:marRight w:val="0"/>
              <w:marTop w:val="0"/>
              <w:marBottom w:val="0"/>
              <w:divBdr>
                <w:top w:val="none" w:sz="0" w:space="0" w:color="auto"/>
                <w:left w:val="none" w:sz="0" w:space="0" w:color="auto"/>
                <w:bottom w:val="none" w:sz="0" w:space="0" w:color="auto"/>
                <w:right w:val="none" w:sz="0" w:space="0" w:color="auto"/>
              </w:divBdr>
            </w:div>
          </w:divsChild>
        </w:div>
        <w:div w:id="1566452880">
          <w:marLeft w:val="0"/>
          <w:marRight w:val="0"/>
          <w:marTop w:val="150"/>
          <w:marBottom w:val="0"/>
          <w:divBdr>
            <w:top w:val="none" w:sz="0" w:space="0" w:color="auto"/>
            <w:left w:val="none" w:sz="0" w:space="0" w:color="auto"/>
            <w:bottom w:val="none" w:sz="0" w:space="0" w:color="auto"/>
            <w:right w:val="none" w:sz="0" w:space="0" w:color="auto"/>
          </w:divBdr>
        </w:div>
      </w:divsChild>
    </w:div>
    <w:div w:id="771432408">
      <w:bodyDiv w:val="1"/>
      <w:marLeft w:val="0"/>
      <w:marRight w:val="0"/>
      <w:marTop w:val="0"/>
      <w:marBottom w:val="0"/>
      <w:divBdr>
        <w:top w:val="none" w:sz="0" w:space="0" w:color="auto"/>
        <w:left w:val="none" w:sz="0" w:space="0" w:color="auto"/>
        <w:bottom w:val="none" w:sz="0" w:space="0" w:color="auto"/>
        <w:right w:val="none" w:sz="0" w:space="0" w:color="auto"/>
      </w:divBdr>
    </w:div>
    <w:div w:id="782071049">
      <w:bodyDiv w:val="1"/>
      <w:marLeft w:val="0"/>
      <w:marRight w:val="0"/>
      <w:marTop w:val="0"/>
      <w:marBottom w:val="0"/>
      <w:divBdr>
        <w:top w:val="none" w:sz="0" w:space="0" w:color="auto"/>
        <w:left w:val="none" w:sz="0" w:space="0" w:color="auto"/>
        <w:bottom w:val="none" w:sz="0" w:space="0" w:color="auto"/>
        <w:right w:val="none" w:sz="0" w:space="0" w:color="auto"/>
      </w:divBdr>
    </w:div>
    <w:div w:id="1135609796">
      <w:bodyDiv w:val="1"/>
      <w:marLeft w:val="0"/>
      <w:marRight w:val="0"/>
      <w:marTop w:val="0"/>
      <w:marBottom w:val="0"/>
      <w:divBdr>
        <w:top w:val="none" w:sz="0" w:space="0" w:color="auto"/>
        <w:left w:val="none" w:sz="0" w:space="0" w:color="auto"/>
        <w:bottom w:val="none" w:sz="0" w:space="0" w:color="auto"/>
        <w:right w:val="none" w:sz="0" w:space="0" w:color="auto"/>
      </w:divBdr>
    </w:div>
    <w:div w:id="1418556136">
      <w:bodyDiv w:val="1"/>
      <w:marLeft w:val="0"/>
      <w:marRight w:val="0"/>
      <w:marTop w:val="0"/>
      <w:marBottom w:val="0"/>
      <w:divBdr>
        <w:top w:val="none" w:sz="0" w:space="0" w:color="auto"/>
        <w:left w:val="none" w:sz="0" w:space="0" w:color="auto"/>
        <w:bottom w:val="none" w:sz="0" w:space="0" w:color="auto"/>
        <w:right w:val="none" w:sz="0" w:space="0" w:color="auto"/>
      </w:divBdr>
    </w:div>
    <w:div w:id="1449885079">
      <w:bodyDiv w:val="1"/>
      <w:marLeft w:val="0"/>
      <w:marRight w:val="0"/>
      <w:marTop w:val="0"/>
      <w:marBottom w:val="0"/>
      <w:divBdr>
        <w:top w:val="none" w:sz="0" w:space="0" w:color="auto"/>
        <w:left w:val="none" w:sz="0" w:space="0" w:color="auto"/>
        <w:bottom w:val="none" w:sz="0" w:space="0" w:color="auto"/>
        <w:right w:val="none" w:sz="0" w:space="0" w:color="auto"/>
      </w:divBdr>
    </w:div>
    <w:div w:id="1496143944">
      <w:bodyDiv w:val="1"/>
      <w:marLeft w:val="0"/>
      <w:marRight w:val="0"/>
      <w:marTop w:val="0"/>
      <w:marBottom w:val="0"/>
      <w:divBdr>
        <w:top w:val="none" w:sz="0" w:space="0" w:color="auto"/>
        <w:left w:val="none" w:sz="0" w:space="0" w:color="auto"/>
        <w:bottom w:val="none" w:sz="0" w:space="0" w:color="auto"/>
        <w:right w:val="none" w:sz="0" w:space="0" w:color="auto"/>
      </w:divBdr>
    </w:div>
    <w:div w:id="1515414455">
      <w:bodyDiv w:val="1"/>
      <w:marLeft w:val="0"/>
      <w:marRight w:val="0"/>
      <w:marTop w:val="0"/>
      <w:marBottom w:val="0"/>
      <w:divBdr>
        <w:top w:val="none" w:sz="0" w:space="0" w:color="auto"/>
        <w:left w:val="none" w:sz="0" w:space="0" w:color="auto"/>
        <w:bottom w:val="none" w:sz="0" w:space="0" w:color="auto"/>
        <w:right w:val="none" w:sz="0" w:space="0" w:color="auto"/>
      </w:divBdr>
    </w:div>
    <w:div w:id="1777598576">
      <w:bodyDiv w:val="1"/>
      <w:marLeft w:val="0"/>
      <w:marRight w:val="0"/>
      <w:marTop w:val="0"/>
      <w:marBottom w:val="0"/>
      <w:divBdr>
        <w:top w:val="none" w:sz="0" w:space="0" w:color="auto"/>
        <w:left w:val="none" w:sz="0" w:space="0" w:color="auto"/>
        <w:bottom w:val="none" w:sz="0" w:space="0" w:color="auto"/>
        <w:right w:val="none" w:sz="0" w:space="0" w:color="auto"/>
      </w:divBdr>
    </w:div>
    <w:div w:id="1867014328">
      <w:bodyDiv w:val="1"/>
      <w:marLeft w:val="0"/>
      <w:marRight w:val="0"/>
      <w:marTop w:val="0"/>
      <w:marBottom w:val="0"/>
      <w:divBdr>
        <w:top w:val="none" w:sz="0" w:space="0" w:color="auto"/>
        <w:left w:val="none" w:sz="0" w:space="0" w:color="auto"/>
        <w:bottom w:val="none" w:sz="0" w:space="0" w:color="auto"/>
        <w:right w:val="none" w:sz="0" w:space="0" w:color="auto"/>
      </w:divBdr>
    </w:div>
    <w:div w:id="2097556506">
      <w:bodyDiv w:val="1"/>
      <w:marLeft w:val="0"/>
      <w:marRight w:val="0"/>
      <w:marTop w:val="0"/>
      <w:marBottom w:val="0"/>
      <w:divBdr>
        <w:top w:val="none" w:sz="0" w:space="0" w:color="auto"/>
        <w:left w:val="none" w:sz="0" w:space="0" w:color="auto"/>
        <w:bottom w:val="none" w:sz="0" w:space="0" w:color="auto"/>
        <w:right w:val="none" w:sz="0" w:space="0" w:color="auto"/>
      </w:divBdr>
      <w:divsChild>
        <w:div w:id="811557287">
          <w:marLeft w:val="0"/>
          <w:marRight w:val="0"/>
          <w:marTop w:val="0"/>
          <w:marBottom w:val="0"/>
          <w:divBdr>
            <w:top w:val="none" w:sz="0" w:space="0" w:color="auto"/>
            <w:left w:val="none" w:sz="0" w:space="0" w:color="auto"/>
            <w:bottom w:val="none" w:sz="0" w:space="0" w:color="auto"/>
            <w:right w:val="none" w:sz="0" w:space="0" w:color="auto"/>
          </w:divBdr>
          <w:divsChild>
            <w:div w:id="1541162330">
              <w:marLeft w:val="1740"/>
              <w:marRight w:val="0"/>
              <w:marTop w:val="0"/>
              <w:marBottom w:val="240"/>
              <w:divBdr>
                <w:top w:val="none" w:sz="0" w:space="0" w:color="auto"/>
                <w:left w:val="none" w:sz="0" w:space="0" w:color="auto"/>
                <w:bottom w:val="none" w:sz="0" w:space="0" w:color="auto"/>
                <w:right w:val="none" w:sz="0" w:space="0" w:color="auto"/>
              </w:divBdr>
            </w:div>
          </w:divsChild>
        </w:div>
        <w:div w:id="661012087">
          <w:marLeft w:val="0"/>
          <w:marRight w:val="0"/>
          <w:marTop w:val="0"/>
          <w:marBottom w:val="0"/>
          <w:divBdr>
            <w:top w:val="none" w:sz="0" w:space="0" w:color="auto"/>
            <w:left w:val="none" w:sz="0" w:space="0" w:color="auto"/>
            <w:bottom w:val="none" w:sz="0" w:space="0" w:color="auto"/>
            <w:right w:val="none" w:sz="0" w:space="0" w:color="auto"/>
          </w:divBdr>
          <w:divsChild>
            <w:div w:id="2021001601">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210124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ibliotecavirtual.clacso.org.ar/clacso/formacion-virtual/20100715073000/boro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DB214-4CFE-466C-9485-876E9377A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5997</Words>
  <Characters>34184</Characters>
  <Application>Microsoft Office Word</Application>
  <DocSecurity>0</DocSecurity>
  <Lines>284</Lines>
  <Paragraphs>80</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Hermeto</dc:creator>
  <cp:keywords/>
  <dc:description/>
  <cp:lastModifiedBy>Jose Rafael Morenes Munoz-Rojas</cp:lastModifiedBy>
  <cp:revision>3</cp:revision>
  <cp:lastPrinted>2022-02-15T10:16:00Z</cp:lastPrinted>
  <dcterms:created xsi:type="dcterms:W3CDTF">2022-02-22T12:32:00Z</dcterms:created>
  <dcterms:modified xsi:type="dcterms:W3CDTF">2022-06-13T10:16:00Z</dcterms:modified>
</cp:coreProperties>
</file>