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4B7A" w:rsidRDefault="00EA3774" w:rsidP="00A34B7A">
      <w:r>
        <w:rPr>
          <w:noProof/>
        </w:rPr>
        <w:pict>
          <v:shapetype id="_x0000_t202" coordsize="21600,21600" o:spt="202" path="m,l,21600r21600,l21600,xe">
            <v:stroke joinstyle="miter"/>
            <v:path gradientshapeok="t" o:connecttype="rect"/>
          </v:shapetype>
          <v:shape id="_x0000_s1031" type="#_x0000_t202" style="position:absolute;margin-left:-.2pt;margin-top:300.45pt;width:490.55pt;height:30.1pt;z-index:251666432" filled="f" stroked="f">
            <v:textbox style="mso-next-textbox:#_x0000_s1031">
              <w:txbxContent>
                <w:p w:rsidR="00B34B0F" w:rsidRPr="006C64B0" w:rsidRDefault="00B34B0F" w:rsidP="00A34B7A">
                  <w:pPr>
                    <w:jc w:val="right"/>
                    <w:rPr>
                      <w:i/>
                      <w:color w:val="1A1A1A"/>
                      <w:sz w:val="36"/>
                      <w:szCs w:val="36"/>
                    </w:rPr>
                  </w:pPr>
                  <w:r>
                    <w:rPr>
                      <w:i/>
                      <w:color w:val="1A1A1A"/>
                      <w:sz w:val="36"/>
                      <w:szCs w:val="36"/>
                    </w:rPr>
                    <w:t>Nelson António Carvalho de Almeida</w:t>
                  </w:r>
                </w:p>
              </w:txbxContent>
            </v:textbox>
          </v:shape>
        </w:pict>
      </w:r>
      <w:r>
        <w:rPr>
          <w:noProof/>
        </w:rPr>
        <w:pict>
          <v:shape id="_x0000_s1029" type="#_x0000_t202" style="position:absolute;margin-left:-.2pt;margin-top:394.9pt;width:489.85pt;height:31.3pt;z-index:251664384" stroked="f">
            <v:fill opacity="0"/>
            <v:textbox style="mso-next-textbox:#_x0000_s1029">
              <w:txbxContent>
                <w:p w:rsidR="00B34B0F" w:rsidRDefault="00B34B0F" w:rsidP="00A34B7A">
                  <w:pPr>
                    <w:spacing w:line="240" w:lineRule="exact"/>
                    <w:jc w:val="right"/>
                    <w:rPr>
                      <w:i/>
                      <w:color w:val="4D4D4D"/>
                      <w:sz w:val="20"/>
                      <w:szCs w:val="20"/>
                    </w:rPr>
                  </w:pPr>
                  <w:r>
                    <w:rPr>
                      <w:rFonts w:ascii="Arial" w:hAnsi="Arial" w:cs="Arial"/>
                      <w:color w:val="4D4D4D"/>
                      <w:sz w:val="20"/>
                      <w:szCs w:val="20"/>
                    </w:rPr>
                    <w:t>ORIENTADORES:</w:t>
                  </w:r>
                  <w:r w:rsidRPr="00D71DB6">
                    <w:rPr>
                      <w:rFonts w:ascii="Arial" w:hAnsi="Arial" w:cs="Arial"/>
                      <w:color w:val="4D4D4D"/>
                    </w:rPr>
                    <w:t xml:space="preserve"> </w:t>
                  </w:r>
                  <w:r>
                    <w:rPr>
                      <w:i/>
                      <w:color w:val="4D4D4D"/>
                      <w:sz w:val="20"/>
                      <w:szCs w:val="20"/>
                    </w:rPr>
                    <w:t>Leonor Maria Pereira Rocha</w:t>
                  </w:r>
                </w:p>
                <w:p w:rsidR="00B34B0F" w:rsidRPr="003D07F5" w:rsidRDefault="00B34B0F" w:rsidP="00A34B7A">
                  <w:pPr>
                    <w:spacing w:line="240" w:lineRule="exact"/>
                    <w:jc w:val="right"/>
                    <w:rPr>
                      <w:rFonts w:ascii="Arial" w:hAnsi="Arial" w:cs="Arial"/>
                      <w:color w:val="4D4D4D"/>
                      <w:sz w:val="20"/>
                      <w:szCs w:val="20"/>
                    </w:rPr>
                  </w:pPr>
                  <w:r>
                    <w:rPr>
                      <w:rFonts w:ascii="Arial" w:hAnsi="Arial" w:cs="Arial"/>
                      <w:color w:val="4D4D4D"/>
                      <w:sz w:val="20"/>
                      <w:szCs w:val="20"/>
                    </w:rPr>
                    <w:t xml:space="preserve"> </w:t>
                  </w:r>
                  <w:r>
                    <w:rPr>
                      <w:i/>
                      <w:color w:val="4D4D4D"/>
                      <w:sz w:val="20"/>
                      <w:szCs w:val="20"/>
                    </w:rPr>
                    <w:t>Thierry Jean Aubry</w:t>
                  </w:r>
                  <w:r w:rsidRPr="003D07F5">
                    <w:rPr>
                      <w:rFonts w:ascii="Arial" w:hAnsi="Arial" w:cs="Arial"/>
                      <w:color w:val="4D4D4D"/>
                      <w:sz w:val="20"/>
                      <w:szCs w:val="20"/>
                    </w:rPr>
                    <w:t xml:space="preserve"> </w:t>
                  </w:r>
                </w:p>
              </w:txbxContent>
            </v:textbox>
          </v:shape>
        </w:pict>
      </w:r>
      <w:r>
        <w:rPr>
          <w:noProof/>
        </w:rPr>
        <w:pict>
          <v:shape id="_x0000_s1030" type="#_x0000_t202" style="position:absolute;margin-left:-.2pt;margin-top:336.45pt;width:490.4pt;height:49.3pt;z-index:251665408" filled="f" stroked="f">
            <v:textbox style="mso-next-textbox:#_x0000_s1030">
              <w:txbxContent>
                <w:p w:rsidR="00B34B0F" w:rsidRPr="006C64B0" w:rsidRDefault="00B34B0F" w:rsidP="00A34B7A">
                  <w:pPr>
                    <w:spacing w:line="288" w:lineRule="exact"/>
                    <w:jc w:val="right"/>
                    <w:rPr>
                      <w:rFonts w:ascii="Arial" w:hAnsi="Arial" w:cs="Arial"/>
                      <w:color w:val="333333"/>
                    </w:rPr>
                  </w:pPr>
                  <w:r w:rsidRPr="006C64B0">
                    <w:rPr>
                      <w:rFonts w:ascii="Arial" w:hAnsi="Arial" w:cs="Arial"/>
                      <w:color w:val="333333"/>
                    </w:rPr>
                    <w:t>Tese apresentada à Universidade de Évora</w:t>
                  </w:r>
                </w:p>
                <w:p w:rsidR="00B34B0F" w:rsidRPr="006C64B0" w:rsidRDefault="00B34B0F" w:rsidP="00A34B7A">
                  <w:pPr>
                    <w:spacing w:line="288" w:lineRule="exact"/>
                    <w:jc w:val="right"/>
                    <w:rPr>
                      <w:rFonts w:ascii="Arial" w:hAnsi="Arial" w:cs="Arial"/>
                      <w:color w:val="333333"/>
                    </w:rPr>
                  </w:pPr>
                  <w:proofErr w:type="gramStart"/>
                  <w:r w:rsidRPr="006C64B0">
                    <w:rPr>
                      <w:rFonts w:ascii="Arial" w:hAnsi="Arial" w:cs="Arial"/>
                      <w:color w:val="333333"/>
                    </w:rPr>
                    <w:t>para</w:t>
                  </w:r>
                  <w:proofErr w:type="gramEnd"/>
                  <w:r w:rsidRPr="006C64B0">
                    <w:rPr>
                      <w:rFonts w:ascii="Arial" w:hAnsi="Arial" w:cs="Arial"/>
                      <w:color w:val="333333"/>
                    </w:rPr>
                    <w:t xml:space="preserve"> obtenção do Grau de Doutor em </w:t>
                  </w:r>
                  <w:r>
                    <w:rPr>
                      <w:rFonts w:ascii="Arial" w:hAnsi="Arial" w:cs="Arial"/>
                      <w:color w:val="333333"/>
                    </w:rPr>
                    <w:t>Arqueologia</w:t>
                  </w:r>
                </w:p>
                <w:p w:rsidR="00B34B0F" w:rsidRPr="006C64B0" w:rsidRDefault="00B34B0F" w:rsidP="00A34B7A">
                  <w:pPr>
                    <w:spacing w:line="288" w:lineRule="exact"/>
                    <w:jc w:val="right"/>
                    <w:rPr>
                      <w:rFonts w:ascii="Arial" w:hAnsi="Arial" w:cs="Arial"/>
                      <w:color w:val="333333"/>
                    </w:rPr>
                  </w:pPr>
                  <w:r>
                    <w:rPr>
                      <w:rFonts w:ascii="Arial" w:hAnsi="Arial" w:cs="Arial"/>
                      <w:color w:val="333333"/>
                    </w:rPr>
                    <w:t>Especialidade:Pré-História</w:t>
                  </w:r>
                </w:p>
              </w:txbxContent>
            </v:textbox>
          </v:shape>
        </w:pict>
      </w:r>
      <w:r w:rsidR="00A34B7A">
        <w:rPr>
          <w:noProof/>
        </w:rPr>
        <w:drawing>
          <wp:anchor distT="0" distB="0" distL="114300" distR="114300" simplePos="0" relativeHeight="251660288" behindDoc="1" locked="0" layoutInCell="1" allowOverlap="1">
            <wp:simplePos x="0" y="0"/>
            <wp:positionH relativeFrom="margin">
              <wp:posOffset>635</wp:posOffset>
            </wp:positionH>
            <wp:positionV relativeFrom="paragraph">
              <wp:posOffset>6193790</wp:posOffset>
            </wp:positionV>
            <wp:extent cx="6118225" cy="2157730"/>
            <wp:effectExtent l="19050" t="0" r="0" b="0"/>
            <wp:wrapNone/>
            <wp:docPr id="14" name="Imagem 1" descr="C:\Users\Paulo\Desktop\capas\107-2_modifi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Paulo\Desktop\capas\107-2_modificada.jpg"/>
                    <pic:cNvPicPr>
                      <a:picLocks noChangeAspect="1" noChangeArrowheads="1"/>
                    </pic:cNvPicPr>
                  </pic:nvPicPr>
                  <pic:blipFill>
                    <a:blip r:embed="rId8" cstate="print"/>
                    <a:srcRect l="3130" r="3564"/>
                    <a:stretch>
                      <a:fillRect/>
                    </a:stretch>
                  </pic:blipFill>
                  <pic:spPr bwMode="auto">
                    <a:xfrm>
                      <a:off x="0" y="0"/>
                      <a:ext cx="6118225" cy="2157730"/>
                    </a:xfrm>
                    <a:prstGeom prst="rect">
                      <a:avLst/>
                    </a:prstGeom>
                    <a:noFill/>
                    <a:ln w="9525">
                      <a:noFill/>
                      <a:miter lim="800000"/>
                      <a:headEnd/>
                      <a:tailEnd/>
                    </a:ln>
                  </pic:spPr>
                </pic:pic>
              </a:graphicData>
            </a:graphic>
          </wp:anchor>
        </w:drawing>
      </w:r>
      <w:r w:rsidR="00A34B7A">
        <w:rPr>
          <w:noProof/>
        </w:rPr>
        <w:drawing>
          <wp:anchor distT="0" distB="0" distL="114300" distR="114300" simplePos="0" relativeHeight="251669504" behindDoc="0" locked="0" layoutInCell="1" allowOverlap="1">
            <wp:simplePos x="0" y="0"/>
            <wp:positionH relativeFrom="column">
              <wp:posOffset>5008880</wp:posOffset>
            </wp:positionH>
            <wp:positionV relativeFrom="paragraph">
              <wp:posOffset>-76835</wp:posOffset>
            </wp:positionV>
            <wp:extent cx="1354455" cy="1811655"/>
            <wp:effectExtent l="0" t="0" r="0" b="0"/>
            <wp:wrapNone/>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9" cstate="print"/>
                    <a:srcRect/>
                    <a:stretch>
                      <a:fillRect/>
                    </a:stretch>
                  </pic:blipFill>
                  <pic:spPr bwMode="auto">
                    <a:xfrm>
                      <a:off x="0" y="0"/>
                      <a:ext cx="1354455" cy="1811655"/>
                    </a:xfrm>
                    <a:prstGeom prst="rect">
                      <a:avLst/>
                    </a:prstGeom>
                    <a:noFill/>
                    <a:ln w="9525">
                      <a:noFill/>
                      <a:miter lim="800000"/>
                      <a:headEnd/>
                      <a:tailEnd/>
                    </a:ln>
                  </pic:spPr>
                </pic:pic>
              </a:graphicData>
            </a:graphic>
          </wp:anchor>
        </w:drawing>
      </w:r>
      <w:r>
        <w:rPr>
          <w:noProof/>
          <w:lang w:eastAsia="en-US"/>
        </w:rPr>
        <w:pict>
          <v:shape id="_x0000_s1026" type="#_x0000_t202" style="position:absolute;margin-left:254.2pt;margin-top:686.6pt;width:235.5pt;height:19.1pt;z-index:251661312;mso-position-horizontal-relative:text;mso-position-vertical-relative:text;mso-width-relative:margin;mso-height-relative:margin" stroked="f">
            <v:textbox style="mso-next-textbox:#_x0000_s1026">
              <w:txbxContent>
                <w:p w:rsidR="00B34B0F" w:rsidRPr="000B61F2" w:rsidRDefault="00B34B0F" w:rsidP="00A34B7A">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v:textbox>
          </v:shape>
        </w:pict>
      </w:r>
      <w:r>
        <w:rPr>
          <w:noProof/>
        </w:rPr>
        <w:pict>
          <v:shapetype id="_x0000_t32" coordsize="21600,21600" o:spt="32" o:oned="t" path="m,l21600,21600e" filled="f">
            <v:path arrowok="t" fillok="f" o:connecttype="none"/>
            <o:lock v:ext="edit" shapetype="t"/>
          </v:shapetype>
          <v:shape id="_x0000_s1027" type="#_x0000_t32" style="position:absolute;margin-left:0;margin-top:368.55pt;width:481.9pt;height:0;z-index:251662336;mso-position-horizontal:center;mso-position-horizontal-relative:margin;mso-position-vertical-relative:page" o:connectortype="straight" strokecolor="#1a1a1a" strokeweight="1pt">
            <w10:wrap anchorx="margin" anchory="page"/>
          </v:shape>
        </w:pict>
      </w:r>
    </w:p>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A34B7A" w:rsidP="00A34B7A"/>
    <w:p w:rsidR="00A34B7A" w:rsidRPr="00543A7C" w:rsidRDefault="00EA3774" w:rsidP="00A34B7A">
      <w:r>
        <w:rPr>
          <w:noProof/>
        </w:rPr>
        <w:pict>
          <v:shape id="_x0000_s1033" type="#_x0000_t202" style="position:absolute;margin-left:-60.75pt;margin-top:5.9pt;width:561.8pt;height:64.95pt;z-index:251668480" filled="f" stroked="f">
            <v:textbox style="mso-next-textbox:#_x0000_s1033">
              <w:txbxContent>
                <w:p w:rsidR="00B34B0F" w:rsidRPr="00180AEE" w:rsidRDefault="00B34B0F" w:rsidP="00A34B7A">
                  <w:pPr>
                    <w:jc w:val="right"/>
                    <w:rPr>
                      <w:b/>
                      <w:sz w:val="44"/>
                      <w:szCs w:val="44"/>
                    </w:rPr>
                  </w:pPr>
                  <w:r w:rsidRPr="00180AEE">
                    <w:rPr>
                      <w:b/>
                      <w:sz w:val="44"/>
                      <w:szCs w:val="44"/>
                    </w:rPr>
                    <w:t xml:space="preserve">O PALEOLÍTICO MÉDIO DAS PORTAS </w:t>
                  </w:r>
                  <w:r>
                    <w:rPr>
                      <w:b/>
                      <w:sz w:val="44"/>
                      <w:szCs w:val="44"/>
                    </w:rPr>
                    <w:t>DE RÓDÃO</w:t>
                  </w:r>
                  <w:r w:rsidRPr="00180AEE">
                    <w:rPr>
                      <w:b/>
                      <w:sz w:val="44"/>
                      <w:szCs w:val="44"/>
                    </w:rPr>
                    <w:t xml:space="preserve">, A MARGEM </w:t>
                  </w:r>
                  <w:r>
                    <w:rPr>
                      <w:b/>
                      <w:sz w:val="44"/>
                      <w:szCs w:val="44"/>
                    </w:rPr>
                    <w:t>ESQUERDA</w:t>
                  </w:r>
                  <w:r w:rsidRPr="00180AEE">
                    <w:rPr>
                      <w:b/>
                      <w:sz w:val="44"/>
                      <w:szCs w:val="44"/>
                    </w:rPr>
                    <w:t xml:space="preserve"> (NISA, PORTUGAL) </w:t>
                  </w:r>
                </w:p>
                <w:p w:rsidR="00B34B0F" w:rsidRPr="00180AEE" w:rsidRDefault="00B34B0F" w:rsidP="00A34B7A">
                  <w:pPr>
                    <w:rPr>
                      <w:szCs w:val="50"/>
                    </w:rPr>
                  </w:pPr>
                </w:p>
              </w:txbxContent>
            </v:textbox>
          </v:shape>
        </w:pict>
      </w:r>
    </w:p>
    <w:p w:rsidR="00A34B7A" w:rsidRPr="00543A7C" w:rsidRDefault="00A34B7A" w:rsidP="00A34B7A"/>
    <w:p w:rsidR="00A34B7A" w:rsidRPr="00543A7C" w:rsidRDefault="00A34B7A" w:rsidP="00A34B7A"/>
    <w:p w:rsidR="00A34B7A" w:rsidRPr="00543A7C" w:rsidRDefault="00A34B7A" w:rsidP="00A34B7A">
      <w:bookmarkStart w:id="0" w:name="_GoBack"/>
      <w:bookmarkEnd w:id="0"/>
    </w:p>
    <w:p w:rsidR="00A34B7A" w:rsidRPr="00543A7C" w:rsidRDefault="00A34B7A" w:rsidP="00A34B7A"/>
    <w:p w:rsidR="00A34B7A" w:rsidRPr="00543A7C" w:rsidRDefault="00A34B7A" w:rsidP="00A34B7A"/>
    <w:p w:rsidR="00A34B7A" w:rsidRDefault="00EA3774" w:rsidP="00A34B7A">
      <w:r>
        <w:rPr>
          <w:noProof/>
          <w:lang w:eastAsia="en-US"/>
        </w:rPr>
        <w:pict>
          <v:shape id="_x0000_s1032" type="#_x0000_t202" style="position:absolute;margin-left:-.2pt;margin-top:2.15pt;width:490.05pt;height:59.6pt;z-index:251667456;mso-width-relative:margin;mso-height-relative:margin" filled="f" stroked="f">
            <v:textbox style="mso-next-textbox:#_x0000_s1032">
              <w:txbxContent>
                <w:p w:rsidR="00B34B0F" w:rsidRPr="00180AEE" w:rsidRDefault="00B34B0F" w:rsidP="00A34B7A">
                  <w:pPr>
                    <w:spacing w:line="360" w:lineRule="auto"/>
                    <w:jc w:val="right"/>
                    <w:rPr>
                      <w:sz w:val="36"/>
                      <w:szCs w:val="32"/>
                    </w:rPr>
                  </w:pPr>
                  <w:r w:rsidRPr="00180AEE">
                    <w:rPr>
                      <w:b/>
                      <w:sz w:val="36"/>
                      <w:szCs w:val="32"/>
                    </w:rPr>
                    <w:t>Contributo para a sua caracterização cronoestratigráfica.</w:t>
                  </w:r>
                </w:p>
                <w:p w:rsidR="00B34B0F" w:rsidRPr="00914708" w:rsidRDefault="00B34B0F" w:rsidP="00A34B7A">
                  <w:pPr>
                    <w:rPr>
                      <w:szCs w:val="34"/>
                    </w:rPr>
                  </w:pPr>
                </w:p>
              </w:txbxContent>
            </v:textbox>
          </v:shape>
        </w:pict>
      </w:r>
    </w:p>
    <w:p w:rsidR="00A34B7A" w:rsidRPr="00543A7C" w:rsidRDefault="00A34B7A" w:rsidP="00A34B7A">
      <w:pPr>
        <w:jc w:val="right"/>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EA3774" w:rsidP="00A34B7A">
      <w:pPr>
        <w:jc w:val="both"/>
        <w:rPr>
          <w:b/>
          <w:sz w:val="28"/>
          <w:szCs w:val="28"/>
        </w:rPr>
      </w:pPr>
      <w:r w:rsidRPr="00EA3774">
        <w:rPr>
          <w:lang w:eastAsia="en-US"/>
        </w:rPr>
        <w:pict>
          <v:shape id="_x0000_s1034" type="#_x0000_t202" style="position:absolute;left:0;text-align:left;margin-left:235.55pt;margin-top:10.65pt;width:246.25pt;height:23.6pt;z-index:251670528;mso-width-relative:margin;mso-height-relative:margin" stroked="f">
            <v:textbox style="mso-next-textbox:#_x0000_s1034">
              <w:txbxContent>
                <w:p w:rsidR="00B34B0F" w:rsidRDefault="00B34B0F" w:rsidP="00A34B7A">
                  <w:pPr>
                    <w:jc w:val="right"/>
                    <w:rPr>
                      <w:i/>
                      <w:color w:val="666666"/>
                      <w:sz w:val="19"/>
                      <w:szCs w:val="19"/>
                    </w:rPr>
                  </w:pPr>
                  <w:r>
                    <w:rPr>
                      <w:i/>
                      <w:color w:val="666666"/>
                      <w:sz w:val="19"/>
                      <w:szCs w:val="19"/>
                    </w:rPr>
                    <w:t>Esta tese não inclui as críticas e sugestões feitas pelo júri</w:t>
                  </w:r>
                </w:p>
              </w:txbxContent>
            </v:textbox>
          </v:shape>
        </w:pict>
      </w:r>
    </w:p>
    <w:p w:rsidR="00A34B7A" w:rsidRDefault="00A34B7A" w:rsidP="00A34B7A">
      <w:pPr>
        <w:jc w:val="both"/>
        <w:rPr>
          <w:b/>
          <w:sz w:val="28"/>
          <w:szCs w:val="28"/>
        </w:rPr>
      </w:pPr>
    </w:p>
    <w:p w:rsidR="00A34B7A" w:rsidRDefault="00EA3774" w:rsidP="00A34B7A">
      <w:pPr>
        <w:jc w:val="both"/>
        <w:rPr>
          <w:b/>
          <w:sz w:val="28"/>
          <w:szCs w:val="28"/>
        </w:rPr>
      </w:pPr>
      <w:r w:rsidRPr="00EA3774">
        <w:rPr>
          <w:noProof/>
          <w:lang w:eastAsia="en-US"/>
        </w:rPr>
        <w:pict>
          <v:shape id="_x0000_s1028" type="#_x0000_t202" style="position:absolute;left:0;text-align:left;margin-left:318.3pt;margin-top:2.05pt;width:159.05pt;height:21.4pt;z-index:251663360;mso-width-relative:margin;mso-height-relative:margin" stroked="f">
            <v:textbox style="mso-next-textbox:#_x0000_s1028">
              <w:txbxContent>
                <w:p w:rsidR="00B34B0F" w:rsidRPr="00F711CF" w:rsidRDefault="00B34B0F" w:rsidP="00A34B7A">
                  <w:pPr>
                    <w:jc w:val="right"/>
                    <w:rPr>
                      <w:rFonts w:ascii="Arial" w:hAnsi="Arial" w:cs="Arial"/>
                      <w:color w:val="3D3D3D"/>
                      <w:sz w:val="20"/>
                      <w:szCs w:val="20"/>
                    </w:rPr>
                  </w:pPr>
                  <w:r w:rsidRPr="00F711CF">
                    <w:rPr>
                      <w:rFonts w:ascii="Arial" w:hAnsi="Arial" w:cs="Arial"/>
                      <w:color w:val="3D3D3D"/>
                      <w:sz w:val="20"/>
                      <w:szCs w:val="20"/>
                    </w:rPr>
                    <w:t xml:space="preserve">ÉVORA, </w:t>
                  </w:r>
                  <w:r>
                    <w:rPr>
                      <w:rFonts w:ascii="Arial" w:hAnsi="Arial" w:cs="Arial"/>
                      <w:color w:val="3D3D3D"/>
                      <w:sz w:val="20"/>
                      <w:szCs w:val="20"/>
                    </w:rPr>
                    <w:t>JANEIRO de 2014</w:t>
                  </w:r>
                </w:p>
              </w:txbxContent>
            </v:textbox>
          </v:shape>
        </w:pict>
      </w: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jc w:val="both"/>
        <w:rPr>
          <w:b/>
          <w:sz w:val="28"/>
          <w:szCs w:val="28"/>
        </w:rPr>
      </w:pPr>
    </w:p>
    <w:p w:rsidR="00A34B7A" w:rsidRDefault="00A34B7A" w:rsidP="00A34B7A">
      <w:pPr>
        <w:rPr>
          <w:b/>
          <w:sz w:val="28"/>
          <w:szCs w:val="28"/>
        </w:rPr>
      </w:pPr>
    </w:p>
    <w:p w:rsidR="00A34B7A" w:rsidRDefault="00A34B7A" w:rsidP="00A34B7A">
      <w:pPr>
        <w:rPr>
          <w:sz w:val="28"/>
          <w:szCs w:val="28"/>
        </w:rPr>
      </w:pPr>
    </w:p>
    <w:p w:rsidR="00A34B7A" w:rsidRDefault="00A34B7A" w:rsidP="00A34B7A">
      <w:pPr>
        <w:rPr>
          <w:sz w:val="28"/>
          <w:szCs w:val="28"/>
        </w:rPr>
      </w:pPr>
    </w:p>
    <w:p w:rsidR="00A34B7A" w:rsidRDefault="00A34B7A" w:rsidP="00A34B7A">
      <w:pPr>
        <w:rPr>
          <w:sz w:val="28"/>
          <w:szCs w:val="28"/>
        </w:rPr>
      </w:pPr>
    </w:p>
    <w:p w:rsidR="00A34B7A" w:rsidRDefault="00A34B7A" w:rsidP="00A34B7A">
      <w:pPr>
        <w:rPr>
          <w:sz w:val="28"/>
          <w:szCs w:val="28"/>
        </w:rPr>
      </w:pPr>
    </w:p>
    <w:p w:rsidR="00A34B7A" w:rsidRDefault="00A34B7A" w:rsidP="00A34B7A">
      <w:pPr>
        <w:rPr>
          <w:sz w:val="28"/>
          <w:szCs w:val="28"/>
        </w:rPr>
      </w:pPr>
    </w:p>
    <w:p w:rsidR="00A34B7A" w:rsidRDefault="00A34B7A" w:rsidP="00A34B7A">
      <w:pPr>
        <w:rPr>
          <w:sz w:val="28"/>
          <w:szCs w:val="28"/>
        </w:rPr>
      </w:pPr>
    </w:p>
    <w:p w:rsidR="00A34B7A" w:rsidRDefault="00A34B7A" w:rsidP="00A34B7A">
      <w:pPr>
        <w:rPr>
          <w:sz w:val="28"/>
          <w:szCs w:val="28"/>
        </w:rPr>
      </w:pPr>
    </w:p>
    <w:p w:rsidR="00632F9C" w:rsidRDefault="00632F9C" w:rsidP="00AC7B53">
      <w:pPr>
        <w:rPr>
          <w:b/>
          <w:u w:val="single"/>
        </w:rPr>
      </w:pPr>
    </w:p>
    <w:p w:rsidR="00A34B7A" w:rsidRDefault="00EA3774" w:rsidP="00A34B7A">
      <w:pPr>
        <w:jc w:val="right"/>
        <w:rPr>
          <w:b/>
          <w:u w:val="single"/>
        </w:rPr>
      </w:pPr>
      <w:r>
        <w:rPr>
          <w:b/>
          <w:noProof/>
          <w:u w:val="single"/>
          <w:lang w:eastAsia="en-US"/>
        </w:rPr>
        <w:pict>
          <v:shape id="_x0000_s1713" type="#_x0000_t202" style="position:absolute;left:0;text-align:left;margin-left:412.55pt;margin-top:43.7pt;width:41.05pt;height:32.65pt;z-index:251856896;mso-width-relative:margin;mso-height-relative:margin" stroked="f">
            <v:textbox style="mso-next-textbox:#_x0000_s1713">
              <w:txbxContent>
                <w:p w:rsidR="00B34B0F" w:rsidRDefault="00B34B0F"/>
              </w:txbxContent>
            </v:textbox>
          </v:shape>
        </w:pict>
      </w:r>
    </w:p>
    <w:p w:rsidR="00A34B7A" w:rsidRDefault="00A34B7A" w:rsidP="00A34B7A">
      <w:pPr>
        <w:jc w:val="right"/>
        <w:rPr>
          <w:b/>
          <w:u w:val="single"/>
        </w:rPr>
      </w:pPr>
    </w:p>
    <w:p w:rsidR="00632F9C" w:rsidRDefault="00632F9C" w:rsidP="00A34B7A">
      <w:pPr>
        <w:jc w:val="right"/>
        <w:rPr>
          <w:b/>
          <w:u w:val="single"/>
        </w:rPr>
      </w:pPr>
    </w:p>
    <w:p w:rsidR="00632F9C" w:rsidRDefault="00632F9C" w:rsidP="00A34B7A">
      <w:pPr>
        <w:jc w:val="right"/>
        <w:rPr>
          <w:b/>
          <w:u w:val="single"/>
        </w:rPr>
      </w:pPr>
    </w:p>
    <w:p w:rsidR="00632F9C" w:rsidRDefault="00632F9C" w:rsidP="00A34B7A">
      <w:pPr>
        <w:jc w:val="right"/>
        <w:rPr>
          <w:b/>
          <w:u w:val="single"/>
        </w:rPr>
      </w:pPr>
    </w:p>
    <w:p w:rsidR="00632F9C" w:rsidRDefault="00632F9C" w:rsidP="00A34B7A">
      <w:pPr>
        <w:jc w:val="right"/>
        <w:rPr>
          <w:b/>
          <w:u w:val="single"/>
        </w:rPr>
      </w:pPr>
    </w:p>
    <w:p w:rsidR="00632F9C" w:rsidRDefault="00632F9C" w:rsidP="00A34B7A">
      <w:pPr>
        <w:jc w:val="right"/>
        <w:rPr>
          <w:b/>
          <w:u w:val="single"/>
        </w:rPr>
      </w:pPr>
    </w:p>
    <w:p w:rsidR="00A34B7A" w:rsidRDefault="00A34B7A"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632F9C" w:rsidRDefault="00632F9C" w:rsidP="00A34B7A">
      <w:pPr>
        <w:rPr>
          <w:b/>
          <w:u w:val="single"/>
        </w:rPr>
      </w:pPr>
    </w:p>
    <w:p w:rsidR="00A34B7A" w:rsidRDefault="00A34B7A" w:rsidP="00A34B7A">
      <w:pPr>
        <w:rPr>
          <w:b/>
          <w:u w:val="single"/>
        </w:rPr>
      </w:pPr>
    </w:p>
    <w:p w:rsidR="00A34B7A" w:rsidRDefault="00A34B7A" w:rsidP="00A34B7A">
      <w:pPr>
        <w:jc w:val="right"/>
        <w:rPr>
          <w:b/>
          <w:u w:val="single"/>
        </w:rPr>
      </w:pPr>
    </w:p>
    <w:p w:rsidR="00A34B7A" w:rsidRDefault="00A34B7A" w:rsidP="00A34B7A">
      <w:pPr>
        <w:rPr>
          <w:b/>
        </w:rPr>
      </w:pPr>
    </w:p>
    <w:p w:rsidR="00A34B7A" w:rsidRDefault="00A34B7A" w:rsidP="00A34B7A">
      <w:pPr>
        <w:rPr>
          <w:b/>
        </w:rPr>
      </w:pPr>
    </w:p>
    <w:p w:rsidR="00A34B7A" w:rsidRPr="00D556C5" w:rsidRDefault="00A34B7A" w:rsidP="00A34B7A">
      <w:pPr>
        <w:ind w:left="2124" w:firstLine="708"/>
        <w:jc w:val="center"/>
        <w:rPr>
          <w:b/>
          <w:i/>
          <w:lang w:val="fr-FR"/>
        </w:rPr>
      </w:pPr>
      <w:r w:rsidRPr="00D556C5">
        <w:rPr>
          <w:b/>
          <w:i/>
          <w:lang w:val="fr-FR"/>
        </w:rPr>
        <w:t>Ao meu Pai</w:t>
      </w:r>
    </w:p>
    <w:p w:rsidR="00A34B7A" w:rsidRPr="00D556C5" w:rsidRDefault="00A34B7A" w:rsidP="00A34B7A">
      <w:pPr>
        <w:rPr>
          <w:b/>
          <w:lang w:val="fr-FR"/>
        </w:rPr>
      </w:pPr>
    </w:p>
    <w:p w:rsidR="00A34B7A" w:rsidRPr="00D556C5" w:rsidRDefault="00A34B7A" w:rsidP="00A34B7A">
      <w:pPr>
        <w:rPr>
          <w:b/>
          <w:lang w:val="fr-FR"/>
        </w:rPr>
      </w:pPr>
    </w:p>
    <w:p w:rsidR="00A34B7A" w:rsidRPr="00A1447A" w:rsidRDefault="00A34B7A" w:rsidP="00A34B7A">
      <w:pPr>
        <w:jc w:val="right"/>
        <w:rPr>
          <w:i/>
          <w:lang w:val="fr-FR"/>
        </w:rPr>
      </w:pPr>
      <w:r w:rsidRPr="00A1447A">
        <w:rPr>
          <w:i/>
          <w:lang w:val="fr-FR"/>
        </w:rPr>
        <w:t>“…J’ai besoin de mon père pour savoir d’ou je viens…”</w:t>
      </w:r>
    </w:p>
    <w:p w:rsidR="00A34B7A" w:rsidRPr="00A1447A" w:rsidRDefault="00A34B7A" w:rsidP="00A34B7A">
      <w:pPr>
        <w:ind w:left="708" w:firstLine="708"/>
        <w:jc w:val="center"/>
        <w:rPr>
          <w:lang w:val="fr-FR"/>
        </w:rPr>
      </w:pPr>
      <w:r w:rsidRPr="00D556C5">
        <w:rPr>
          <w:lang w:val="fr-FR"/>
        </w:rPr>
        <w:t xml:space="preserve">Manu Chao, </w:t>
      </w:r>
      <w:r w:rsidRPr="00A1447A">
        <w:rPr>
          <w:lang w:val="fr-FR"/>
        </w:rPr>
        <w:t>“Tous les Jours”</w:t>
      </w: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Default="00A34B7A" w:rsidP="00A34B7A">
      <w:pPr>
        <w:jc w:val="right"/>
        <w:rPr>
          <w:b/>
          <w:u w:val="single"/>
          <w:lang w:val="fr-FR"/>
        </w:rPr>
      </w:pPr>
    </w:p>
    <w:p w:rsidR="00A34B7A" w:rsidRDefault="00A34B7A" w:rsidP="00A34B7A">
      <w:pPr>
        <w:jc w:val="right"/>
        <w:rPr>
          <w:b/>
          <w:u w:val="single"/>
          <w:lang w:val="fr-FR"/>
        </w:rPr>
      </w:pPr>
    </w:p>
    <w:p w:rsidR="00A34B7A" w:rsidRDefault="00A34B7A" w:rsidP="00A34B7A">
      <w:pPr>
        <w:jc w:val="right"/>
        <w:rPr>
          <w:b/>
          <w:u w:val="single"/>
          <w:lang w:val="fr-FR"/>
        </w:rPr>
      </w:pPr>
    </w:p>
    <w:p w:rsidR="00A34B7A" w:rsidRDefault="00A34B7A" w:rsidP="00A34B7A">
      <w:pPr>
        <w:jc w:val="right"/>
        <w:rPr>
          <w:b/>
          <w:u w:val="single"/>
          <w:lang w:val="fr-FR"/>
        </w:rPr>
      </w:pPr>
    </w:p>
    <w:p w:rsidR="00A34B7A" w:rsidRDefault="00A34B7A" w:rsidP="00A34B7A">
      <w:pPr>
        <w:jc w:val="right"/>
        <w:rPr>
          <w:b/>
          <w:u w:val="single"/>
          <w:lang w:val="fr-FR"/>
        </w:rPr>
      </w:pPr>
    </w:p>
    <w:p w:rsidR="00A34B7A" w:rsidRDefault="00EA3774" w:rsidP="00A34B7A">
      <w:pPr>
        <w:jc w:val="right"/>
        <w:rPr>
          <w:b/>
          <w:u w:val="single"/>
          <w:lang w:val="fr-FR"/>
        </w:rPr>
      </w:pPr>
      <w:r>
        <w:rPr>
          <w:b/>
          <w:noProof/>
          <w:u w:val="single"/>
        </w:rPr>
        <w:pict>
          <v:shape id="_x0000_s1714" type="#_x0000_t202" style="position:absolute;left:0;text-align:left;margin-left:411.15pt;margin-top:55.85pt;width:41.05pt;height:32.65pt;z-index:251857920;mso-width-relative:margin;mso-height-relative:margin" stroked="f">
            <v:textbox style="mso-next-textbox:#_x0000_s1714">
              <w:txbxContent>
                <w:p w:rsidR="00B34B0F" w:rsidRDefault="00B34B0F" w:rsidP="001321C3"/>
              </w:txbxContent>
            </v:textbox>
          </v:shape>
        </w:pict>
      </w:r>
    </w:p>
    <w:p w:rsidR="00A34B7A" w:rsidRDefault="00A34B7A" w:rsidP="00A34B7A">
      <w:pPr>
        <w:jc w:val="right"/>
        <w:rPr>
          <w:b/>
          <w:u w:val="single"/>
          <w:lang w:val="fr-FR"/>
        </w:rPr>
      </w:pPr>
    </w:p>
    <w:p w:rsidR="00A34B7A" w:rsidRDefault="00A34B7A" w:rsidP="00A34B7A">
      <w:pPr>
        <w:jc w:val="right"/>
        <w:rPr>
          <w:b/>
          <w:u w:val="single"/>
          <w:lang w:val="fr-FR"/>
        </w:rPr>
      </w:pPr>
    </w:p>
    <w:p w:rsidR="00A34B7A" w:rsidRDefault="00A34B7A"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AC7B53" w:rsidRDefault="00AC7B53" w:rsidP="00A34B7A">
      <w:pPr>
        <w:jc w:val="right"/>
        <w:rPr>
          <w:b/>
          <w:u w:val="single"/>
          <w:lang w:val="fr-FR"/>
        </w:rPr>
      </w:pPr>
    </w:p>
    <w:p w:rsidR="00AC7B53" w:rsidRDefault="00AC7B53" w:rsidP="00A34B7A">
      <w:pPr>
        <w:jc w:val="right"/>
        <w:rPr>
          <w:b/>
          <w:u w:val="single"/>
          <w:lang w:val="fr-FR"/>
        </w:rPr>
      </w:pPr>
    </w:p>
    <w:p w:rsidR="00632F9C" w:rsidRDefault="00632F9C" w:rsidP="00A34B7A">
      <w:pPr>
        <w:jc w:val="right"/>
        <w:rPr>
          <w:b/>
          <w:u w:val="single"/>
          <w:lang w:val="fr-FR"/>
        </w:rPr>
      </w:pPr>
    </w:p>
    <w:p w:rsidR="00632F9C" w:rsidRDefault="00632F9C" w:rsidP="00A34B7A">
      <w:pPr>
        <w:jc w:val="right"/>
        <w:rPr>
          <w:b/>
          <w:u w:val="single"/>
          <w:lang w:val="fr-FR"/>
        </w:rPr>
      </w:pPr>
    </w:p>
    <w:p w:rsidR="00632F9C" w:rsidRPr="00A56CB7" w:rsidRDefault="00632F9C" w:rsidP="00A34B7A">
      <w:pPr>
        <w:jc w:val="right"/>
        <w:rPr>
          <w:b/>
          <w:u w:val="single"/>
          <w:lang w:val="fr-FR"/>
        </w:rPr>
      </w:pPr>
    </w:p>
    <w:p w:rsidR="00A34B7A" w:rsidRPr="00A56CB7" w:rsidRDefault="00A34B7A" w:rsidP="00A34B7A">
      <w:pPr>
        <w:jc w:val="right"/>
        <w:rPr>
          <w:b/>
          <w:u w:val="single"/>
          <w:lang w:val="fr-FR"/>
        </w:rPr>
      </w:pPr>
    </w:p>
    <w:p w:rsidR="00A34B7A" w:rsidRPr="00A56CB7" w:rsidRDefault="00A34B7A" w:rsidP="00A34B7A">
      <w:pPr>
        <w:jc w:val="right"/>
        <w:rPr>
          <w:b/>
          <w:u w:val="single"/>
          <w:lang w:val="fr-FR"/>
        </w:rPr>
      </w:pPr>
    </w:p>
    <w:p w:rsidR="00A34B7A" w:rsidRPr="009A1308" w:rsidRDefault="00A34B7A" w:rsidP="00A34B7A">
      <w:pPr>
        <w:jc w:val="right"/>
        <w:rPr>
          <w:b/>
          <w:u w:val="single"/>
        </w:rPr>
      </w:pPr>
      <w:r w:rsidRPr="009A1308">
        <w:rPr>
          <w:b/>
          <w:u w:val="single"/>
        </w:rPr>
        <w:t>AGRADECIMENTOS</w:t>
      </w:r>
    </w:p>
    <w:p w:rsidR="00A34B7A" w:rsidRDefault="00A34B7A" w:rsidP="00A34B7A">
      <w:pPr>
        <w:rPr>
          <w:b/>
        </w:rPr>
      </w:pPr>
    </w:p>
    <w:p w:rsidR="00A34B7A" w:rsidRDefault="00A34B7A" w:rsidP="00A34B7A">
      <w:pPr>
        <w:rPr>
          <w:b/>
        </w:rPr>
      </w:pPr>
    </w:p>
    <w:p w:rsidR="00632F9C" w:rsidRDefault="00632F9C" w:rsidP="00A34B7A">
      <w:pPr>
        <w:rPr>
          <w:b/>
        </w:rPr>
      </w:pPr>
    </w:p>
    <w:p w:rsidR="00632F9C" w:rsidRDefault="00632F9C" w:rsidP="00A34B7A">
      <w:pPr>
        <w:rPr>
          <w:b/>
        </w:rPr>
      </w:pPr>
    </w:p>
    <w:p w:rsidR="00632F9C" w:rsidRDefault="001321C3" w:rsidP="001321C3">
      <w:pPr>
        <w:tabs>
          <w:tab w:val="left" w:pos="7769"/>
        </w:tabs>
        <w:rPr>
          <w:b/>
        </w:rPr>
      </w:pPr>
      <w:r>
        <w:rPr>
          <w:b/>
        </w:rPr>
        <w:tab/>
      </w:r>
    </w:p>
    <w:p w:rsidR="00632F9C" w:rsidRDefault="00EA3774" w:rsidP="00A34B7A">
      <w:pPr>
        <w:rPr>
          <w:b/>
        </w:rPr>
      </w:pPr>
      <w:r>
        <w:rPr>
          <w:b/>
          <w:noProof/>
        </w:rPr>
        <w:pict>
          <v:shape id="_x0000_s1715" type="#_x0000_t202" style="position:absolute;margin-left:403.05pt;margin-top:69.65pt;width:41.05pt;height:32.65pt;z-index:251858944;mso-width-relative:margin;mso-height-relative:margin" stroked="f">
            <v:textbox style="mso-next-textbox:#_x0000_s1715">
              <w:txbxContent>
                <w:p w:rsidR="00B34B0F" w:rsidRDefault="00B34B0F" w:rsidP="001321C3"/>
              </w:txbxContent>
            </v:textbox>
          </v:shape>
        </w:pict>
      </w:r>
    </w:p>
    <w:p w:rsidR="00A34B7A" w:rsidRDefault="00A34B7A" w:rsidP="00A34B7A">
      <w:pPr>
        <w:spacing w:line="360" w:lineRule="auto"/>
        <w:ind w:firstLine="708"/>
        <w:jc w:val="both"/>
      </w:pPr>
      <w:r>
        <w:lastRenderedPageBreak/>
        <w:t xml:space="preserve">Por mais individual que seja uma investigação, a sua consecução depende sempre de um conjunto de relações interpessoais. Ao longo do tempo, sem me aperceber fui criando uma rede de contactos profissionais que, com alguma rara excepção, resultaram, com o tempo, em relações de amizade. Agora que é altura de agradecer a todos os que me auxiliaram na elaboração deste trabalho, torna-se evidente que não teria conseguido chegar ao </w:t>
      </w:r>
      <w:r w:rsidRPr="00A0227E">
        <w:rPr>
          <w:i/>
        </w:rPr>
        <w:t>terminus</w:t>
      </w:r>
      <w:r>
        <w:t xml:space="preserve"> desta tese sem a sua preciosa ajuda. No meu caso algumas dessas relações já se medem em décadas noutros casos são mais recentes. </w:t>
      </w:r>
    </w:p>
    <w:p w:rsidR="00A34B7A" w:rsidRDefault="00A34B7A" w:rsidP="00A34B7A">
      <w:pPr>
        <w:spacing w:line="360" w:lineRule="auto"/>
        <w:ind w:firstLine="708"/>
        <w:jc w:val="both"/>
      </w:pPr>
    </w:p>
    <w:p w:rsidR="00A34B7A" w:rsidRDefault="00A34B7A" w:rsidP="00A34B7A">
      <w:pPr>
        <w:spacing w:line="360" w:lineRule="auto"/>
        <w:ind w:firstLine="708"/>
        <w:jc w:val="both"/>
      </w:pPr>
      <w:r>
        <w:t xml:space="preserve">Quando há vinte anos atrás, na estação de Poitiers, entrei na 4L do Thierry Aubry para iniciar a minha primeira escavação de Paleolítico, nunca me passou pela cabeça que esta experiência iria decidir o meu futuro. É ele o responsável pelo vício que desde então me tem consumido o tempo e o corpo … É ele, indirectamente, o primeiro responsável por esta tese. Directamente, só </w:t>
      </w:r>
      <w:proofErr w:type="gramStart"/>
      <w:r>
        <w:t>tenho</w:t>
      </w:r>
      <w:proofErr w:type="gramEnd"/>
      <w:r>
        <w:t xml:space="preserve"> que lhe agradecer ter aceitado ser meu co-orientador e esperar que a nossa amizade dure, pelo menos, mais vinte anos.</w:t>
      </w:r>
    </w:p>
    <w:p w:rsidR="00A34B7A" w:rsidRDefault="00A34B7A" w:rsidP="00A34B7A">
      <w:pPr>
        <w:spacing w:line="360" w:lineRule="auto"/>
        <w:ind w:firstLine="708"/>
        <w:jc w:val="both"/>
      </w:pPr>
    </w:p>
    <w:p w:rsidR="00A34B7A" w:rsidRDefault="00A34B7A" w:rsidP="00A34B7A">
      <w:pPr>
        <w:spacing w:line="360" w:lineRule="auto"/>
        <w:ind w:firstLine="708"/>
        <w:jc w:val="both"/>
      </w:pPr>
      <w:r>
        <w:t>À minha outra co-orientadora, Leonor Rocha, tenho que agradecer o entusiasmo e o apoio que me prestou para que esta tese fosse possível. E isso, não obstante ter-me aturado como colega de trabalho durante quase uma década. Este foi mais um passo nos trabalhos que temos realizado em conjunto e, certamente, não será o último.</w:t>
      </w:r>
    </w:p>
    <w:p w:rsidR="00A34B7A" w:rsidRDefault="00A34B7A" w:rsidP="00A34B7A">
      <w:pPr>
        <w:spacing w:line="360" w:lineRule="auto"/>
        <w:ind w:firstLine="708"/>
        <w:jc w:val="both"/>
      </w:pPr>
    </w:p>
    <w:p w:rsidR="00A34B7A" w:rsidRDefault="00A34B7A" w:rsidP="00A34B7A">
      <w:pPr>
        <w:spacing w:line="360" w:lineRule="auto"/>
        <w:ind w:firstLine="708"/>
        <w:jc w:val="both"/>
      </w:pPr>
      <w:r>
        <w:t xml:space="preserve">A minha percepção e conhecimento da Bacia do Arneiro, em particular, e das Portas de Ródão, em geral, não </w:t>
      </w:r>
      <w:r w:rsidR="00F97B11">
        <w:t>teriam</w:t>
      </w:r>
      <w:r>
        <w:t xml:space="preserve"> sido </w:t>
      </w:r>
      <w:r w:rsidR="00F97B11">
        <w:t>os</w:t>
      </w:r>
      <w:r>
        <w:t xml:space="preserve"> mesm</w:t>
      </w:r>
      <w:r w:rsidR="00F97B11">
        <w:t>os</w:t>
      </w:r>
      <w:r>
        <w:t xml:space="preserve"> sem o apoio do Pedro Proença Cunha e do António Martins. O meu obrigado por partilharem comigo os seus conhecimentos sobre a geomorfologia desta área, e pelo apoio fundamental na realização de algumas das datações apresentadas neste trabalho. </w:t>
      </w:r>
    </w:p>
    <w:p w:rsidR="00A34B7A" w:rsidRDefault="00A34B7A" w:rsidP="00A34B7A">
      <w:pPr>
        <w:spacing w:line="360" w:lineRule="auto"/>
        <w:ind w:firstLine="708"/>
        <w:jc w:val="both"/>
      </w:pPr>
    </w:p>
    <w:p w:rsidR="00A34B7A" w:rsidRDefault="00EA3774" w:rsidP="00AC7B53">
      <w:pPr>
        <w:spacing w:line="360" w:lineRule="auto"/>
        <w:ind w:firstLine="708"/>
        <w:jc w:val="both"/>
      </w:pPr>
      <w:r>
        <w:rPr>
          <w:noProof/>
        </w:rPr>
        <w:pict>
          <v:shape id="_x0000_s1716" type="#_x0000_t202" style="position:absolute;left:0;text-align:left;margin-left:401.35pt;margin-top:173.95pt;width:41.05pt;height:32.65pt;z-index:251859968;mso-width-relative:margin;mso-height-relative:margin" stroked="f">
            <v:textbox style="mso-next-textbox:#_x0000_s1716">
              <w:txbxContent>
                <w:p w:rsidR="00B34B0F" w:rsidRDefault="00B34B0F" w:rsidP="001321C3"/>
              </w:txbxContent>
            </v:textbox>
          </v:shape>
        </w:pict>
      </w:r>
      <w:r w:rsidR="00A34B7A">
        <w:t xml:space="preserve">Na minha primeira visita à Bacia do Arneiro tive a companhia do Morgan de Dapper, que procurava uma área de estudo para uma sua aluna de doutoramento da universidade de Ghent, Sarah Deprez. As consequentes visitas de campo que partilhamos serviram, para mim, como introdução numa nova disciplina: a geoarqueologia. A ele devo agradecer os novos conhecimentos que adquiri, e a amizade que ficou. À Sarah devo agradecer ter realizado </w:t>
      </w:r>
      <w:proofErr w:type="gramStart"/>
      <w:r w:rsidR="00A34B7A">
        <w:t>as datações</w:t>
      </w:r>
      <w:proofErr w:type="gramEnd"/>
      <w:r w:rsidR="00A34B7A">
        <w:t xml:space="preserve"> que precisava para a sua tese, nas estações que eu pretendia escavar. A ambos o meu muito obrigado. </w:t>
      </w:r>
    </w:p>
    <w:p w:rsidR="00A34B7A" w:rsidRDefault="00A34B7A" w:rsidP="00A34B7A">
      <w:pPr>
        <w:spacing w:line="360" w:lineRule="auto"/>
        <w:ind w:firstLine="708"/>
        <w:jc w:val="both"/>
      </w:pPr>
      <w:r>
        <w:lastRenderedPageBreak/>
        <w:t xml:space="preserve">Ao laboratório Hércules da Universidade de Évora agradeço, na pessoa da Cristina Dias, o apoio prestado na análise de alguns materiais recolhidos nas escavações.  </w:t>
      </w:r>
    </w:p>
    <w:p w:rsidR="00A34B7A" w:rsidRDefault="00A34B7A" w:rsidP="00A34B7A">
      <w:pPr>
        <w:spacing w:line="360" w:lineRule="auto"/>
        <w:ind w:firstLine="708"/>
        <w:jc w:val="both"/>
      </w:pPr>
    </w:p>
    <w:p w:rsidR="00A34B7A" w:rsidRDefault="00A34B7A" w:rsidP="00A34B7A">
      <w:pPr>
        <w:spacing w:line="360" w:lineRule="auto"/>
        <w:ind w:firstLine="708"/>
        <w:jc w:val="both"/>
      </w:pPr>
      <w:r>
        <w:t>O trabalho que se apresenta assentou em vários anos de trabalho de campo. Esses trabalhos de campo não teriam sido possíveis sem o apoio incansável da Carla Calado, da Câmara Municipal de Nisa, que fez todos os possíveis para que as campanhas de escavação decorressem da melhor forma. Muito obrigado. Também à Junta de Freguesia de Santana na pessoa do seu anterior presidente, o Sr. Francisco São Pedro, pelo apoio que deu a est</w:t>
      </w:r>
      <w:r w:rsidR="00F97B11">
        <w:t>e</w:t>
      </w:r>
      <w:r>
        <w:t xml:space="preserve"> projecto. Ao Centro de Dia de Santana, agradeço a comida reconfortante e revigorante servida durante as campanhas de escavação e a simpatia das suas funcionárias.</w:t>
      </w:r>
    </w:p>
    <w:p w:rsidR="00A34B7A" w:rsidRDefault="00A34B7A" w:rsidP="00A34B7A">
      <w:pPr>
        <w:spacing w:line="360" w:lineRule="auto"/>
        <w:ind w:firstLine="708"/>
        <w:jc w:val="both"/>
      </w:pPr>
    </w:p>
    <w:p w:rsidR="00A34B7A" w:rsidRDefault="00A34B7A" w:rsidP="00A34B7A">
      <w:pPr>
        <w:spacing w:line="360" w:lineRule="auto"/>
        <w:ind w:firstLine="708"/>
        <w:jc w:val="both"/>
      </w:pPr>
      <w:r>
        <w:t xml:space="preserve">Embora o trabalho se desenvolvesse no concelho de Nisa, a Câmara Municipal de Vila Velha de Ródão apoiou-nos incondicionalmente na última campanha realizada em 2012. O meu muito obrigado a esta autarquia na pessoa da sua presidente, Maria do Carmo Sequeira. </w:t>
      </w:r>
    </w:p>
    <w:p w:rsidR="00A34B7A" w:rsidRDefault="00A34B7A" w:rsidP="00A34B7A">
      <w:pPr>
        <w:spacing w:line="360" w:lineRule="auto"/>
        <w:ind w:firstLine="708"/>
        <w:jc w:val="both"/>
      </w:pPr>
    </w:p>
    <w:p w:rsidR="00A34B7A" w:rsidRPr="0075314F" w:rsidRDefault="00A34B7A" w:rsidP="00A34B7A">
      <w:pPr>
        <w:spacing w:line="360" w:lineRule="auto"/>
        <w:ind w:firstLine="708"/>
        <w:jc w:val="both"/>
      </w:pPr>
      <w:r w:rsidRPr="0075314F">
        <w:t xml:space="preserve">Finalmente, tenho que agradecer a todos aqueles que participaram nas prospecções e escavações realizadas na Bacia do Arneiro e sem os quais este trabalho nunca teria visto a luz do dia: Alexandra Pimenta, Ana Baião, </w:t>
      </w:r>
      <w:r w:rsidRPr="0075314F">
        <w:rPr>
          <w:rFonts w:eastAsia="Calibri"/>
        </w:rPr>
        <w:t>Augusto Aveleira</w:t>
      </w:r>
      <w:r w:rsidRPr="0075314F">
        <w:t xml:space="preserve">, Beatriz Barros, Carlos Silva, Daniela de Matos, </w:t>
      </w:r>
      <w:r w:rsidRPr="0075314F">
        <w:rPr>
          <w:rFonts w:eastAsia="Calibri"/>
        </w:rPr>
        <w:t>Francisco Garcia</w:t>
      </w:r>
      <w:r w:rsidRPr="0075314F">
        <w:t xml:space="preserve">, Henrique Matias, Inês Lagoas, </w:t>
      </w:r>
      <w:r w:rsidRPr="0075314F">
        <w:rPr>
          <w:rFonts w:eastAsia="Calibri"/>
        </w:rPr>
        <w:t>Javier Barca</w:t>
      </w:r>
      <w:r w:rsidRPr="0075314F">
        <w:t xml:space="preserve">, </w:t>
      </w:r>
      <w:r>
        <w:t>Joana Torres</w:t>
      </w:r>
      <w:r w:rsidRPr="0075314F">
        <w:rPr>
          <w:rFonts w:eastAsia="Calibri"/>
        </w:rPr>
        <w:t>, Maria Dolores Mejías</w:t>
      </w:r>
      <w:r w:rsidRPr="0075314F">
        <w:t xml:space="preserve">, Maria Garcia, </w:t>
      </w:r>
      <w:r w:rsidRPr="0075314F">
        <w:rPr>
          <w:rFonts w:eastAsia="Calibri"/>
        </w:rPr>
        <w:t>Nuno Félix</w:t>
      </w:r>
      <w:r w:rsidRPr="0075314F">
        <w:t xml:space="preserve">, Rui </w:t>
      </w:r>
      <w:r>
        <w:t>Lourenço</w:t>
      </w:r>
      <w:r w:rsidRPr="0075314F">
        <w:t xml:space="preserve">, Nelson Antunes, </w:t>
      </w:r>
      <w:r w:rsidRPr="0075314F">
        <w:rPr>
          <w:rFonts w:eastAsia="Calibri"/>
        </w:rPr>
        <w:t>Vânia Carvalho</w:t>
      </w:r>
      <w:r>
        <w:rPr>
          <w:rFonts w:eastAsia="Calibri"/>
        </w:rPr>
        <w:t>,</w:t>
      </w:r>
      <w:r w:rsidRPr="0075314F">
        <w:rPr>
          <w:rFonts w:eastAsia="Calibri"/>
        </w:rPr>
        <w:t xml:space="preserve"> </w:t>
      </w:r>
      <w:r w:rsidRPr="0075314F">
        <w:t>Vanessa Dias,</w:t>
      </w:r>
      <w:r>
        <w:t xml:space="preserve"> Simão Almeida,</w:t>
      </w:r>
      <w:r w:rsidRPr="0075314F">
        <w:t xml:space="preserve"> Teresa Pedro </w:t>
      </w:r>
      <w:r>
        <w:t xml:space="preserve">e </w:t>
      </w:r>
      <w:r w:rsidRPr="0075314F">
        <w:rPr>
          <w:rFonts w:eastAsia="Calibri"/>
        </w:rPr>
        <w:t>Teresa Pereira</w:t>
      </w:r>
      <w:r w:rsidRPr="0075314F">
        <w:t>.</w: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Pr="00646E6C" w:rsidRDefault="00A34B7A" w:rsidP="00A34B7A">
      <w:pPr>
        <w:spacing w:line="360" w:lineRule="auto"/>
        <w:ind w:firstLine="708"/>
        <w:jc w:val="both"/>
      </w:pPr>
      <w:r>
        <w:t>À Mena, ao André, ao Simão e ao Miguel agradeço tudo o que me têm dado e peço desculpa pelo que, devido a esta tarefa, lhes tenho negado.</w:t>
      </w:r>
    </w:p>
    <w:p w:rsidR="00A34B7A" w:rsidRDefault="00A34B7A" w:rsidP="00A34B7A">
      <w:pPr>
        <w:rPr>
          <w:b/>
        </w:rPr>
      </w:pPr>
    </w:p>
    <w:p w:rsidR="00A34B7A" w:rsidRDefault="00A34B7A" w:rsidP="00A34B7A">
      <w:pPr>
        <w:rPr>
          <w:b/>
        </w:rPr>
      </w:pPr>
    </w:p>
    <w:p w:rsidR="00632F9C" w:rsidRDefault="00632F9C" w:rsidP="00A34B7A">
      <w:pPr>
        <w:rPr>
          <w:b/>
          <w:sz w:val="28"/>
          <w:szCs w:val="28"/>
        </w:rPr>
      </w:pPr>
    </w:p>
    <w:p w:rsidR="00632F9C" w:rsidRDefault="00632F9C" w:rsidP="00A34B7A">
      <w:pPr>
        <w:rPr>
          <w:b/>
          <w:sz w:val="28"/>
          <w:szCs w:val="28"/>
        </w:rPr>
      </w:pPr>
    </w:p>
    <w:p w:rsidR="00AC7B53" w:rsidRDefault="00AC7B53" w:rsidP="00A34B7A">
      <w:pPr>
        <w:rPr>
          <w:b/>
          <w:sz w:val="28"/>
          <w:szCs w:val="28"/>
        </w:rPr>
      </w:pPr>
    </w:p>
    <w:p w:rsidR="00632F9C" w:rsidRDefault="00EA3774" w:rsidP="00A34B7A">
      <w:pPr>
        <w:rPr>
          <w:b/>
          <w:sz w:val="28"/>
          <w:szCs w:val="28"/>
        </w:rPr>
      </w:pPr>
      <w:r>
        <w:rPr>
          <w:b/>
          <w:noProof/>
          <w:sz w:val="28"/>
          <w:szCs w:val="28"/>
        </w:rPr>
        <w:pict>
          <v:shape id="_x0000_s1717" type="#_x0000_t202" style="position:absolute;margin-left:401.35pt;margin-top:57.5pt;width:41.05pt;height:32.65pt;z-index:251860992;mso-width-relative:margin;mso-height-relative:margin" stroked="f">
            <v:textbox style="mso-next-textbox:#_x0000_s1717">
              <w:txbxContent>
                <w:p w:rsidR="00B34B0F" w:rsidRDefault="00B34B0F" w:rsidP="001321C3"/>
              </w:txbxContent>
            </v:textbox>
          </v:shape>
        </w:pict>
      </w:r>
    </w:p>
    <w:p w:rsidR="00A34B7A" w:rsidRDefault="00A34B7A" w:rsidP="00E86ADD">
      <w:pPr>
        <w:jc w:val="both"/>
        <w:rPr>
          <w:b/>
          <w:sz w:val="28"/>
          <w:szCs w:val="28"/>
        </w:rPr>
      </w:pPr>
      <w:r>
        <w:rPr>
          <w:b/>
          <w:sz w:val="28"/>
          <w:szCs w:val="28"/>
        </w:rPr>
        <w:lastRenderedPageBreak/>
        <w:t>Índice</w:t>
      </w:r>
    </w:p>
    <w:p w:rsidR="00A34B7A" w:rsidRDefault="00A34B7A" w:rsidP="00E86ADD">
      <w:pPr>
        <w:spacing w:line="360" w:lineRule="auto"/>
        <w:jc w:val="both"/>
        <w:rPr>
          <w:b/>
          <w:u w:val="single"/>
        </w:rPr>
      </w:pPr>
    </w:p>
    <w:p w:rsidR="00A34B7A" w:rsidRPr="00F90087" w:rsidRDefault="00A34B7A" w:rsidP="00E86ADD">
      <w:pPr>
        <w:spacing w:line="360" w:lineRule="auto"/>
        <w:jc w:val="both"/>
        <w:rPr>
          <w:b/>
          <w:u w:val="single"/>
        </w:rPr>
      </w:pPr>
      <w:r>
        <w:rPr>
          <w:b/>
          <w:u w:val="single"/>
        </w:rPr>
        <w:t>Resumo</w:t>
      </w:r>
      <w:r w:rsidRPr="00807B0C">
        <w:tab/>
      </w:r>
      <w:r>
        <w:tab/>
      </w:r>
      <w:r>
        <w:tab/>
      </w:r>
      <w:r>
        <w:tab/>
      </w:r>
      <w:r>
        <w:tab/>
      </w:r>
      <w:r>
        <w:tab/>
      </w:r>
      <w:r>
        <w:tab/>
      </w:r>
      <w:r>
        <w:tab/>
      </w:r>
      <w:r>
        <w:tab/>
      </w:r>
      <w:r>
        <w:tab/>
      </w:r>
      <w:r w:rsidRPr="00F90087">
        <w:t xml:space="preserve">       18</w:t>
      </w:r>
    </w:p>
    <w:p w:rsidR="00A34B7A" w:rsidRDefault="00A34B7A" w:rsidP="00E86ADD">
      <w:pPr>
        <w:spacing w:line="360" w:lineRule="auto"/>
        <w:jc w:val="both"/>
        <w:rPr>
          <w:b/>
          <w:u w:val="single"/>
        </w:rPr>
      </w:pPr>
    </w:p>
    <w:p w:rsidR="00A34B7A" w:rsidRPr="00807B0C" w:rsidRDefault="00A34B7A" w:rsidP="00E86ADD">
      <w:pPr>
        <w:spacing w:line="360" w:lineRule="auto"/>
        <w:jc w:val="both"/>
      </w:pPr>
      <w:r>
        <w:rPr>
          <w:b/>
          <w:u w:val="single"/>
        </w:rPr>
        <w:t>Abstract</w:t>
      </w:r>
      <w:r w:rsidRPr="00807B0C">
        <w:tab/>
      </w:r>
      <w:r w:rsidRPr="00807B0C">
        <w:tab/>
      </w:r>
      <w:r>
        <w:tab/>
      </w:r>
      <w:r>
        <w:tab/>
      </w:r>
      <w:r>
        <w:tab/>
      </w:r>
      <w:r>
        <w:tab/>
      </w:r>
      <w:r>
        <w:tab/>
      </w:r>
      <w:r>
        <w:tab/>
      </w:r>
      <w:r>
        <w:tab/>
      </w:r>
      <w:r>
        <w:tab/>
      </w:r>
      <w:r w:rsidRPr="00F90087">
        <w:t xml:space="preserve">       19</w:t>
      </w:r>
    </w:p>
    <w:p w:rsidR="00A34B7A" w:rsidRDefault="00A34B7A" w:rsidP="00E86ADD">
      <w:pPr>
        <w:spacing w:line="360" w:lineRule="auto"/>
        <w:jc w:val="both"/>
        <w:rPr>
          <w:b/>
          <w:u w:val="single"/>
        </w:rPr>
      </w:pPr>
    </w:p>
    <w:p w:rsidR="00A34B7A" w:rsidRPr="002D4B57" w:rsidRDefault="00A34B7A" w:rsidP="00E86ADD">
      <w:pPr>
        <w:spacing w:line="360" w:lineRule="auto"/>
        <w:jc w:val="both"/>
        <w:rPr>
          <w:b/>
          <w:u w:val="single"/>
        </w:rPr>
      </w:pPr>
      <w:r>
        <w:rPr>
          <w:b/>
          <w:u w:val="single"/>
        </w:rPr>
        <w:t xml:space="preserve">I- </w:t>
      </w:r>
      <w:proofErr w:type="gramStart"/>
      <w:r w:rsidRPr="002D4B57">
        <w:rPr>
          <w:b/>
          <w:u w:val="single"/>
        </w:rPr>
        <w:t>Introdução</w:t>
      </w:r>
      <w:r w:rsidRPr="000C0F20">
        <w:rPr>
          <w:b/>
        </w:rPr>
        <w:t xml:space="preserve">  </w:t>
      </w:r>
      <w:r>
        <w:rPr>
          <w:b/>
        </w:rPr>
        <w:t xml:space="preserve">                                                                                                 </w:t>
      </w:r>
      <w:proofErr w:type="gramEnd"/>
      <w:r>
        <w:rPr>
          <w:b/>
        </w:rPr>
        <w:t xml:space="preserve">               </w:t>
      </w:r>
      <w:r w:rsidRPr="000C0F20">
        <w:t>20</w:t>
      </w:r>
    </w:p>
    <w:p w:rsidR="00A34B7A" w:rsidRPr="006C2590" w:rsidRDefault="00A34B7A" w:rsidP="00E86ADD">
      <w:pPr>
        <w:spacing w:line="360" w:lineRule="auto"/>
        <w:jc w:val="both"/>
        <w:rPr>
          <w:b/>
          <w:color w:val="FF0000"/>
          <w:u w:val="single"/>
        </w:rPr>
      </w:pPr>
    </w:p>
    <w:p w:rsidR="00A34B7A" w:rsidRDefault="00A34B7A" w:rsidP="00E86ADD">
      <w:pPr>
        <w:spacing w:line="360" w:lineRule="auto"/>
        <w:jc w:val="both"/>
      </w:pPr>
      <w:r>
        <w:rPr>
          <w:b/>
          <w:u w:val="single"/>
        </w:rPr>
        <w:t xml:space="preserve">II- </w:t>
      </w:r>
      <w:r w:rsidRPr="002D4B57">
        <w:rPr>
          <w:b/>
          <w:u w:val="single"/>
        </w:rPr>
        <w:t>Aspectos geológicos</w:t>
      </w:r>
      <w:r w:rsidRPr="000C0F20">
        <w:tab/>
      </w:r>
      <w:r w:rsidRPr="000C0F20">
        <w:tab/>
      </w:r>
      <w:r w:rsidRPr="000C0F20">
        <w:tab/>
      </w:r>
      <w:r w:rsidRPr="000C0F20">
        <w:tab/>
      </w:r>
      <w:r w:rsidRPr="000C0F20">
        <w:tab/>
      </w:r>
      <w:r w:rsidRPr="000C0F20">
        <w:tab/>
      </w:r>
      <w:r w:rsidRPr="000C0F20">
        <w:tab/>
      </w:r>
      <w:r w:rsidRPr="000C0F20">
        <w:tab/>
      </w:r>
      <w:r>
        <w:t xml:space="preserve">       </w:t>
      </w:r>
      <w:r w:rsidRPr="000C0F20">
        <w:t>23</w:t>
      </w:r>
    </w:p>
    <w:p w:rsidR="00A34B7A" w:rsidRPr="00807B0C" w:rsidRDefault="00A34B7A" w:rsidP="00E86ADD">
      <w:pPr>
        <w:spacing w:line="360" w:lineRule="auto"/>
        <w:jc w:val="both"/>
      </w:pPr>
    </w:p>
    <w:p w:rsidR="00A34B7A" w:rsidRDefault="00A34B7A" w:rsidP="00E86ADD">
      <w:pPr>
        <w:spacing w:line="360" w:lineRule="auto"/>
        <w:ind w:firstLine="708"/>
        <w:jc w:val="both"/>
        <w:rPr>
          <w:b/>
        </w:rPr>
      </w:pPr>
      <w:r>
        <w:rPr>
          <w:b/>
        </w:rPr>
        <w:t xml:space="preserve">2.1 </w:t>
      </w:r>
      <w:r w:rsidRPr="005C4740">
        <w:rPr>
          <w:b/>
        </w:rPr>
        <w:t>Introdução</w:t>
      </w:r>
      <w:r>
        <w:rPr>
          <w:b/>
        </w:rPr>
        <w:t xml:space="preserve"> </w:t>
      </w:r>
      <w:r>
        <w:rPr>
          <w:b/>
        </w:rPr>
        <w:tab/>
      </w:r>
      <w:r>
        <w:rPr>
          <w:b/>
        </w:rPr>
        <w:tab/>
      </w:r>
      <w:r>
        <w:rPr>
          <w:b/>
        </w:rPr>
        <w:tab/>
      </w:r>
      <w:r>
        <w:rPr>
          <w:b/>
        </w:rPr>
        <w:tab/>
      </w:r>
      <w:r>
        <w:rPr>
          <w:b/>
        </w:rPr>
        <w:tab/>
      </w:r>
      <w:r>
        <w:rPr>
          <w:b/>
        </w:rPr>
        <w:tab/>
      </w:r>
      <w:r>
        <w:rPr>
          <w:b/>
        </w:rPr>
        <w:tab/>
      </w:r>
      <w:r>
        <w:rPr>
          <w:b/>
        </w:rPr>
        <w:tab/>
        <w:t xml:space="preserve">       </w:t>
      </w:r>
      <w:r w:rsidRPr="000C0F20">
        <w:t>2</w:t>
      </w:r>
      <w:r>
        <w:t>4</w:t>
      </w:r>
    </w:p>
    <w:p w:rsidR="00A34B7A" w:rsidRPr="005C4740" w:rsidRDefault="00A34B7A" w:rsidP="00E86ADD">
      <w:pPr>
        <w:spacing w:line="360" w:lineRule="auto"/>
        <w:ind w:firstLine="708"/>
        <w:jc w:val="both"/>
        <w:rPr>
          <w:b/>
        </w:rPr>
      </w:pPr>
      <w:r>
        <w:rPr>
          <w:b/>
        </w:rPr>
        <w:t xml:space="preserve">2.2- </w:t>
      </w:r>
      <w:r w:rsidRPr="005C4740">
        <w:rPr>
          <w:b/>
        </w:rPr>
        <w:t xml:space="preserve">Caracterização Geológica </w:t>
      </w:r>
      <w:r>
        <w:rPr>
          <w:b/>
        </w:rPr>
        <w:tab/>
      </w:r>
      <w:r>
        <w:rPr>
          <w:b/>
        </w:rPr>
        <w:tab/>
      </w:r>
      <w:r>
        <w:rPr>
          <w:b/>
        </w:rPr>
        <w:tab/>
      </w:r>
      <w:r>
        <w:rPr>
          <w:b/>
        </w:rPr>
        <w:tab/>
      </w:r>
      <w:r>
        <w:rPr>
          <w:b/>
        </w:rPr>
        <w:tab/>
      </w:r>
      <w:r>
        <w:rPr>
          <w:b/>
        </w:rPr>
        <w:tab/>
        <w:t xml:space="preserve">       </w:t>
      </w:r>
      <w:r w:rsidRPr="000C0F20">
        <w:t>24</w:t>
      </w:r>
    </w:p>
    <w:p w:rsidR="00A34B7A" w:rsidRDefault="00A34B7A" w:rsidP="00E86ADD">
      <w:pPr>
        <w:spacing w:line="360" w:lineRule="auto"/>
        <w:ind w:firstLine="708"/>
        <w:jc w:val="both"/>
        <w:rPr>
          <w:b/>
        </w:rPr>
      </w:pPr>
      <w:r>
        <w:rPr>
          <w:b/>
        </w:rPr>
        <w:t xml:space="preserve">2.3- </w:t>
      </w:r>
      <w:r w:rsidRPr="005C4740">
        <w:rPr>
          <w:b/>
        </w:rPr>
        <w:t>Caracterização geomorfológica</w:t>
      </w:r>
      <w:r>
        <w:rPr>
          <w:b/>
        </w:rPr>
        <w:t xml:space="preserve">  </w:t>
      </w:r>
      <w:r>
        <w:rPr>
          <w:b/>
        </w:rPr>
        <w:tab/>
      </w:r>
      <w:r>
        <w:rPr>
          <w:b/>
        </w:rPr>
        <w:tab/>
      </w:r>
      <w:r>
        <w:rPr>
          <w:b/>
        </w:rPr>
        <w:tab/>
      </w:r>
      <w:r>
        <w:rPr>
          <w:b/>
        </w:rPr>
        <w:tab/>
      </w:r>
      <w:r>
        <w:rPr>
          <w:b/>
        </w:rPr>
        <w:tab/>
        <w:t xml:space="preserve">       </w:t>
      </w:r>
      <w:r w:rsidRPr="000C0F20">
        <w:t>27</w:t>
      </w:r>
    </w:p>
    <w:p w:rsidR="00A34B7A" w:rsidRDefault="00A34B7A" w:rsidP="00E86ADD">
      <w:pPr>
        <w:spacing w:line="360" w:lineRule="auto"/>
        <w:ind w:left="708" w:firstLine="708"/>
        <w:jc w:val="both"/>
        <w:rPr>
          <w:b/>
        </w:rPr>
      </w:pPr>
      <w:r>
        <w:rPr>
          <w:b/>
        </w:rPr>
        <w:t xml:space="preserve">2.3.1- </w:t>
      </w:r>
      <w:r w:rsidRPr="00B54BC5">
        <w:t>A supe</w:t>
      </w:r>
      <w:r>
        <w:t>rfície culminante da bacia Terciá</w:t>
      </w:r>
      <w:r w:rsidRPr="00B54BC5">
        <w:t xml:space="preserve">ria do Baixo </w:t>
      </w:r>
      <w:proofErr w:type="gramStart"/>
      <w:r w:rsidRPr="00B54BC5">
        <w:t>Tejo</w:t>
      </w:r>
      <w:r w:rsidRPr="005C4740">
        <w:rPr>
          <w:b/>
        </w:rPr>
        <w:t xml:space="preserve"> </w:t>
      </w:r>
      <w:r>
        <w:rPr>
          <w:b/>
        </w:rPr>
        <w:t xml:space="preserve">          </w:t>
      </w:r>
      <w:r w:rsidRPr="0024500B">
        <w:t>28</w:t>
      </w:r>
      <w:proofErr w:type="gramEnd"/>
    </w:p>
    <w:p w:rsidR="00A34B7A" w:rsidRDefault="00A34B7A" w:rsidP="00E86ADD">
      <w:pPr>
        <w:spacing w:line="360" w:lineRule="auto"/>
        <w:ind w:left="708" w:firstLine="708"/>
        <w:jc w:val="both"/>
        <w:rPr>
          <w:b/>
        </w:rPr>
      </w:pPr>
      <w:r>
        <w:rPr>
          <w:b/>
        </w:rPr>
        <w:t xml:space="preserve">2.3.2- </w:t>
      </w:r>
      <w:r w:rsidRPr="00B54BC5">
        <w:t>Primeiro embutimento do Tejo</w:t>
      </w:r>
      <w:r>
        <w:rPr>
          <w:b/>
        </w:rPr>
        <w:t xml:space="preserve"> </w:t>
      </w:r>
      <w:r>
        <w:rPr>
          <w:b/>
        </w:rPr>
        <w:tab/>
      </w:r>
      <w:r>
        <w:rPr>
          <w:b/>
        </w:rPr>
        <w:tab/>
      </w:r>
      <w:r>
        <w:rPr>
          <w:b/>
        </w:rPr>
        <w:tab/>
      </w:r>
      <w:r>
        <w:rPr>
          <w:b/>
        </w:rPr>
        <w:tab/>
        <w:t xml:space="preserve">       </w:t>
      </w:r>
      <w:r w:rsidRPr="0024500B">
        <w:t>30</w:t>
      </w:r>
    </w:p>
    <w:p w:rsidR="00A34B7A" w:rsidRDefault="00A34B7A" w:rsidP="00E86ADD">
      <w:pPr>
        <w:spacing w:line="360" w:lineRule="auto"/>
        <w:ind w:left="708" w:firstLine="708"/>
        <w:jc w:val="both"/>
        <w:rPr>
          <w:b/>
        </w:rPr>
      </w:pPr>
      <w:r>
        <w:rPr>
          <w:b/>
        </w:rPr>
        <w:t xml:space="preserve">2.3.4- </w:t>
      </w:r>
      <w:r w:rsidRPr="00B54BC5">
        <w:t>Segundo embutimento do Tejo</w:t>
      </w:r>
      <w:r>
        <w:rPr>
          <w:b/>
        </w:rPr>
        <w:t xml:space="preserve"> </w:t>
      </w:r>
      <w:r>
        <w:rPr>
          <w:b/>
        </w:rPr>
        <w:tab/>
      </w:r>
      <w:r>
        <w:rPr>
          <w:b/>
        </w:rPr>
        <w:tab/>
      </w:r>
      <w:r>
        <w:rPr>
          <w:b/>
        </w:rPr>
        <w:tab/>
      </w:r>
      <w:r>
        <w:rPr>
          <w:b/>
        </w:rPr>
        <w:tab/>
        <w:t xml:space="preserve">       </w:t>
      </w:r>
      <w:r w:rsidRPr="0024500B">
        <w:t>30</w:t>
      </w:r>
    </w:p>
    <w:p w:rsidR="00A34B7A" w:rsidRDefault="00A34B7A" w:rsidP="00E86ADD">
      <w:pPr>
        <w:spacing w:line="360" w:lineRule="auto"/>
        <w:ind w:left="708" w:firstLine="708"/>
        <w:jc w:val="both"/>
        <w:rPr>
          <w:b/>
        </w:rPr>
      </w:pPr>
      <w:r>
        <w:rPr>
          <w:b/>
        </w:rPr>
        <w:t xml:space="preserve">2.3.5- </w:t>
      </w:r>
      <w:r w:rsidRPr="00B54BC5">
        <w:t>Terceiro embutimento do Tejo</w:t>
      </w:r>
      <w:r>
        <w:rPr>
          <w:b/>
        </w:rPr>
        <w:t xml:space="preserve"> </w:t>
      </w:r>
      <w:r>
        <w:rPr>
          <w:b/>
        </w:rPr>
        <w:tab/>
      </w:r>
      <w:r>
        <w:rPr>
          <w:b/>
        </w:rPr>
        <w:tab/>
      </w:r>
      <w:r>
        <w:rPr>
          <w:b/>
        </w:rPr>
        <w:tab/>
      </w:r>
      <w:r>
        <w:rPr>
          <w:b/>
        </w:rPr>
        <w:tab/>
        <w:t xml:space="preserve">       </w:t>
      </w:r>
      <w:r w:rsidRPr="0024500B">
        <w:t>31</w:t>
      </w:r>
    </w:p>
    <w:p w:rsidR="00A34B7A" w:rsidRPr="0024500B" w:rsidRDefault="00A34B7A" w:rsidP="00E86ADD">
      <w:pPr>
        <w:spacing w:line="360" w:lineRule="auto"/>
        <w:ind w:left="708" w:firstLine="708"/>
        <w:jc w:val="both"/>
      </w:pPr>
      <w:r>
        <w:rPr>
          <w:b/>
        </w:rPr>
        <w:t xml:space="preserve">2.3.6- </w:t>
      </w:r>
      <w:r w:rsidRPr="00B54BC5">
        <w:t>Quarto e Quinto embutimento</w:t>
      </w:r>
      <w:r>
        <w:t>s</w:t>
      </w:r>
      <w:r w:rsidRPr="00B54BC5">
        <w:t xml:space="preserve"> do Tejo</w:t>
      </w:r>
      <w:r>
        <w:rPr>
          <w:b/>
        </w:rPr>
        <w:t xml:space="preserve"> </w:t>
      </w:r>
      <w:r>
        <w:rPr>
          <w:b/>
        </w:rPr>
        <w:tab/>
      </w:r>
      <w:r>
        <w:rPr>
          <w:b/>
        </w:rPr>
        <w:tab/>
      </w:r>
      <w:r>
        <w:rPr>
          <w:b/>
        </w:rPr>
        <w:tab/>
        <w:t xml:space="preserve">       </w:t>
      </w:r>
      <w:r w:rsidRPr="0024500B">
        <w:t>31</w:t>
      </w:r>
    </w:p>
    <w:p w:rsidR="00A34B7A" w:rsidRPr="0024500B" w:rsidRDefault="00A34B7A" w:rsidP="00E86ADD">
      <w:pPr>
        <w:spacing w:line="360" w:lineRule="auto"/>
        <w:ind w:left="708" w:firstLine="708"/>
        <w:jc w:val="both"/>
      </w:pPr>
      <w:r>
        <w:rPr>
          <w:b/>
        </w:rPr>
        <w:t xml:space="preserve">2.3.7- </w:t>
      </w:r>
      <w:r w:rsidRPr="00B54BC5">
        <w:t xml:space="preserve">Último embutimento do rio </w:t>
      </w:r>
      <w:proofErr w:type="gramStart"/>
      <w:r w:rsidRPr="00B54BC5">
        <w:t>Tejo</w:t>
      </w:r>
      <w:r w:rsidRPr="00802109">
        <w:rPr>
          <w:b/>
        </w:rPr>
        <w:t xml:space="preserve"> </w:t>
      </w:r>
      <w:r>
        <w:rPr>
          <w:b/>
        </w:rPr>
        <w:t xml:space="preserve">                                                  </w:t>
      </w:r>
      <w:r w:rsidRPr="0024500B">
        <w:t>32</w:t>
      </w:r>
      <w:proofErr w:type="gramEnd"/>
    </w:p>
    <w:p w:rsidR="00A34B7A" w:rsidRPr="0024500B" w:rsidRDefault="00A34B7A" w:rsidP="00E86ADD">
      <w:pPr>
        <w:spacing w:line="360" w:lineRule="auto"/>
        <w:ind w:firstLine="708"/>
        <w:jc w:val="both"/>
      </w:pPr>
      <w:r w:rsidRPr="00802109">
        <w:rPr>
          <w:b/>
        </w:rPr>
        <w:t xml:space="preserve">2.4- O nordeste </w:t>
      </w:r>
      <w:proofErr w:type="gramStart"/>
      <w:r w:rsidRPr="00802109">
        <w:rPr>
          <w:b/>
        </w:rPr>
        <w:t>alentejano</w:t>
      </w:r>
      <w:r>
        <w:rPr>
          <w:b/>
        </w:rPr>
        <w:t xml:space="preserve">                                                                                </w:t>
      </w:r>
      <w:r w:rsidRPr="0024500B">
        <w:t>32</w:t>
      </w:r>
      <w:proofErr w:type="gramEnd"/>
    </w:p>
    <w:p w:rsidR="00A34B7A" w:rsidRDefault="00A34B7A" w:rsidP="00E86ADD">
      <w:pPr>
        <w:spacing w:line="360" w:lineRule="auto"/>
        <w:jc w:val="both"/>
        <w:rPr>
          <w:b/>
        </w:rPr>
      </w:pPr>
    </w:p>
    <w:p w:rsidR="00A34B7A" w:rsidRDefault="00A34B7A" w:rsidP="00E86ADD">
      <w:pPr>
        <w:spacing w:line="360" w:lineRule="auto"/>
        <w:jc w:val="both"/>
        <w:rPr>
          <w:b/>
          <w:u w:val="single"/>
        </w:rPr>
      </w:pPr>
      <w:r>
        <w:rPr>
          <w:b/>
          <w:u w:val="single"/>
        </w:rPr>
        <w:t>III-</w:t>
      </w:r>
      <w:r w:rsidRPr="00562315">
        <w:rPr>
          <w:b/>
          <w:u w:val="single"/>
        </w:rPr>
        <w:t>Aspectos paleoclimáticos</w:t>
      </w:r>
      <w:r w:rsidRPr="0024500B">
        <w:t xml:space="preserve">  </w:t>
      </w:r>
      <w:r w:rsidRPr="0024500B">
        <w:tab/>
      </w:r>
      <w:r w:rsidRPr="0024500B">
        <w:tab/>
      </w:r>
      <w:r w:rsidRPr="0024500B">
        <w:tab/>
      </w:r>
      <w:r w:rsidRPr="0024500B">
        <w:tab/>
      </w:r>
      <w:r w:rsidRPr="0024500B">
        <w:tab/>
      </w:r>
      <w:r w:rsidRPr="0024500B">
        <w:tab/>
      </w:r>
      <w:r w:rsidRPr="0024500B">
        <w:tab/>
      </w:r>
      <w:r>
        <w:t xml:space="preserve">       </w:t>
      </w:r>
      <w:r w:rsidRPr="0024500B">
        <w:t>34</w:t>
      </w:r>
    </w:p>
    <w:p w:rsidR="00A34B7A" w:rsidRPr="00807B0C" w:rsidRDefault="00A34B7A" w:rsidP="00E86ADD">
      <w:pPr>
        <w:spacing w:line="360" w:lineRule="auto"/>
        <w:jc w:val="both"/>
        <w:rPr>
          <w:b/>
          <w:u w:val="single"/>
        </w:rPr>
      </w:pPr>
    </w:p>
    <w:p w:rsidR="00A34B7A" w:rsidRPr="0024500B" w:rsidRDefault="00A34B7A" w:rsidP="00E86ADD">
      <w:pPr>
        <w:spacing w:line="360" w:lineRule="auto"/>
        <w:ind w:firstLine="708"/>
        <w:jc w:val="both"/>
      </w:pPr>
      <w:r w:rsidRPr="0022625D">
        <w:rPr>
          <w:b/>
        </w:rPr>
        <w:t>3.1-</w:t>
      </w:r>
      <w:r>
        <w:rPr>
          <w:b/>
        </w:rPr>
        <w:t xml:space="preserve"> </w:t>
      </w:r>
      <w:r w:rsidRPr="0022625D">
        <w:rPr>
          <w:b/>
        </w:rPr>
        <w:t>Introdução</w:t>
      </w:r>
      <w:r>
        <w:rPr>
          <w:b/>
        </w:rPr>
        <w:tab/>
      </w:r>
      <w:r>
        <w:rPr>
          <w:b/>
        </w:rPr>
        <w:tab/>
      </w:r>
      <w:r>
        <w:rPr>
          <w:b/>
        </w:rPr>
        <w:tab/>
      </w:r>
      <w:r>
        <w:rPr>
          <w:b/>
        </w:rPr>
        <w:tab/>
      </w:r>
      <w:r>
        <w:rPr>
          <w:b/>
        </w:rPr>
        <w:tab/>
      </w:r>
      <w:r>
        <w:rPr>
          <w:b/>
        </w:rPr>
        <w:tab/>
      </w:r>
      <w:r>
        <w:rPr>
          <w:b/>
        </w:rPr>
        <w:tab/>
      </w:r>
      <w:r>
        <w:rPr>
          <w:b/>
        </w:rPr>
        <w:tab/>
        <w:t xml:space="preserve">       </w:t>
      </w:r>
      <w:r w:rsidRPr="0024500B">
        <w:t>35</w:t>
      </w:r>
    </w:p>
    <w:p w:rsidR="00A34B7A" w:rsidRDefault="00A34B7A" w:rsidP="00E86ADD">
      <w:pPr>
        <w:autoSpaceDE w:val="0"/>
        <w:autoSpaceDN w:val="0"/>
        <w:adjustRightInd w:val="0"/>
        <w:spacing w:line="360" w:lineRule="auto"/>
        <w:ind w:firstLine="708"/>
        <w:jc w:val="both"/>
        <w:rPr>
          <w:b/>
        </w:rPr>
      </w:pPr>
      <w:r>
        <w:rPr>
          <w:b/>
        </w:rPr>
        <w:t>3.2-</w:t>
      </w:r>
      <w:r w:rsidRPr="008220BF">
        <w:rPr>
          <w:b/>
        </w:rPr>
        <w:t xml:space="preserve"> Interestádios</w:t>
      </w:r>
      <w:r>
        <w:rPr>
          <w:b/>
        </w:rPr>
        <w:t xml:space="preserve">       </w:t>
      </w:r>
      <w:r>
        <w:rPr>
          <w:b/>
        </w:rPr>
        <w:tab/>
      </w:r>
      <w:r>
        <w:rPr>
          <w:b/>
        </w:rPr>
        <w:tab/>
      </w:r>
      <w:r>
        <w:rPr>
          <w:b/>
        </w:rPr>
        <w:tab/>
      </w:r>
      <w:r>
        <w:rPr>
          <w:b/>
        </w:rPr>
        <w:tab/>
      </w:r>
      <w:r>
        <w:rPr>
          <w:b/>
        </w:rPr>
        <w:tab/>
      </w:r>
      <w:r>
        <w:rPr>
          <w:b/>
        </w:rPr>
        <w:tab/>
      </w:r>
      <w:r>
        <w:rPr>
          <w:b/>
        </w:rPr>
        <w:tab/>
        <w:t xml:space="preserve">       </w:t>
      </w:r>
      <w:r w:rsidRPr="0024500B">
        <w:t>37</w:t>
      </w:r>
    </w:p>
    <w:p w:rsidR="00A34B7A" w:rsidRPr="008220BF" w:rsidRDefault="00A34B7A" w:rsidP="00E86ADD">
      <w:pPr>
        <w:autoSpaceDE w:val="0"/>
        <w:autoSpaceDN w:val="0"/>
        <w:adjustRightInd w:val="0"/>
        <w:spacing w:line="360" w:lineRule="auto"/>
        <w:ind w:firstLine="708"/>
        <w:jc w:val="both"/>
        <w:rPr>
          <w:b/>
        </w:rPr>
      </w:pPr>
      <w:r w:rsidRPr="008220BF">
        <w:rPr>
          <w:b/>
        </w:rPr>
        <w:t>3.3- Eventos de Heinrich</w:t>
      </w:r>
      <w:r>
        <w:rPr>
          <w:b/>
        </w:rPr>
        <w:t xml:space="preserve"> </w:t>
      </w:r>
      <w:r>
        <w:rPr>
          <w:b/>
        </w:rPr>
        <w:tab/>
      </w:r>
      <w:r>
        <w:rPr>
          <w:b/>
        </w:rPr>
        <w:tab/>
      </w:r>
      <w:r>
        <w:rPr>
          <w:b/>
        </w:rPr>
        <w:tab/>
      </w:r>
      <w:r>
        <w:rPr>
          <w:b/>
        </w:rPr>
        <w:tab/>
      </w:r>
      <w:r>
        <w:rPr>
          <w:b/>
        </w:rPr>
        <w:tab/>
      </w:r>
      <w:r>
        <w:rPr>
          <w:b/>
        </w:rPr>
        <w:tab/>
      </w:r>
      <w:r>
        <w:rPr>
          <w:b/>
        </w:rPr>
        <w:tab/>
        <w:t xml:space="preserve">       </w:t>
      </w:r>
      <w:r w:rsidRPr="0024500B">
        <w:t>38</w:t>
      </w:r>
    </w:p>
    <w:p w:rsidR="00A34B7A" w:rsidRDefault="00A34B7A" w:rsidP="00E86ADD">
      <w:pPr>
        <w:autoSpaceDE w:val="0"/>
        <w:autoSpaceDN w:val="0"/>
        <w:adjustRightInd w:val="0"/>
        <w:spacing w:line="360" w:lineRule="auto"/>
        <w:ind w:firstLine="708"/>
        <w:jc w:val="both"/>
        <w:rPr>
          <w:b/>
        </w:rPr>
      </w:pPr>
      <w:r>
        <w:rPr>
          <w:b/>
        </w:rPr>
        <w:t xml:space="preserve">3.4- </w:t>
      </w:r>
      <w:r w:rsidRPr="008220BF">
        <w:rPr>
          <w:b/>
        </w:rPr>
        <w:t>Estádio Isotópico Marinho MIS 5e</w:t>
      </w:r>
      <w:r>
        <w:rPr>
          <w:b/>
        </w:rPr>
        <w:t xml:space="preserve">    </w:t>
      </w:r>
      <w:r>
        <w:rPr>
          <w:b/>
        </w:rPr>
        <w:tab/>
      </w:r>
      <w:r>
        <w:rPr>
          <w:b/>
        </w:rPr>
        <w:tab/>
      </w:r>
      <w:r>
        <w:rPr>
          <w:b/>
        </w:rPr>
        <w:tab/>
      </w:r>
      <w:r>
        <w:rPr>
          <w:b/>
        </w:rPr>
        <w:tab/>
      </w:r>
      <w:r>
        <w:rPr>
          <w:b/>
        </w:rPr>
        <w:tab/>
        <w:t xml:space="preserve">       </w:t>
      </w:r>
      <w:r w:rsidRPr="0024500B">
        <w:t>39</w:t>
      </w:r>
    </w:p>
    <w:p w:rsidR="00A34B7A" w:rsidRPr="0024500B" w:rsidRDefault="00A34B7A" w:rsidP="00E86ADD">
      <w:pPr>
        <w:autoSpaceDE w:val="0"/>
        <w:autoSpaceDN w:val="0"/>
        <w:adjustRightInd w:val="0"/>
        <w:spacing w:line="360" w:lineRule="auto"/>
        <w:ind w:firstLine="708"/>
        <w:jc w:val="both"/>
      </w:pPr>
      <w:r w:rsidRPr="008220BF">
        <w:rPr>
          <w:b/>
        </w:rPr>
        <w:t>3.5- Estádio Isotópico Marinho MIS 5d</w:t>
      </w:r>
      <w:r>
        <w:rPr>
          <w:b/>
        </w:rPr>
        <w:t xml:space="preserve">  </w:t>
      </w:r>
      <w:r>
        <w:rPr>
          <w:b/>
        </w:rPr>
        <w:tab/>
      </w:r>
      <w:r>
        <w:rPr>
          <w:b/>
        </w:rPr>
        <w:tab/>
      </w:r>
      <w:r>
        <w:rPr>
          <w:b/>
        </w:rPr>
        <w:tab/>
      </w:r>
      <w:r>
        <w:rPr>
          <w:b/>
        </w:rPr>
        <w:tab/>
      </w:r>
      <w:r>
        <w:rPr>
          <w:b/>
        </w:rPr>
        <w:tab/>
        <w:t xml:space="preserve">       </w:t>
      </w:r>
      <w:r w:rsidRPr="0024500B">
        <w:t>40</w:t>
      </w:r>
    </w:p>
    <w:p w:rsidR="00A34B7A" w:rsidRDefault="00A34B7A" w:rsidP="00E86ADD">
      <w:pPr>
        <w:autoSpaceDE w:val="0"/>
        <w:autoSpaceDN w:val="0"/>
        <w:adjustRightInd w:val="0"/>
        <w:spacing w:line="360" w:lineRule="auto"/>
        <w:ind w:firstLine="708"/>
        <w:jc w:val="both"/>
        <w:rPr>
          <w:b/>
        </w:rPr>
      </w:pPr>
      <w:r>
        <w:rPr>
          <w:b/>
        </w:rPr>
        <w:t xml:space="preserve">3.6- </w:t>
      </w:r>
      <w:r w:rsidRPr="008220BF">
        <w:rPr>
          <w:b/>
        </w:rPr>
        <w:t>Estádio Isotópico Marinho MIS 5c</w:t>
      </w:r>
      <w:r>
        <w:rPr>
          <w:b/>
        </w:rPr>
        <w:t xml:space="preserve">   </w:t>
      </w:r>
      <w:r>
        <w:rPr>
          <w:b/>
        </w:rPr>
        <w:tab/>
      </w:r>
      <w:r>
        <w:rPr>
          <w:b/>
        </w:rPr>
        <w:tab/>
      </w:r>
      <w:r>
        <w:rPr>
          <w:b/>
        </w:rPr>
        <w:tab/>
      </w:r>
      <w:r>
        <w:rPr>
          <w:b/>
        </w:rPr>
        <w:tab/>
      </w:r>
      <w:r>
        <w:rPr>
          <w:b/>
        </w:rPr>
        <w:tab/>
        <w:t xml:space="preserve">       </w:t>
      </w:r>
      <w:r w:rsidRPr="0024500B">
        <w:t>41</w:t>
      </w:r>
    </w:p>
    <w:p w:rsidR="00A34B7A" w:rsidRDefault="00A34B7A" w:rsidP="00E86ADD">
      <w:pPr>
        <w:autoSpaceDE w:val="0"/>
        <w:autoSpaceDN w:val="0"/>
        <w:adjustRightInd w:val="0"/>
        <w:spacing w:line="360" w:lineRule="auto"/>
        <w:ind w:firstLine="708"/>
        <w:jc w:val="both"/>
        <w:rPr>
          <w:b/>
        </w:rPr>
      </w:pPr>
      <w:r>
        <w:rPr>
          <w:b/>
        </w:rPr>
        <w:t xml:space="preserve">3.7- </w:t>
      </w:r>
      <w:r w:rsidRPr="008220BF">
        <w:rPr>
          <w:b/>
        </w:rPr>
        <w:t>Estádio Isotópico Marinho MIS 5b</w:t>
      </w:r>
      <w:r>
        <w:rPr>
          <w:b/>
        </w:rPr>
        <w:t xml:space="preserve"> </w:t>
      </w:r>
      <w:r>
        <w:rPr>
          <w:b/>
        </w:rPr>
        <w:tab/>
      </w:r>
      <w:r>
        <w:rPr>
          <w:b/>
        </w:rPr>
        <w:tab/>
      </w:r>
      <w:r>
        <w:rPr>
          <w:b/>
        </w:rPr>
        <w:tab/>
      </w:r>
      <w:r>
        <w:rPr>
          <w:b/>
        </w:rPr>
        <w:tab/>
      </w:r>
      <w:r>
        <w:rPr>
          <w:b/>
        </w:rPr>
        <w:tab/>
        <w:t xml:space="preserve">       </w:t>
      </w:r>
      <w:r w:rsidRPr="0024500B">
        <w:t>41</w:t>
      </w:r>
    </w:p>
    <w:p w:rsidR="00A34B7A" w:rsidRDefault="00A34B7A" w:rsidP="00E86ADD">
      <w:pPr>
        <w:autoSpaceDE w:val="0"/>
        <w:autoSpaceDN w:val="0"/>
        <w:adjustRightInd w:val="0"/>
        <w:spacing w:line="360" w:lineRule="auto"/>
        <w:ind w:firstLine="708"/>
        <w:jc w:val="both"/>
        <w:rPr>
          <w:b/>
        </w:rPr>
      </w:pPr>
      <w:r>
        <w:rPr>
          <w:b/>
        </w:rPr>
        <w:t xml:space="preserve">3.8- </w:t>
      </w:r>
      <w:r w:rsidRPr="008220BF">
        <w:rPr>
          <w:b/>
        </w:rPr>
        <w:t>Estádio Isotópico Marinho MIS 5</w:t>
      </w:r>
      <w:r>
        <w:rPr>
          <w:b/>
        </w:rPr>
        <w:t xml:space="preserve">a  </w:t>
      </w:r>
      <w:r>
        <w:rPr>
          <w:b/>
        </w:rPr>
        <w:tab/>
      </w:r>
      <w:r>
        <w:rPr>
          <w:b/>
        </w:rPr>
        <w:tab/>
      </w:r>
      <w:r>
        <w:rPr>
          <w:b/>
        </w:rPr>
        <w:tab/>
      </w:r>
      <w:r>
        <w:rPr>
          <w:b/>
        </w:rPr>
        <w:tab/>
      </w:r>
      <w:r>
        <w:rPr>
          <w:b/>
        </w:rPr>
        <w:tab/>
        <w:t xml:space="preserve">       </w:t>
      </w:r>
      <w:r w:rsidRPr="0024500B">
        <w:t>41</w:t>
      </w:r>
    </w:p>
    <w:p w:rsidR="00A34B7A" w:rsidRDefault="00A34B7A" w:rsidP="00E86ADD">
      <w:pPr>
        <w:autoSpaceDE w:val="0"/>
        <w:autoSpaceDN w:val="0"/>
        <w:adjustRightInd w:val="0"/>
        <w:spacing w:line="360" w:lineRule="auto"/>
        <w:ind w:firstLine="708"/>
        <w:jc w:val="both"/>
        <w:rPr>
          <w:b/>
        </w:rPr>
      </w:pPr>
      <w:r>
        <w:rPr>
          <w:b/>
        </w:rPr>
        <w:t xml:space="preserve">3.9- </w:t>
      </w:r>
      <w:r w:rsidRPr="008220BF">
        <w:rPr>
          <w:b/>
        </w:rPr>
        <w:t>Estádio Isotópico Marinho MIS 4</w:t>
      </w:r>
      <w:r>
        <w:rPr>
          <w:b/>
        </w:rPr>
        <w:t xml:space="preserve">   </w:t>
      </w:r>
      <w:r>
        <w:rPr>
          <w:b/>
        </w:rPr>
        <w:tab/>
      </w:r>
      <w:r>
        <w:rPr>
          <w:b/>
        </w:rPr>
        <w:tab/>
      </w:r>
      <w:r>
        <w:rPr>
          <w:b/>
        </w:rPr>
        <w:tab/>
      </w:r>
      <w:r>
        <w:rPr>
          <w:b/>
        </w:rPr>
        <w:tab/>
      </w:r>
      <w:r>
        <w:rPr>
          <w:b/>
        </w:rPr>
        <w:tab/>
        <w:t xml:space="preserve">       </w:t>
      </w:r>
      <w:r w:rsidRPr="0024500B">
        <w:t>42</w:t>
      </w:r>
    </w:p>
    <w:p w:rsidR="00A34B7A" w:rsidRPr="008220BF" w:rsidRDefault="00A34B7A" w:rsidP="00E86ADD">
      <w:pPr>
        <w:autoSpaceDE w:val="0"/>
        <w:autoSpaceDN w:val="0"/>
        <w:adjustRightInd w:val="0"/>
        <w:spacing w:line="360" w:lineRule="auto"/>
        <w:ind w:firstLine="708"/>
        <w:jc w:val="both"/>
        <w:rPr>
          <w:b/>
        </w:rPr>
      </w:pPr>
      <w:r>
        <w:rPr>
          <w:b/>
        </w:rPr>
        <w:t xml:space="preserve">3.10- </w:t>
      </w:r>
      <w:r w:rsidRPr="008220BF">
        <w:rPr>
          <w:b/>
        </w:rPr>
        <w:t>Estádio Isotópico Marinho MIS 3</w:t>
      </w:r>
      <w:r>
        <w:rPr>
          <w:b/>
        </w:rPr>
        <w:t xml:space="preserve">  </w:t>
      </w:r>
      <w:r>
        <w:rPr>
          <w:b/>
        </w:rPr>
        <w:tab/>
      </w:r>
      <w:r>
        <w:rPr>
          <w:b/>
        </w:rPr>
        <w:tab/>
      </w:r>
      <w:r>
        <w:rPr>
          <w:b/>
        </w:rPr>
        <w:tab/>
      </w:r>
      <w:r>
        <w:rPr>
          <w:b/>
        </w:rPr>
        <w:tab/>
      </w:r>
      <w:r>
        <w:rPr>
          <w:b/>
        </w:rPr>
        <w:tab/>
        <w:t xml:space="preserve">       </w:t>
      </w:r>
      <w:r w:rsidRPr="0024500B">
        <w:t>43</w:t>
      </w:r>
    </w:p>
    <w:p w:rsidR="00A34B7A" w:rsidRDefault="00EA3774" w:rsidP="00A34B7A">
      <w:pPr>
        <w:spacing w:line="360" w:lineRule="auto"/>
        <w:jc w:val="both"/>
        <w:rPr>
          <w:b/>
        </w:rPr>
      </w:pPr>
      <w:r>
        <w:rPr>
          <w:b/>
          <w:noProof/>
        </w:rPr>
        <w:pict>
          <v:shape id="_x0000_s1718" type="#_x0000_t202" style="position:absolute;left:0;text-align:left;margin-left:397.15pt;margin-top:49.35pt;width:41.05pt;height:32.65pt;z-index:251862016;mso-width-relative:margin;mso-height-relative:margin" stroked="f">
            <v:textbox style="mso-next-textbox:#_x0000_s1718">
              <w:txbxContent>
                <w:p w:rsidR="00B34B0F" w:rsidRDefault="00B34B0F" w:rsidP="001321C3"/>
              </w:txbxContent>
            </v:textbox>
          </v:shape>
        </w:pict>
      </w:r>
    </w:p>
    <w:p w:rsidR="00A34B7A" w:rsidRPr="00851E66" w:rsidRDefault="00A34B7A" w:rsidP="00E86ADD">
      <w:pPr>
        <w:spacing w:line="360" w:lineRule="auto"/>
        <w:jc w:val="both"/>
      </w:pPr>
      <w:r>
        <w:rPr>
          <w:b/>
          <w:u w:val="single"/>
        </w:rPr>
        <w:lastRenderedPageBreak/>
        <w:t>IV-</w:t>
      </w:r>
      <w:r w:rsidRPr="002D4B57">
        <w:rPr>
          <w:b/>
          <w:u w:val="single"/>
        </w:rPr>
        <w:t xml:space="preserve">Estado do conhecimento </w:t>
      </w:r>
      <w:r w:rsidRPr="00851E66">
        <w:rPr>
          <w:b/>
        </w:rPr>
        <w:tab/>
      </w:r>
      <w:r w:rsidRPr="00851E66">
        <w:rPr>
          <w:b/>
        </w:rPr>
        <w:tab/>
      </w:r>
      <w:r w:rsidRPr="00851E66">
        <w:rPr>
          <w:b/>
        </w:rPr>
        <w:tab/>
      </w:r>
      <w:r>
        <w:rPr>
          <w:b/>
        </w:rPr>
        <w:tab/>
      </w:r>
      <w:r>
        <w:rPr>
          <w:b/>
        </w:rPr>
        <w:tab/>
      </w:r>
      <w:r>
        <w:rPr>
          <w:b/>
        </w:rPr>
        <w:tab/>
      </w:r>
      <w:r>
        <w:rPr>
          <w:b/>
        </w:rPr>
        <w:tab/>
        <w:t xml:space="preserve">       </w:t>
      </w:r>
      <w:r>
        <w:t>45</w:t>
      </w:r>
    </w:p>
    <w:p w:rsidR="00A34B7A" w:rsidRDefault="00A34B7A" w:rsidP="00E86ADD">
      <w:pPr>
        <w:spacing w:line="360" w:lineRule="auto"/>
        <w:jc w:val="both"/>
        <w:rPr>
          <w:b/>
          <w:u w:val="single"/>
        </w:rPr>
      </w:pPr>
    </w:p>
    <w:p w:rsidR="00A34B7A" w:rsidRDefault="00A34B7A" w:rsidP="00E86ADD">
      <w:pPr>
        <w:spacing w:line="360" w:lineRule="auto"/>
        <w:ind w:firstLine="708"/>
        <w:jc w:val="both"/>
        <w:rPr>
          <w:b/>
        </w:rPr>
      </w:pPr>
      <w:r w:rsidRPr="003C143C">
        <w:rPr>
          <w:b/>
        </w:rPr>
        <w:t xml:space="preserve">4.1- </w:t>
      </w:r>
      <w:r>
        <w:rPr>
          <w:b/>
        </w:rPr>
        <w:t>Introdução</w:t>
      </w:r>
      <w:r>
        <w:rPr>
          <w:b/>
        </w:rPr>
        <w:tab/>
      </w:r>
      <w:r>
        <w:rPr>
          <w:b/>
        </w:rPr>
        <w:tab/>
      </w:r>
      <w:r>
        <w:rPr>
          <w:b/>
        </w:rPr>
        <w:tab/>
      </w:r>
      <w:r>
        <w:rPr>
          <w:b/>
        </w:rPr>
        <w:tab/>
      </w:r>
      <w:r>
        <w:rPr>
          <w:b/>
        </w:rPr>
        <w:tab/>
      </w:r>
      <w:r>
        <w:rPr>
          <w:b/>
        </w:rPr>
        <w:tab/>
      </w:r>
      <w:r>
        <w:rPr>
          <w:b/>
        </w:rPr>
        <w:tab/>
      </w:r>
      <w:r>
        <w:rPr>
          <w:b/>
        </w:rPr>
        <w:tab/>
      </w:r>
      <w:r w:rsidRPr="0024500B">
        <w:t xml:space="preserve">       46</w:t>
      </w:r>
    </w:p>
    <w:p w:rsidR="00A34B7A" w:rsidRDefault="00A34B7A" w:rsidP="00E86ADD">
      <w:pPr>
        <w:spacing w:line="360" w:lineRule="auto"/>
        <w:ind w:firstLine="708"/>
        <w:jc w:val="both"/>
        <w:rPr>
          <w:b/>
        </w:rPr>
      </w:pPr>
      <w:r>
        <w:rPr>
          <w:b/>
        </w:rPr>
        <w:t xml:space="preserve">4.2 - </w:t>
      </w:r>
      <w:r w:rsidRPr="007D04D3">
        <w:rPr>
          <w:b/>
        </w:rPr>
        <w:t xml:space="preserve">O Paleolítico médio na Europa </w:t>
      </w:r>
      <w:r>
        <w:rPr>
          <w:b/>
        </w:rPr>
        <w:tab/>
      </w:r>
      <w:r>
        <w:rPr>
          <w:b/>
        </w:rPr>
        <w:tab/>
      </w:r>
      <w:r>
        <w:rPr>
          <w:b/>
        </w:rPr>
        <w:tab/>
      </w:r>
      <w:r>
        <w:rPr>
          <w:b/>
        </w:rPr>
        <w:tab/>
      </w:r>
      <w:r>
        <w:rPr>
          <w:b/>
        </w:rPr>
        <w:tab/>
        <w:t xml:space="preserve">       </w:t>
      </w:r>
      <w:r w:rsidRPr="0024500B">
        <w:t>47</w:t>
      </w:r>
    </w:p>
    <w:p w:rsidR="00A34B7A" w:rsidRDefault="00A34B7A" w:rsidP="00E86ADD">
      <w:pPr>
        <w:spacing w:line="360" w:lineRule="auto"/>
        <w:ind w:firstLine="708"/>
        <w:jc w:val="both"/>
        <w:rPr>
          <w:b/>
        </w:rPr>
      </w:pPr>
      <w:r>
        <w:rPr>
          <w:b/>
        </w:rPr>
        <w:t>4.3- O final do Paleolítico i</w:t>
      </w:r>
      <w:r w:rsidRPr="001E0B59">
        <w:rPr>
          <w:b/>
        </w:rPr>
        <w:t>nferior</w:t>
      </w:r>
      <w:r>
        <w:rPr>
          <w:b/>
        </w:rPr>
        <w:t xml:space="preserve"> em Portugal</w:t>
      </w:r>
      <w:r>
        <w:rPr>
          <w:b/>
        </w:rPr>
        <w:tab/>
      </w:r>
      <w:r>
        <w:rPr>
          <w:b/>
        </w:rPr>
        <w:tab/>
      </w:r>
      <w:r>
        <w:rPr>
          <w:b/>
        </w:rPr>
        <w:tab/>
      </w:r>
      <w:r>
        <w:rPr>
          <w:b/>
        </w:rPr>
        <w:tab/>
        <w:t xml:space="preserve">       </w:t>
      </w:r>
      <w:r w:rsidRPr="0024500B">
        <w:t>51</w:t>
      </w:r>
    </w:p>
    <w:p w:rsidR="00A34B7A" w:rsidRDefault="00A34B7A" w:rsidP="00E86ADD">
      <w:pPr>
        <w:spacing w:line="360" w:lineRule="auto"/>
        <w:ind w:firstLine="708"/>
        <w:jc w:val="both"/>
        <w:rPr>
          <w:b/>
        </w:rPr>
      </w:pPr>
      <w:r>
        <w:rPr>
          <w:b/>
        </w:rPr>
        <w:t xml:space="preserve">4.4 - O Paleolítico médio em Portugal </w:t>
      </w:r>
      <w:r>
        <w:rPr>
          <w:b/>
        </w:rPr>
        <w:tab/>
      </w:r>
      <w:r>
        <w:rPr>
          <w:b/>
        </w:rPr>
        <w:tab/>
      </w:r>
      <w:r>
        <w:rPr>
          <w:b/>
        </w:rPr>
        <w:tab/>
      </w:r>
      <w:r>
        <w:rPr>
          <w:b/>
        </w:rPr>
        <w:tab/>
      </w:r>
      <w:r>
        <w:rPr>
          <w:b/>
        </w:rPr>
        <w:tab/>
      </w:r>
      <w:r w:rsidRPr="0024500B">
        <w:t xml:space="preserve">       52</w:t>
      </w:r>
    </w:p>
    <w:p w:rsidR="00A34B7A" w:rsidRDefault="00A34B7A" w:rsidP="00E86ADD">
      <w:pPr>
        <w:spacing w:line="360" w:lineRule="auto"/>
        <w:ind w:left="708" w:firstLine="708"/>
        <w:jc w:val="both"/>
        <w:rPr>
          <w:b/>
        </w:rPr>
      </w:pPr>
      <w:r>
        <w:rPr>
          <w:b/>
        </w:rPr>
        <w:t xml:space="preserve">4.4.1- </w:t>
      </w:r>
      <w:r w:rsidRPr="00B54BC5">
        <w:t>História das pesquisas em Portugal</w:t>
      </w:r>
      <w:r>
        <w:rPr>
          <w:b/>
        </w:rPr>
        <w:t xml:space="preserve">  </w:t>
      </w:r>
      <w:r>
        <w:rPr>
          <w:b/>
        </w:rPr>
        <w:tab/>
      </w:r>
      <w:r>
        <w:rPr>
          <w:b/>
        </w:rPr>
        <w:tab/>
      </w:r>
      <w:r>
        <w:rPr>
          <w:b/>
        </w:rPr>
        <w:tab/>
      </w:r>
      <w:r>
        <w:rPr>
          <w:b/>
        </w:rPr>
        <w:tab/>
        <w:t xml:space="preserve">       </w:t>
      </w:r>
      <w:r w:rsidRPr="0024500B">
        <w:t>54</w:t>
      </w:r>
    </w:p>
    <w:p w:rsidR="00A34B7A" w:rsidRPr="00B54BC5" w:rsidRDefault="00A34B7A" w:rsidP="00E86ADD">
      <w:pPr>
        <w:autoSpaceDE w:val="0"/>
        <w:autoSpaceDN w:val="0"/>
        <w:adjustRightInd w:val="0"/>
        <w:spacing w:line="360" w:lineRule="auto"/>
        <w:ind w:left="708" w:firstLine="708"/>
        <w:jc w:val="both"/>
        <w:rPr>
          <w:color w:val="000000"/>
        </w:rPr>
      </w:pPr>
      <w:r>
        <w:rPr>
          <w:b/>
          <w:color w:val="000000"/>
        </w:rPr>
        <w:t xml:space="preserve">4.4.2 - </w:t>
      </w:r>
      <w:r w:rsidRPr="00B54BC5">
        <w:rPr>
          <w:color w:val="000000"/>
        </w:rPr>
        <w:t>O registo arqueológico do Paleolítico médio</w:t>
      </w:r>
      <w:r>
        <w:rPr>
          <w:color w:val="000000"/>
        </w:rPr>
        <w:tab/>
      </w:r>
      <w:r>
        <w:rPr>
          <w:color w:val="000000"/>
        </w:rPr>
        <w:tab/>
      </w:r>
      <w:r>
        <w:rPr>
          <w:color w:val="000000"/>
        </w:rPr>
        <w:tab/>
        <w:t xml:space="preserve">       55</w:t>
      </w:r>
    </w:p>
    <w:p w:rsidR="00A34B7A" w:rsidRDefault="00A34B7A" w:rsidP="00E86ADD">
      <w:pPr>
        <w:autoSpaceDE w:val="0"/>
        <w:autoSpaceDN w:val="0"/>
        <w:adjustRightInd w:val="0"/>
        <w:spacing w:line="360" w:lineRule="auto"/>
        <w:ind w:left="1416" w:firstLine="708"/>
        <w:jc w:val="both"/>
        <w:rPr>
          <w:color w:val="000000"/>
        </w:rPr>
      </w:pPr>
      <w:r>
        <w:rPr>
          <w:color w:val="000000"/>
        </w:rPr>
        <w:t xml:space="preserve">4.4.2.1- </w:t>
      </w:r>
      <w:r w:rsidRPr="00B54BC5">
        <w:rPr>
          <w:color w:val="000000"/>
        </w:rPr>
        <w:t xml:space="preserve">Zona de Lisboa </w:t>
      </w:r>
      <w:r>
        <w:rPr>
          <w:color w:val="000000"/>
        </w:rPr>
        <w:t xml:space="preserve">   </w:t>
      </w:r>
      <w:r>
        <w:rPr>
          <w:color w:val="000000"/>
        </w:rPr>
        <w:tab/>
      </w:r>
      <w:r>
        <w:rPr>
          <w:color w:val="000000"/>
        </w:rPr>
        <w:tab/>
      </w:r>
      <w:r>
        <w:rPr>
          <w:color w:val="000000"/>
        </w:rPr>
        <w:tab/>
      </w:r>
      <w:r>
        <w:rPr>
          <w:color w:val="000000"/>
        </w:rPr>
        <w:tab/>
      </w:r>
      <w:r>
        <w:rPr>
          <w:color w:val="000000"/>
        </w:rPr>
        <w:tab/>
        <w:t xml:space="preserve">       55</w:t>
      </w:r>
    </w:p>
    <w:p w:rsidR="00A34B7A" w:rsidRPr="00B54BC5" w:rsidRDefault="00A34B7A" w:rsidP="00E86ADD">
      <w:pPr>
        <w:autoSpaceDE w:val="0"/>
        <w:autoSpaceDN w:val="0"/>
        <w:adjustRightInd w:val="0"/>
        <w:spacing w:line="360" w:lineRule="auto"/>
        <w:ind w:left="2124"/>
        <w:jc w:val="both"/>
        <w:rPr>
          <w:color w:val="000000"/>
        </w:rPr>
      </w:pPr>
      <w:r w:rsidRPr="00B54BC5">
        <w:rPr>
          <w:color w:val="000000"/>
        </w:rPr>
        <w:t xml:space="preserve">4.4.2.2- Sítios dos terraços do Tejo e subsidiários da margem </w:t>
      </w:r>
      <w:r>
        <w:rPr>
          <w:color w:val="000000"/>
        </w:rPr>
        <w:t xml:space="preserve">esquerda     </w:t>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56</w:t>
      </w:r>
    </w:p>
    <w:p w:rsidR="00A34B7A" w:rsidRDefault="00A34B7A" w:rsidP="00E86ADD">
      <w:pPr>
        <w:autoSpaceDE w:val="0"/>
        <w:autoSpaceDN w:val="0"/>
        <w:adjustRightInd w:val="0"/>
        <w:spacing w:line="360" w:lineRule="auto"/>
        <w:ind w:left="1416" w:firstLine="708"/>
        <w:jc w:val="both"/>
        <w:rPr>
          <w:color w:val="000000"/>
        </w:rPr>
      </w:pPr>
      <w:r w:rsidRPr="00B54BC5">
        <w:rPr>
          <w:color w:val="000000"/>
        </w:rPr>
        <w:t>4.4.2.3- Sítios de ar livre no centro de Portugal</w:t>
      </w:r>
      <w:r>
        <w:rPr>
          <w:color w:val="000000"/>
        </w:rPr>
        <w:t xml:space="preserve">  </w:t>
      </w:r>
      <w:r>
        <w:rPr>
          <w:color w:val="000000"/>
        </w:rPr>
        <w:tab/>
      </w:r>
      <w:r>
        <w:rPr>
          <w:color w:val="000000"/>
        </w:rPr>
        <w:tab/>
        <w:t xml:space="preserve">       58</w:t>
      </w:r>
    </w:p>
    <w:p w:rsidR="00A34B7A" w:rsidRPr="00B54BC5" w:rsidRDefault="00A34B7A" w:rsidP="00E86ADD">
      <w:pPr>
        <w:autoSpaceDE w:val="0"/>
        <w:autoSpaceDN w:val="0"/>
        <w:adjustRightInd w:val="0"/>
        <w:spacing w:line="360" w:lineRule="auto"/>
        <w:ind w:left="1416" w:firstLine="708"/>
        <w:jc w:val="both"/>
        <w:rPr>
          <w:color w:val="000000"/>
        </w:rPr>
      </w:pPr>
      <w:r w:rsidRPr="00B54BC5">
        <w:rPr>
          <w:color w:val="000000"/>
        </w:rPr>
        <w:t>4.4.2.4- Grutas da Estremadura e zonas adjacentes</w:t>
      </w:r>
      <w:r>
        <w:rPr>
          <w:color w:val="000000"/>
        </w:rPr>
        <w:t xml:space="preserve">  </w:t>
      </w:r>
      <w:r>
        <w:rPr>
          <w:color w:val="000000"/>
        </w:rPr>
        <w:tab/>
      </w:r>
      <w:r>
        <w:rPr>
          <w:color w:val="000000"/>
        </w:rPr>
        <w:tab/>
        <w:t xml:space="preserve">       59</w:t>
      </w:r>
    </w:p>
    <w:p w:rsidR="00A34B7A" w:rsidRDefault="00A34B7A" w:rsidP="00E86ADD">
      <w:pPr>
        <w:autoSpaceDE w:val="0"/>
        <w:autoSpaceDN w:val="0"/>
        <w:adjustRightInd w:val="0"/>
        <w:spacing w:line="360" w:lineRule="auto"/>
        <w:ind w:left="1416" w:firstLine="708"/>
        <w:jc w:val="both"/>
        <w:rPr>
          <w:color w:val="000000"/>
        </w:rPr>
      </w:pPr>
      <w:r w:rsidRPr="00B54BC5">
        <w:rPr>
          <w:color w:val="000000"/>
        </w:rPr>
        <w:t xml:space="preserve">4.4.2.5- </w:t>
      </w:r>
      <w:r>
        <w:rPr>
          <w:color w:val="000000"/>
        </w:rPr>
        <w:t>Algarve</w:t>
      </w:r>
      <w:r>
        <w:rPr>
          <w:color w:val="000000"/>
        </w:rPr>
        <w:tab/>
      </w:r>
      <w:r>
        <w:rPr>
          <w:color w:val="000000"/>
        </w:rPr>
        <w:tab/>
      </w:r>
      <w:r>
        <w:rPr>
          <w:color w:val="000000"/>
        </w:rPr>
        <w:tab/>
      </w:r>
      <w:r>
        <w:rPr>
          <w:color w:val="000000"/>
        </w:rPr>
        <w:tab/>
      </w:r>
      <w:r>
        <w:rPr>
          <w:color w:val="000000"/>
        </w:rPr>
        <w:tab/>
      </w:r>
      <w:r>
        <w:rPr>
          <w:color w:val="000000"/>
        </w:rPr>
        <w:tab/>
        <w:t xml:space="preserve">       67</w:t>
      </w:r>
    </w:p>
    <w:p w:rsidR="00A34B7A" w:rsidRPr="00B54BC5" w:rsidRDefault="00A34B7A" w:rsidP="00E86ADD">
      <w:pPr>
        <w:autoSpaceDE w:val="0"/>
        <w:autoSpaceDN w:val="0"/>
        <w:adjustRightInd w:val="0"/>
        <w:spacing w:line="360" w:lineRule="auto"/>
        <w:ind w:left="2124"/>
        <w:jc w:val="both"/>
        <w:rPr>
          <w:color w:val="000000"/>
        </w:rPr>
      </w:pPr>
      <w:r w:rsidRPr="00B54BC5">
        <w:rPr>
          <w:color w:val="000000"/>
        </w:rPr>
        <w:t>4.4.2.6</w:t>
      </w:r>
      <w:r>
        <w:rPr>
          <w:color w:val="000000"/>
        </w:rPr>
        <w:t>-</w:t>
      </w:r>
      <w:r w:rsidRPr="00B54BC5">
        <w:rPr>
          <w:color w:val="000000"/>
        </w:rPr>
        <w:t xml:space="preserve"> Síntese das datações existentes relativas ao Paleolítico médio português</w:t>
      </w:r>
      <w:r>
        <w:rPr>
          <w:color w:val="000000"/>
        </w:rPr>
        <w:t xml:space="preserve">   </w:t>
      </w:r>
      <w:r>
        <w:rPr>
          <w:color w:val="000000"/>
        </w:rPr>
        <w:tab/>
      </w:r>
      <w:r>
        <w:rPr>
          <w:color w:val="000000"/>
        </w:rPr>
        <w:tab/>
      </w:r>
      <w:r>
        <w:rPr>
          <w:color w:val="000000"/>
        </w:rPr>
        <w:tab/>
      </w:r>
      <w:r>
        <w:rPr>
          <w:color w:val="000000"/>
        </w:rPr>
        <w:tab/>
      </w:r>
      <w:r>
        <w:rPr>
          <w:color w:val="000000"/>
        </w:rPr>
        <w:tab/>
      </w:r>
      <w:r>
        <w:rPr>
          <w:color w:val="000000"/>
        </w:rPr>
        <w:tab/>
        <w:t xml:space="preserve">       68</w:t>
      </w:r>
    </w:p>
    <w:p w:rsidR="00A34B7A" w:rsidRPr="00B54BC5" w:rsidRDefault="00A34B7A" w:rsidP="00E86ADD">
      <w:pPr>
        <w:spacing w:line="360" w:lineRule="auto"/>
        <w:ind w:left="1416"/>
        <w:jc w:val="both"/>
      </w:pPr>
      <w:r>
        <w:rPr>
          <w:b/>
        </w:rPr>
        <w:t xml:space="preserve">4.4.3 - </w:t>
      </w:r>
      <w:proofErr w:type="gramStart"/>
      <w:r w:rsidRPr="00B54BC5">
        <w:t xml:space="preserve">Os estudos </w:t>
      </w:r>
      <w:r>
        <w:t>sobre o</w:t>
      </w:r>
      <w:r w:rsidRPr="00B54BC5">
        <w:t xml:space="preserve"> Paleolítico no Alentejo, na Estremadura espanhola</w:t>
      </w:r>
      <w:proofErr w:type="gramEnd"/>
      <w:r w:rsidRPr="00B54BC5">
        <w:t>, no Nordeste alentejano e nas Portas de Ródão.</w:t>
      </w:r>
      <w:r>
        <w:t xml:space="preserve">  </w:t>
      </w:r>
      <w:r>
        <w:tab/>
      </w:r>
      <w:r>
        <w:tab/>
        <w:t xml:space="preserve">       72</w:t>
      </w:r>
      <w:r>
        <w:tab/>
        <w:t xml:space="preserve">   </w:t>
      </w:r>
    </w:p>
    <w:p w:rsidR="00A34B7A" w:rsidRDefault="00A34B7A" w:rsidP="00E86ADD">
      <w:pPr>
        <w:spacing w:line="360" w:lineRule="auto"/>
        <w:ind w:left="1416" w:firstLine="708"/>
        <w:jc w:val="both"/>
      </w:pPr>
      <w:r w:rsidRPr="00B54BC5">
        <w:t>4.4.3.1 - O Paleolítico médio no Alentejo.</w:t>
      </w:r>
      <w:r>
        <w:t xml:space="preserve"> </w:t>
      </w:r>
      <w:r>
        <w:tab/>
      </w:r>
      <w:r>
        <w:tab/>
      </w:r>
      <w:r>
        <w:tab/>
        <w:t xml:space="preserve">       72</w:t>
      </w:r>
    </w:p>
    <w:p w:rsidR="00A34B7A" w:rsidRDefault="00A34B7A" w:rsidP="00E86ADD">
      <w:pPr>
        <w:spacing w:line="360" w:lineRule="auto"/>
        <w:ind w:left="1416" w:firstLine="708"/>
        <w:jc w:val="both"/>
      </w:pPr>
      <w:r w:rsidRPr="00B54BC5">
        <w:t>4.4.3.2 - O Paleolítico médio na Extremadura espanhola</w:t>
      </w:r>
      <w:r>
        <w:t xml:space="preserve">  </w:t>
      </w:r>
      <w:r>
        <w:tab/>
        <w:t xml:space="preserve">       74</w:t>
      </w:r>
    </w:p>
    <w:p w:rsidR="00A34B7A" w:rsidRDefault="00A34B7A" w:rsidP="00E86ADD">
      <w:pPr>
        <w:spacing w:line="360" w:lineRule="auto"/>
        <w:ind w:left="1416" w:firstLine="708"/>
        <w:jc w:val="both"/>
      </w:pPr>
      <w:r w:rsidRPr="0008239C">
        <w:t>4.4.3.3- O Paleolítico médio das Portas de Ródão.</w:t>
      </w:r>
      <w:r>
        <w:t xml:space="preserve">         </w:t>
      </w:r>
      <w:r>
        <w:tab/>
        <w:t xml:space="preserve">       75</w:t>
      </w:r>
    </w:p>
    <w:p w:rsidR="00A34B7A" w:rsidRPr="0008239C" w:rsidRDefault="00A34B7A" w:rsidP="00E86ADD">
      <w:pPr>
        <w:spacing w:line="360" w:lineRule="auto"/>
        <w:ind w:left="1416" w:firstLine="708"/>
        <w:jc w:val="both"/>
      </w:pPr>
      <w:r w:rsidRPr="0008239C">
        <w:t>4.4.3.4 - O Paleolítico no Nordeste Alentejano</w:t>
      </w:r>
      <w:r>
        <w:t xml:space="preserve">   </w:t>
      </w:r>
      <w:r>
        <w:tab/>
      </w:r>
      <w:r>
        <w:tab/>
        <w:t xml:space="preserve">       76</w:t>
      </w:r>
    </w:p>
    <w:p w:rsidR="00A34B7A" w:rsidRDefault="00A34B7A" w:rsidP="00E86ADD">
      <w:pPr>
        <w:spacing w:line="360" w:lineRule="auto"/>
        <w:jc w:val="both"/>
        <w:rPr>
          <w:b/>
          <w:u w:val="single"/>
        </w:rPr>
      </w:pPr>
    </w:p>
    <w:p w:rsidR="00A34B7A" w:rsidRPr="00CF1859" w:rsidRDefault="00A34B7A" w:rsidP="00E86ADD">
      <w:pPr>
        <w:spacing w:line="360" w:lineRule="auto"/>
        <w:jc w:val="both"/>
        <w:rPr>
          <w:b/>
        </w:rPr>
      </w:pPr>
      <w:r>
        <w:rPr>
          <w:b/>
          <w:u w:val="single"/>
        </w:rPr>
        <w:t xml:space="preserve">V- </w:t>
      </w:r>
      <w:r w:rsidRPr="002D4B57">
        <w:rPr>
          <w:b/>
          <w:u w:val="single"/>
        </w:rPr>
        <w:t>Metodologia</w:t>
      </w:r>
      <w:r w:rsidRPr="00CF1859">
        <w:rPr>
          <w:b/>
        </w:rPr>
        <w:tab/>
      </w:r>
      <w:r w:rsidRPr="00CF1859">
        <w:rPr>
          <w:b/>
        </w:rPr>
        <w:tab/>
      </w:r>
      <w:r w:rsidRPr="00CF1859">
        <w:rPr>
          <w:b/>
        </w:rPr>
        <w:tab/>
      </w:r>
      <w:r w:rsidRPr="00CF1859">
        <w:rPr>
          <w:b/>
        </w:rPr>
        <w:tab/>
      </w:r>
      <w:r>
        <w:rPr>
          <w:b/>
        </w:rPr>
        <w:tab/>
      </w:r>
      <w:r>
        <w:rPr>
          <w:b/>
        </w:rPr>
        <w:tab/>
      </w:r>
      <w:r>
        <w:rPr>
          <w:b/>
        </w:rPr>
        <w:tab/>
      </w:r>
      <w:r>
        <w:rPr>
          <w:b/>
        </w:rPr>
        <w:tab/>
      </w:r>
      <w:r>
        <w:rPr>
          <w:b/>
        </w:rPr>
        <w:tab/>
        <w:t xml:space="preserve">       </w:t>
      </w:r>
      <w:r>
        <w:t>77</w:t>
      </w:r>
    </w:p>
    <w:p w:rsidR="00A34B7A" w:rsidRDefault="00A34B7A" w:rsidP="00E86ADD">
      <w:pPr>
        <w:spacing w:line="360" w:lineRule="auto"/>
        <w:ind w:firstLine="708"/>
        <w:jc w:val="both"/>
        <w:rPr>
          <w:b/>
        </w:rPr>
      </w:pPr>
    </w:p>
    <w:p w:rsidR="00A34B7A" w:rsidRPr="0024500B" w:rsidRDefault="00A34B7A" w:rsidP="00E86ADD">
      <w:pPr>
        <w:spacing w:line="360" w:lineRule="auto"/>
        <w:ind w:firstLine="708"/>
        <w:jc w:val="both"/>
      </w:pPr>
      <w:r w:rsidRPr="00C25E54">
        <w:rPr>
          <w:b/>
        </w:rPr>
        <w:t xml:space="preserve">5.1- </w:t>
      </w:r>
      <w:r>
        <w:rPr>
          <w:b/>
        </w:rPr>
        <w:t>Metodologia geral</w:t>
      </w:r>
      <w:r>
        <w:rPr>
          <w:b/>
        </w:rPr>
        <w:tab/>
      </w:r>
      <w:r>
        <w:rPr>
          <w:b/>
        </w:rPr>
        <w:tab/>
      </w:r>
      <w:r>
        <w:rPr>
          <w:b/>
        </w:rPr>
        <w:tab/>
      </w:r>
      <w:r>
        <w:rPr>
          <w:b/>
        </w:rPr>
        <w:tab/>
      </w:r>
      <w:r>
        <w:rPr>
          <w:b/>
        </w:rPr>
        <w:tab/>
      </w:r>
      <w:r>
        <w:rPr>
          <w:b/>
        </w:rPr>
        <w:tab/>
      </w:r>
      <w:r>
        <w:rPr>
          <w:b/>
        </w:rPr>
        <w:tab/>
        <w:t xml:space="preserve">       </w:t>
      </w:r>
      <w:r>
        <w:t>78</w:t>
      </w:r>
    </w:p>
    <w:p w:rsidR="00A34B7A" w:rsidRDefault="00A34B7A" w:rsidP="00E86ADD">
      <w:pPr>
        <w:autoSpaceDE w:val="0"/>
        <w:autoSpaceDN w:val="0"/>
        <w:adjustRightInd w:val="0"/>
        <w:spacing w:line="360" w:lineRule="auto"/>
        <w:ind w:left="708" w:firstLine="708"/>
        <w:jc w:val="both"/>
      </w:pPr>
      <w:r w:rsidRPr="00C25E54">
        <w:rPr>
          <w:b/>
        </w:rPr>
        <w:t xml:space="preserve">5.1.1- </w:t>
      </w:r>
      <w:r w:rsidRPr="003C143C">
        <w:t>Prospecções</w:t>
      </w:r>
      <w:r>
        <w:tab/>
      </w:r>
      <w:r>
        <w:tab/>
      </w:r>
      <w:r>
        <w:tab/>
      </w:r>
      <w:r>
        <w:tab/>
      </w:r>
      <w:r>
        <w:tab/>
      </w:r>
      <w:r>
        <w:tab/>
      </w:r>
      <w:r>
        <w:tab/>
        <w:t xml:space="preserve">       78</w:t>
      </w:r>
    </w:p>
    <w:p w:rsidR="00A34B7A" w:rsidRPr="0008239C" w:rsidRDefault="00A34B7A" w:rsidP="00E86ADD">
      <w:pPr>
        <w:autoSpaceDE w:val="0"/>
        <w:autoSpaceDN w:val="0"/>
        <w:adjustRightInd w:val="0"/>
        <w:spacing w:line="360" w:lineRule="auto"/>
        <w:ind w:left="708" w:firstLine="708"/>
        <w:jc w:val="both"/>
      </w:pPr>
      <w:r>
        <w:rPr>
          <w:b/>
        </w:rPr>
        <w:t xml:space="preserve">5.1.2- </w:t>
      </w:r>
      <w:r w:rsidRPr="0008239C">
        <w:t>Escavações</w:t>
      </w:r>
      <w:r>
        <w:t xml:space="preserve"> </w:t>
      </w:r>
      <w:r>
        <w:tab/>
      </w:r>
      <w:r>
        <w:tab/>
      </w:r>
      <w:r>
        <w:tab/>
      </w:r>
      <w:r>
        <w:tab/>
      </w:r>
      <w:r>
        <w:tab/>
      </w:r>
      <w:r>
        <w:tab/>
      </w:r>
      <w:r>
        <w:tab/>
        <w:t xml:space="preserve">       80</w:t>
      </w:r>
    </w:p>
    <w:p w:rsidR="00A34B7A" w:rsidRDefault="00A34B7A" w:rsidP="00E86ADD">
      <w:pPr>
        <w:autoSpaceDE w:val="0"/>
        <w:autoSpaceDN w:val="0"/>
        <w:adjustRightInd w:val="0"/>
        <w:spacing w:line="360" w:lineRule="auto"/>
        <w:ind w:left="708" w:firstLine="708"/>
        <w:jc w:val="both"/>
      </w:pPr>
      <w:r w:rsidRPr="008C6449">
        <w:rPr>
          <w:b/>
        </w:rPr>
        <w:t>5.</w:t>
      </w:r>
      <w:r>
        <w:rPr>
          <w:b/>
        </w:rPr>
        <w:t>1.</w:t>
      </w:r>
      <w:r w:rsidRPr="008C6449">
        <w:rPr>
          <w:b/>
        </w:rPr>
        <w:t xml:space="preserve">3- </w:t>
      </w:r>
      <w:r w:rsidRPr="0008239C">
        <w:t>Estratigrafia</w:t>
      </w:r>
      <w:r>
        <w:tab/>
      </w:r>
      <w:r>
        <w:tab/>
      </w:r>
      <w:r>
        <w:tab/>
      </w:r>
      <w:r>
        <w:tab/>
      </w:r>
      <w:r>
        <w:tab/>
      </w:r>
      <w:r>
        <w:tab/>
      </w:r>
      <w:r>
        <w:tab/>
        <w:t xml:space="preserve">       81</w:t>
      </w:r>
    </w:p>
    <w:p w:rsidR="00A34B7A" w:rsidRPr="0008239C" w:rsidRDefault="00A34B7A" w:rsidP="00E86ADD">
      <w:pPr>
        <w:autoSpaceDE w:val="0"/>
        <w:autoSpaceDN w:val="0"/>
        <w:adjustRightInd w:val="0"/>
        <w:spacing w:line="360" w:lineRule="auto"/>
        <w:ind w:left="708" w:firstLine="708"/>
        <w:jc w:val="both"/>
      </w:pPr>
      <w:r w:rsidRPr="008C6449">
        <w:rPr>
          <w:b/>
        </w:rPr>
        <w:t xml:space="preserve">5.1.4- </w:t>
      </w:r>
      <w:r w:rsidRPr="0008239C">
        <w:t>Datações</w:t>
      </w:r>
      <w:r>
        <w:tab/>
      </w:r>
      <w:r>
        <w:tab/>
      </w:r>
      <w:r>
        <w:tab/>
      </w:r>
      <w:r>
        <w:tab/>
      </w:r>
      <w:r>
        <w:tab/>
      </w:r>
      <w:r>
        <w:tab/>
      </w:r>
      <w:r>
        <w:tab/>
        <w:t xml:space="preserve">       82</w:t>
      </w:r>
    </w:p>
    <w:p w:rsidR="00A34B7A" w:rsidRDefault="00A34B7A" w:rsidP="00E86ADD">
      <w:pPr>
        <w:autoSpaceDE w:val="0"/>
        <w:autoSpaceDN w:val="0"/>
        <w:adjustRightInd w:val="0"/>
        <w:spacing w:line="360" w:lineRule="auto"/>
        <w:jc w:val="both"/>
      </w:pPr>
      <w:r>
        <w:rPr>
          <w:b/>
        </w:rPr>
        <w:tab/>
      </w:r>
      <w:r>
        <w:rPr>
          <w:b/>
        </w:rPr>
        <w:tab/>
      </w:r>
      <w:r>
        <w:rPr>
          <w:b/>
        </w:rPr>
        <w:tab/>
      </w:r>
      <w:r w:rsidRPr="00C25E54">
        <w:t>5.</w:t>
      </w:r>
      <w:r>
        <w:t>1.</w:t>
      </w:r>
      <w:r w:rsidRPr="00C25E54">
        <w:t>4.1</w:t>
      </w:r>
      <w:r>
        <w:t xml:space="preserve">- Datações de OSL de sedimentos   </w:t>
      </w:r>
      <w:r>
        <w:tab/>
      </w:r>
      <w:r>
        <w:tab/>
      </w:r>
      <w:r>
        <w:tab/>
        <w:t xml:space="preserve">       82</w:t>
      </w:r>
    </w:p>
    <w:p w:rsidR="00A34B7A" w:rsidRDefault="00A34B7A" w:rsidP="00E86ADD">
      <w:pPr>
        <w:autoSpaceDE w:val="0"/>
        <w:autoSpaceDN w:val="0"/>
        <w:adjustRightInd w:val="0"/>
        <w:spacing w:line="360" w:lineRule="auto"/>
        <w:ind w:left="1416" w:firstLine="708"/>
        <w:jc w:val="both"/>
      </w:pPr>
      <w:r w:rsidRPr="00C25E54">
        <w:t>5.</w:t>
      </w:r>
      <w:r>
        <w:t>1.</w:t>
      </w:r>
      <w:r w:rsidRPr="00C25E54">
        <w:t>4.2</w:t>
      </w:r>
      <w:r>
        <w:t>-</w:t>
      </w:r>
      <w:r w:rsidRPr="00C25E54">
        <w:t xml:space="preserve"> </w:t>
      </w:r>
      <w:r>
        <w:t xml:space="preserve">Datações OSL sobre seixos  </w:t>
      </w:r>
      <w:r>
        <w:tab/>
      </w:r>
      <w:r>
        <w:tab/>
      </w:r>
      <w:r>
        <w:tab/>
        <w:t xml:space="preserve">       84</w:t>
      </w:r>
    </w:p>
    <w:p w:rsidR="00A34B7A" w:rsidRDefault="00A34B7A" w:rsidP="00E86ADD">
      <w:pPr>
        <w:autoSpaceDE w:val="0"/>
        <w:autoSpaceDN w:val="0"/>
        <w:adjustRightInd w:val="0"/>
        <w:spacing w:line="360" w:lineRule="auto"/>
        <w:ind w:left="708" w:firstLine="708"/>
        <w:jc w:val="both"/>
      </w:pPr>
      <w:r w:rsidRPr="0042473D">
        <w:rPr>
          <w:b/>
        </w:rPr>
        <w:t>5.1.5-</w:t>
      </w:r>
      <w:r>
        <w:rPr>
          <w:b/>
        </w:rPr>
        <w:t xml:space="preserve"> </w:t>
      </w:r>
      <w:r w:rsidRPr="000667D9">
        <w:t>Análise das indústrias líticas</w:t>
      </w:r>
      <w:r>
        <w:tab/>
      </w:r>
      <w:r>
        <w:tab/>
      </w:r>
      <w:r>
        <w:tab/>
      </w:r>
      <w:r>
        <w:tab/>
      </w:r>
      <w:r>
        <w:tab/>
        <w:t xml:space="preserve">       85</w:t>
      </w:r>
    </w:p>
    <w:p w:rsidR="00A34B7A" w:rsidRDefault="00EA3774" w:rsidP="00E86ADD">
      <w:pPr>
        <w:tabs>
          <w:tab w:val="center" w:pos="4606"/>
        </w:tabs>
        <w:spacing w:line="360" w:lineRule="auto"/>
        <w:ind w:left="708"/>
        <w:jc w:val="both"/>
        <w:rPr>
          <w:b/>
        </w:rPr>
      </w:pPr>
      <w:r>
        <w:rPr>
          <w:b/>
          <w:noProof/>
        </w:rPr>
        <w:pict>
          <v:shape id="_x0000_s1719" type="#_x0000_t202" style="position:absolute;left:0;text-align:left;margin-left:401.35pt;margin-top:48.95pt;width:41.05pt;height:32.65pt;z-index:251863040;mso-width-relative:margin;mso-height-relative:margin" stroked="f">
            <v:textbox style="mso-next-textbox:#_x0000_s1719">
              <w:txbxContent>
                <w:p w:rsidR="00B34B0F" w:rsidRDefault="00B34B0F" w:rsidP="001321C3"/>
              </w:txbxContent>
            </v:textbox>
          </v:shape>
        </w:pict>
      </w:r>
    </w:p>
    <w:p w:rsidR="00A34B7A" w:rsidRDefault="00A34B7A" w:rsidP="00E86ADD">
      <w:pPr>
        <w:tabs>
          <w:tab w:val="center" w:pos="4606"/>
        </w:tabs>
        <w:spacing w:line="360" w:lineRule="auto"/>
        <w:ind w:left="708"/>
        <w:jc w:val="both"/>
        <w:rPr>
          <w:b/>
        </w:rPr>
      </w:pPr>
      <w:r w:rsidRPr="000667D9">
        <w:rPr>
          <w:b/>
        </w:rPr>
        <w:lastRenderedPageBreak/>
        <w:t>5.2- Sítios Investigados</w:t>
      </w:r>
      <w:r>
        <w:rPr>
          <w:b/>
        </w:rPr>
        <w:tab/>
      </w:r>
      <w:r>
        <w:rPr>
          <w:b/>
        </w:rPr>
        <w:tab/>
      </w:r>
      <w:r>
        <w:rPr>
          <w:b/>
        </w:rPr>
        <w:tab/>
      </w:r>
      <w:r>
        <w:rPr>
          <w:b/>
        </w:rPr>
        <w:tab/>
      </w:r>
      <w:r>
        <w:rPr>
          <w:b/>
        </w:rPr>
        <w:tab/>
      </w:r>
      <w:r>
        <w:rPr>
          <w:b/>
        </w:rPr>
        <w:tab/>
        <w:t xml:space="preserve">       </w:t>
      </w:r>
      <w:r>
        <w:t>89</w:t>
      </w:r>
    </w:p>
    <w:p w:rsidR="00A34B7A" w:rsidRDefault="00A34B7A" w:rsidP="00E86ADD">
      <w:pPr>
        <w:autoSpaceDE w:val="0"/>
        <w:autoSpaceDN w:val="0"/>
        <w:adjustRightInd w:val="0"/>
        <w:spacing w:line="360" w:lineRule="auto"/>
        <w:ind w:left="708" w:firstLine="708"/>
        <w:jc w:val="both"/>
      </w:pPr>
      <w:r w:rsidRPr="00C25E54">
        <w:rPr>
          <w:b/>
        </w:rPr>
        <w:t>5.2.1 -</w:t>
      </w:r>
      <w:r w:rsidRPr="000667D9">
        <w:t>Pegos do Tejo 2</w:t>
      </w:r>
      <w:r>
        <w:t xml:space="preserve"> </w:t>
      </w:r>
      <w:r>
        <w:tab/>
      </w:r>
      <w:r>
        <w:tab/>
      </w:r>
      <w:r>
        <w:tab/>
      </w:r>
      <w:r>
        <w:tab/>
      </w:r>
      <w:r>
        <w:tab/>
      </w:r>
      <w:r>
        <w:tab/>
        <w:t xml:space="preserve">       90</w:t>
      </w:r>
    </w:p>
    <w:p w:rsidR="00A34B7A" w:rsidRPr="000667D9" w:rsidRDefault="00A34B7A" w:rsidP="00E86ADD">
      <w:pPr>
        <w:autoSpaceDE w:val="0"/>
        <w:autoSpaceDN w:val="0"/>
        <w:adjustRightInd w:val="0"/>
        <w:spacing w:line="360" w:lineRule="auto"/>
        <w:ind w:left="708" w:right="-1" w:firstLine="708"/>
        <w:jc w:val="both"/>
      </w:pPr>
      <w:r w:rsidRPr="00C25E54">
        <w:rPr>
          <w:b/>
        </w:rPr>
        <w:t xml:space="preserve">5.2.2- </w:t>
      </w:r>
      <w:r w:rsidRPr="000667D9">
        <w:t xml:space="preserve">Azinhal </w:t>
      </w:r>
      <w:r>
        <w:tab/>
      </w:r>
      <w:r>
        <w:tab/>
      </w:r>
      <w:r>
        <w:tab/>
      </w:r>
      <w:r>
        <w:tab/>
      </w:r>
      <w:r>
        <w:tab/>
      </w:r>
      <w:r>
        <w:tab/>
      </w:r>
      <w:r>
        <w:tab/>
        <w:t xml:space="preserve">       93</w:t>
      </w:r>
    </w:p>
    <w:p w:rsidR="00A34B7A" w:rsidRPr="005270E6" w:rsidRDefault="00A34B7A" w:rsidP="00E86ADD">
      <w:pPr>
        <w:spacing w:line="360" w:lineRule="auto"/>
        <w:ind w:left="708" w:firstLine="708"/>
        <w:jc w:val="both"/>
        <w:rPr>
          <w:b/>
        </w:rPr>
      </w:pPr>
      <w:r w:rsidRPr="000667D9">
        <w:rPr>
          <w:b/>
        </w:rPr>
        <w:t>5.2.3</w:t>
      </w:r>
      <w:r>
        <w:rPr>
          <w:b/>
        </w:rPr>
        <w:t>-</w:t>
      </w:r>
      <w:r w:rsidRPr="000667D9">
        <w:rPr>
          <w:b/>
        </w:rPr>
        <w:t xml:space="preserve"> </w:t>
      </w:r>
      <w:r>
        <w:t xml:space="preserve">Tapada do Montinho    </w:t>
      </w:r>
      <w:r>
        <w:tab/>
      </w:r>
      <w:r>
        <w:tab/>
      </w:r>
      <w:r>
        <w:tab/>
      </w:r>
      <w:r>
        <w:tab/>
      </w:r>
      <w:r>
        <w:tab/>
        <w:t xml:space="preserve">       96</w:t>
      </w:r>
    </w:p>
    <w:p w:rsidR="00A34B7A" w:rsidRPr="005270E6" w:rsidRDefault="00A34B7A" w:rsidP="00E86ADD">
      <w:pPr>
        <w:spacing w:line="360" w:lineRule="auto"/>
        <w:jc w:val="both"/>
        <w:rPr>
          <w:b/>
        </w:rPr>
      </w:pPr>
    </w:p>
    <w:p w:rsidR="00A34B7A" w:rsidRPr="002D4B57" w:rsidRDefault="00A34B7A" w:rsidP="00E86ADD">
      <w:pPr>
        <w:spacing w:line="360" w:lineRule="auto"/>
        <w:jc w:val="both"/>
        <w:rPr>
          <w:b/>
          <w:u w:val="single"/>
        </w:rPr>
      </w:pPr>
      <w:r>
        <w:rPr>
          <w:b/>
          <w:u w:val="single"/>
        </w:rPr>
        <w:t xml:space="preserve">VI- </w:t>
      </w:r>
      <w:r w:rsidRPr="002D4B57">
        <w:rPr>
          <w:b/>
          <w:u w:val="single"/>
        </w:rPr>
        <w:t>Resultados</w:t>
      </w:r>
      <w:r w:rsidRPr="00CF1859">
        <w:tab/>
      </w:r>
      <w:r w:rsidRPr="00CF1859">
        <w:tab/>
      </w:r>
      <w:r w:rsidRPr="00CF1859">
        <w:tab/>
      </w:r>
      <w:r w:rsidRPr="00CF1859">
        <w:tab/>
      </w:r>
      <w:r>
        <w:tab/>
      </w:r>
      <w:r>
        <w:tab/>
      </w:r>
      <w:r>
        <w:tab/>
      </w:r>
      <w:r>
        <w:tab/>
      </w:r>
      <w:r>
        <w:tab/>
        <w:t xml:space="preserve">       99</w:t>
      </w:r>
    </w:p>
    <w:p w:rsidR="00A34B7A" w:rsidRPr="0024500B" w:rsidRDefault="00A34B7A" w:rsidP="00E86ADD">
      <w:pPr>
        <w:spacing w:line="360" w:lineRule="auto"/>
        <w:jc w:val="both"/>
      </w:pPr>
      <w:r>
        <w:rPr>
          <w:b/>
        </w:rPr>
        <w:t xml:space="preserve"> </w:t>
      </w:r>
      <w:r>
        <w:rPr>
          <w:b/>
        </w:rPr>
        <w:tab/>
        <w:t>6.1-Pegos do Tejo 2</w:t>
      </w:r>
      <w:r>
        <w:rPr>
          <w:b/>
        </w:rPr>
        <w:tab/>
      </w:r>
      <w:r>
        <w:rPr>
          <w:b/>
        </w:rPr>
        <w:tab/>
      </w:r>
      <w:r>
        <w:rPr>
          <w:b/>
        </w:rPr>
        <w:tab/>
      </w:r>
      <w:r>
        <w:rPr>
          <w:b/>
        </w:rPr>
        <w:tab/>
      </w:r>
      <w:r>
        <w:rPr>
          <w:b/>
        </w:rPr>
        <w:tab/>
      </w:r>
      <w:r>
        <w:rPr>
          <w:b/>
        </w:rPr>
        <w:tab/>
      </w:r>
      <w:r>
        <w:rPr>
          <w:b/>
        </w:rPr>
        <w:tab/>
      </w:r>
      <w:r>
        <w:rPr>
          <w:b/>
        </w:rPr>
        <w:tab/>
        <w:t xml:space="preserve">     </w:t>
      </w:r>
      <w:r>
        <w:t>100</w:t>
      </w:r>
    </w:p>
    <w:p w:rsidR="00A34B7A" w:rsidRPr="004D0537" w:rsidRDefault="00A34B7A" w:rsidP="00E86ADD">
      <w:pPr>
        <w:spacing w:line="360" w:lineRule="auto"/>
        <w:ind w:left="708" w:firstLine="708"/>
        <w:jc w:val="both"/>
      </w:pPr>
      <w:r w:rsidRPr="00092AFB">
        <w:rPr>
          <w:b/>
        </w:rPr>
        <w:t>6.1.</w:t>
      </w:r>
      <w:r>
        <w:rPr>
          <w:b/>
        </w:rPr>
        <w:t>1</w:t>
      </w:r>
      <w:r w:rsidRPr="004D0537">
        <w:t>- Estratigrafia</w:t>
      </w:r>
      <w:r>
        <w:t xml:space="preserve">   </w:t>
      </w:r>
      <w:r>
        <w:tab/>
      </w:r>
      <w:r>
        <w:tab/>
      </w:r>
      <w:r>
        <w:tab/>
      </w:r>
      <w:r>
        <w:tab/>
      </w:r>
      <w:r>
        <w:tab/>
      </w:r>
      <w:r>
        <w:tab/>
      </w:r>
      <w:r>
        <w:tab/>
        <w:t xml:space="preserve">     100</w:t>
      </w:r>
    </w:p>
    <w:p w:rsidR="00A34B7A" w:rsidRPr="004D0537" w:rsidRDefault="00A34B7A" w:rsidP="00E86ADD">
      <w:pPr>
        <w:spacing w:line="360" w:lineRule="auto"/>
        <w:ind w:left="708" w:firstLine="708"/>
        <w:jc w:val="both"/>
      </w:pPr>
      <w:r w:rsidRPr="00092AFB">
        <w:rPr>
          <w:b/>
        </w:rPr>
        <w:t>6.1</w:t>
      </w:r>
      <w:r>
        <w:rPr>
          <w:b/>
        </w:rPr>
        <w:t>.2-</w:t>
      </w:r>
      <w:r w:rsidRPr="004D0537">
        <w:t xml:space="preserve"> Datações</w:t>
      </w:r>
      <w:r>
        <w:tab/>
      </w:r>
      <w:r>
        <w:tab/>
      </w:r>
      <w:r>
        <w:tab/>
      </w:r>
      <w:r>
        <w:tab/>
      </w:r>
      <w:r>
        <w:tab/>
      </w:r>
      <w:r>
        <w:tab/>
      </w:r>
      <w:r>
        <w:tab/>
        <w:t xml:space="preserve">     101</w:t>
      </w:r>
    </w:p>
    <w:p w:rsidR="00A34B7A" w:rsidRDefault="00A34B7A" w:rsidP="00E86ADD">
      <w:pPr>
        <w:spacing w:line="360" w:lineRule="auto"/>
        <w:ind w:left="708" w:firstLine="708"/>
        <w:jc w:val="both"/>
      </w:pPr>
      <w:r w:rsidRPr="00092AFB">
        <w:rPr>
          <w:b/>
        </w:rPr>
        <w:t>6.1.</w:t>
      </w:r>
      <w:r>
        <w:rPr>
          <w:b/>
        </w:rPr>
        <w:t>3</w:t>
      </w:r>
      <w:r w:rsidRPr="004D0537">
        <w:t>- Estruturas</w:t>
      </w:r>
      <w:r>
        <w:tab/>
      </w:r>
      <w:r>
        <w:tab/>
      </w:r>
      <w:r>
        <w:tab/>
      </w:r>
      <w:r>
        <w:tab/>
      </w:r>
      <w:r>
        <w:tab/>
      </w:r>
      <w:r>
        <w:tab/>
      </w:r>
      <w:r>
        <w:tab/>
        <w:t xml:space="preserve">     102</w:t>
      </w:r>
    </w:p>
    <w:p w:rsidR="00A34B7A" w:rsidRPr="0022625D" w:rsidRDefault="00A34B7A" w:rsidP="00E86ADD">
      <w:pPr>
        <w:spacing w:line="360" w:lineRule="auto"/>
        <w:ind w:left="708" w:firstLine="708"/>
        <w:jc w:val="both"/>
      </w:pPr>
      <w:r>
        <w:rPr>
          <w:b/>
        </w:rPr>
        <w:t>6</w:t>
      </w:r>
      <w:r w:rsidRPr="00926A7E">
        <w:t>.</w:t>
      </w:r>
      <w:r w:rsidRPr="00926A7E">
        <w:rPr>
          <w:b/>
        </w:rPr>
        <w:t>1.4</w:t>
      </w:r>
      <w:r>
        <w:t xml:space="preserve">- A indústria lítica  </w:t>
      </w:r>
      <w:r>
        <w:tab/>
      </w:r>
      <w:r>
        <w:tab/>
      </w:r>
      <w:r>
        <w:tab/>
      </w:r>
      <w:r>
        <w:tab/>
      </w:r>
      <w:r>
        <w:tab/>
      </w:r>
      <w:r>
        <w:tab/>
        <w:t xml:space="preserve">     109</w:t>
      </w:r>
    </w:p>
    <w:p w:rsidR="00A34B7A" w:rsidRPr="00926A7E" w:rsidRDefault="00A34B7A" w:rsidP="00E86ADD">
      <w:pPr>
        <w:spacing w:line="360" w:lineRule="auto"/>
        <w:ind w:left="1416" w:firstLine="708"/>
        <w:jc w:val="both"/>
      </w:pPr>
      <w:r w:rsidRPr="00926A7E">
        <w:t>6.</w:t>
      </w:r>
      <w:r w:rsidR="00D92F53">
        <w:t>1</w:t>
      </w:r>
      <w:r>
        <w:t>.</w:t>
      </w:r>
      <w:r w:rsidRPr="00926A7E">
        <w:t>1.1-Matéria-Prima</w:t>
      </w:r>
      <w:r>
        <w:tab/>
      </w:r>
      <w:r>
        <w:tab/>
      </w:r>
      <w:r>
        <w:tab/>
      </w:r>
      <w:r>
        <w:tab/>
      </w:r>
      <w:r>
        <w:tab/>
        <w:t xml:space="preserve">     110</w:t>
      </w:r>
    </w:p>
    <w:p w:rsidR="00A34B7A" w:rsidRPr="004D0537" w:rsidRDefault="00D92F53" w:rsidP="00E86ADD">
      <w:pPr>
        <w:spacing w:line="360" w:lineRule="auto"/>
        <w:ind w:left="1416" w:firstLine="708"/>
        <w:jc w:val="both"/>
      </w:pPr>
      <w:r>
        <w:t>6.1</w:t>
      </w:r>
      <w:r w:rsidR="00A34B7A" w:rsidRPr="00926A7E">
        <w:t>.1.2</w:t>
      </w:r>
      <w:r w:rsidR="00A34B7A">
        <w:rPr>
          <w:b/>
        </w:rPr>
        <w:t>-</w:t>
      </w:r>
      <w:r w:rsidR="00A34B7A" w:rsidRPr="004D0537">
        <w:t xml:space="preserve"> Percutor</w:t>
      </w:r>
      <w:r w:rsidR="00A34B7A">
        <w:t xml:space="preserve">  </w:t>
      </w:r>
      <w:r w:rsidR="00A34B7A">
        <w:tab/>
      </w:r>
      <w:r w:rsidR="00A34B7A">
        <w:tab/>
      </w:r>
      <w:r w:rsidR="00A34B7A">
        <w:tab/>
      </w:r>
      <w:r w:rsidR="00A34B7A">
        <w:tab/>
      </w:r>
      <w:r w:rsidR="00A34B7A">
        <w:tab/>
      </w:r>
      <w:r w:rsidR="00A34B7A">
        <w:tab/>
        <w:t xml:space="preserve">     113</w:t>
      </w:r>
    </w:p>
    <w:p w:rsidR="00A34B7A" w:rsidRPr="004D0537" w:rsidRDefault="00D92F53" w:rsidP="00E86ADD">
      <w:pPr>
        <w:spacing w:line="360" w:lineRule="auto"/>
        <w:ind w:left="1416" w:firstLine="708"/>
        <w:jc w:val="both"/>
      </w:pPr>
      <w:r>
        <w:t>6.1</w:t>
      </w:r>
      <w:r w:rsidR="00A34B7A" w:rsidRPr="00926A7E">
        <w:t>.1.3-</w:t>
      </w:r>
      <w:r w:rsidR="00A34B7A" w:rsidRPr="004D0537">
        <w:t xml:space="preserve"> Caracterização morfológica da indústria</w:t>
      </w:r>
      <w:r w:rsidR="00A34B7A">
        <w:t xml:space="preserve"> lítica</w:t>
      </w:r>
      <w:r w:rsidR="00A34B7A">
        <w:tab/>
      </w:r>
      <w:proofErr w:type="gramStart"/>
      <w:r w:rsidR="00A34B7A">
        <w:t xml:space="preserve">     116</w:t>
      </w:r>
      <w:proofErr w:type="gramEnd"/>
    </w:p>
    <w:p w:rsidR="00A34B7A" w:rsidRPr="004D0537" w:rsidRDefault="00A34B7A" w:rsidP="00E86ADD">
      <w:pPr>
        <w:spacing w:line="360" w:lineRule="auto"/>
        <w:ind w:left="2124" w:firstLine="708"/>
        <w:jc w:val="both"/>
      </w:pPr>
      <w:r w:rsidRPr="004D0537">
        <w:t>6.</w:t>
      </w:r>
      <w:r w:rsidR="00D92F53">
        <w:t>1</w:t>
      </w:r>
      <w:r>
        <w:t>.</w:t>
      </w:r>
      <w:r w:rsidRPr="004D0537">
        <w:t>1.3</w:t>
      </w:r>
      <w:r>
        <w:t xml:space="preserve">.1- </w:t>
      </w:r>
      <w:r w:rsidRPr="004D0537">
        <w:t>Lascas</w:t>
      </w:r>
      <w:r>
        <w:t xml:space="preserve">   </w:t>
      </w:r>
      <w:r>
        <w:tab/>
      </w:r>
      <w:r>
        <w:tab/>
      </w:r>
      <w:r>
        <w:tab/>
      </w:r>
      <w:r>
        <w:tab/>
      </w:r>
      <w:r>
        <w:tab/>
        <w:t xml:space="preserve">     116</w:t>
      </w:r>
    </w:p>
    <w:p w:rsidR="00A34B7A" w:rsidRPr="004D0537" w:rsidRDefault="00A34B7A" w:rsidP="00E86ADD">
      <w:pPr>
        <w:spacing w:line="360" w:lineRule="auto"/>
        <w:ind w:left="2124" w:firstLine="708"/>
        <w:jc w:val="both"/>
      </w:pPr>
      <w:r w:rsidRPr="004D0537">
        <w:t>6.</w:t>
      </w:r>
      <w:r w:rsidR="00D92F53">
        <w:t>1</w:t>
      </w:r>
      <w:r>
        <w:t>.</w:t>
      </w:r>
      <w:r w:rsidRPr="004D0537">
        <w:t>1.3.2</w:t>
      </w:r>
      <w:r>
        <w:t>-</w:t>
      </w:r>
      <w:r w:rsidRPr="004D0537">
        <w:t xml:space="preserve"> Núcleos</w:t>
      </w:r>
      <w:r>
        <w:t xml:space="preserve">  </w:t>
      </w:r>
      <w:r>
        <w:tab/>
      </w:r>
      <w:r>
        <w:tab/>
      </w:r>
      <w:r>
        <w:tab/>
      </w:r>
      <w:r>
        <w:tab/>
      </w:r>
      <w:r>
        <w:tab/>
        <w:t xml:space="preserve">     121</w:t>
      </w:r>
    </w:p>
    <w:p w:rsidR="00A34B7A" w:rsidRPr="004D0537" w:rsidRDefault="00D92F53" w:rsidP="00E86ADD">
      <w:pPr>
        <w:spacing w:line="360" w:lineRule="auto"/>
        <w:ind w:left="1416" w:firstLine="708"/>
        <w:jc w:val="both"/>
      </w:pPr>
      <w:r>
        <w:t>6.1</w:t>
      </w:r>
      <w:r w:rsidR="00A34B7A" w:rsidRPr="00926A7E">
        <w:t>.1.4-</w:t>
      </w:r>
      <w:r w:rsidR="00A34B7A" w:rsidRPr="004D0537">
        <w:t xml:space="preserve"> Caracterização tecno</w:t>
      </w:r>
      <w:r w:rsidR="00A34B7A">
        <w:t xml:space="preserve">-tipológica da indústria </w:t>
      </w:r>
      <w:proofErr w:type="gramStart"/>
      <w:r w:rsidR="00A34B7A">
        <w:t>lítica      124</w:t>
      </w:r>
      <w:proofErr w:type="gramEnd"/>
    </w:p>
    <w:p w:rsidR="00A34B7A" w:rsidRPr="004D0537" w:rsidRDefault="00D92F53" w:rsidP="00E86ADD">
      <w:pPr>
        <w:spacing w:line="360" w:lineRule="auto"/>
        <w:ind w:left="2124" w:firstLine="708"/>
        <w:jc w:val="both"/>
      </w:pPr>
      <w:r>
        <w:t>6.1</w:t>
      </w:r>
      <w:r w:rsidR="00A34B7A">
        <w:t>.1.4</w:t>
      </w:r>
      <w:r w:rsidR="00A34B7A" w:rsidRPr="004D0537">
        <w:t>.1</w:t>
      </w:r>
      <w:r w:rsidR="00A34B7A">
        <w:t>-</w:t>
      </w:r>
      <w:r w:rsidR="00A34B7A" w:rsidRPr="004D0537">
        <w:t xml:space="preserve"> Indústria lítica</w:t>
      </w:r>
      <w:r w:rsidR="00A34B7A">
        <w:t xml:space="preserve">      </w:t>
      </w:r>
      <w:r w:rsidR="00A34B7A">
        <w:tab/>
      </w:r>
      <w:r w:rsidR="00A34B7A">
        <w:tab/>
      </w:r>
      <w:r w:rsidR="00A34B7A">
        <w:tab/>
      </w:r>
      <w:r w:rsidR="00A34B7A">
        <w:tab/>
        <w:t xml:space="preserve">     124</w:t>
      </w:r>
    </w:p>
    <w:p w:rsidR="00A34B7A" w:rsidRPr="006929BF" w:rsidRDefault="00D92F53" w:rsidP="00E86ADD">
      <w:pPr>
        <w:spacing w:line="360" w:lineRule="auto"/>
        <w:ind w:left="2124" w:firstLine="708"/>
        <w:jc w:val="both"/>
      </w:pPr>
      <w:r>
        <w:t>6.1</w:t>
      </w:r>
      <w:r w:rsidR="00A34B7A">
        <w:t>.1.4</w:t>
      </w:r>
      <w:r w:rsidR="00A34B7A" w:rsidRPr="004D0537">
        <w:t>.2</w:t>
      </w:r>
      <w:r w:rsidR="00A34B7A">
        <w:t>-</w:t>
      </w:r>
      <w:r w:rsidR="00A34B7A" w:rsidRPr="004D0537">
        <w:t xml:space="preserve"> Análise </w:t>
      </w:r>
      <w:r w:rsidR="00A34B7A">
        <w:t xml:space="preserve">diacrítica </w:t>
      </w:r>
      <w:r w:rsidR="00A34B7A" w:rsidRPr="004D0537">
        <w:t>dos núcleos</w:t>
      </w:r>
      <w:r w:rsidR="00A34B7A">
        <w:t xml:space="preserve"> </w:t>
      </w:r>
      <w:r w:rsidR="00A34B7A">
        <w:tab/>
      </w:r>
      <w:r w:rsidR="00A34B7A">
        <w:tab/>
        <w:t xml:space="preserve">     129</w:t>
      </w:r>
    </w:p>
    <w:p w:rsidR="00A34B7A" w:rsidRPr="0024500B" w:rsidRDefault="00A34B7A" w:rsidP="00E86ADD">
      <w:pPr>
        <w:spacing w:line="360" w:lineRule="auto"/>
        <w:ind w:firstLine="708"/>
        <w:jc w:val="both"/>
      </w:pPr>
      <w:r>
        <w:rPr>
          <w:b/>
        </w:rPr>
        <w:t>6.2- Azinhal</w:t>
      </w:r>
      <w:r>
        <w:rPr>
          <w:b/>
        </w:rPr>
        <w:tab/>
      </w:r>
      <w:r>
        <w:rPr>
          <w:b/>
        </w:rPr>
        <w:tab/>
      </w:r>
      <w:r>
        <w:rPr>
          <w:b/>
        </w:rPr>
        <w:tab/>
      </w:r>
      <w:r>
        <w:rPr>
          <w:b/>
        </w:rPr>
        <w:tab/>
      </w:r>
      <w:r>
        <w:rPr>
          <w:b/>
        </w:rPr>
        <w:tab/>
      </w:r>
      <w:r>
        <w:rPr>
          <w:b/>
        </w:rPr>
        <w:tab/>
      </w:r>
      <w:r>
        <w:rPr>
          <w:b/>
        </w:rPr>
        <w:tab/>
      </w:r>
      <w:r>
        <w:rPr>
          <w:b/>
        </w:rPr>
        <w:tab/>
      </w:r>
      <w:r>
        <w:rPr>
          <w:b/>
        </w:rPr>
        <w:tab/>
      </w:r>
      <w:r w:rsidRPr="0024500B">
        <w:t xml:space="preserve">     </w:t>
      </w:r>
      <w:r>
        <w:t>134</w:t>
      </w:r>
    </w:p>
    <w:p w:rsidR="00A34B7A" w:rsidRPr="004D0537" w:rsidRDefault="00A34B7A" w:rsidP="00E86ADD">
      <w:pPr>
        <w:spacing w:line="360" w:lineRule="auto"/>
        <w:ind w:left="708" w:firstLine="708"/>
        <w:jc w:val="both"/>
      </w:pPr>
      <w:r w:rsidRPr="00092AFB">
        <w:rPr>
          <w:b/>
        </w:rPr>
        <w:t>6.</w:t>
      </w:r>
      <w:r>
        <w:rPr>
          <w:b/>
        </w:rPr>
        <w:t>2</w:t>
      </w:r>
      <w:r w:rsidRPr="00092AFB">
        <w:rPr>
          <w:b/>
        </w:rPr>
        <w:t>.</w:t>
      </w:r>
      <w:r>
        <w:rPr>
          <w:b/>
        </w:rPr>
        <w:t>1</w:t>
      </w:r>
      <w:r w:rsidRPr="004D0537">
        <w:t>- Estratigrafia</w:t>
      </w:r>
      <w:r>
        <w:tab/>
      </w:r>
      <w:r>
        <w:tab/>
      </w:r>
      <w:r>
        <w:tab/>
      </w:r>
      <w:r>
        <w:tab/>
      </w:r>
      <w:r>
        <w:tab/>
      </w:r>
      <w:r>
        <w:tab/>
      </w:r>
      <w:r>
        <w:tab/>
        <w:t xml:space="preserve">     134</w:t>
      </w:r>
    </w:p>
    <w:p w:rsidR="00A34B7A" w:rsidRPr="004D0537" w:rsidRDefault="00A34B7A" w:rsidP="00E86ADD">
      <w:pPr>
        <w:spacing w:line="360" w:lineRule="auto"/>
        <w:ind w:left="708" w:firstLine="708"/>
        <w:jc w:val="both"/>
      </w:pPr>
      <w:r w:rsidRPr="00092AFB">
        <w:rPr>
          <w:b/>
        </w:rPr>
        <w:t>6.</w:t>
      </w:r>
      <w:r>
        <w:rPr>
          <w:b/>
        </w:rPr>
        <w:t>2</w:t>
      </w:r>
      <w:r w:rsidRPr="00092AFB">
        <w:rPr>
          <w:b/>
        </w:rPr>
        <w:t>.</w:t>
      </w:r>
      <w:r>
        <w:rPr>
          <w:b/>
        </w:rPr>
        <w:t>2-</w:t>
      </w:r>
      <w:r w:rsidRPr="004D0537">
        <w:t xml:space="preserve"> Datações</w:t>
      </w:r>
      <w:r>
        <w:tab/>
      </w:r>
      <w:r>
        <w:tab/>
      </w:r>
      <w:r>
        <w:tab/>
      </w:r>
      <w:r>
        <w:tab/>
      </w:r>
      <w:r>
        <w:tab/>
      </w:r>
      <w:r>
        <w:tab/>
      </w:r>
      <w:r>
        <w:tab/>
        <w:t xml:space="preserve">     139</w:t>
      </w:r>
    </w:p>
    <w:p w:rsidR="00A34B7A" w:rsidRPr="0022625D" w:rsidRDefault="00A34B7A" w:rsidP="00E86ADD">
      <w:pPr>
        <w:spacing w:line="360" w:lineRule="auto"/>
        <w:ind w:left="708" w:firstLine="708"/>
        <w:jc w:val="both"/>
      </w:pPr>
      <w:r w:rsidRPr="00092AFB">
        <w:rPr>
          <w:b/>
        </w:rPr>
        <w:t>6.</w:t>
      </w:r>
      <w:r>
        <w:rPr>
          <w:b/>
        </w:rPr>
        <w:t>2</w:t>
      </w:r>
      <w:r w:rsidRPr="00092AFB">
        <w:rPr>
          <w:b/>
        </w:rPr>
        <w:t>.</w:t>
      </w:r>
      <w:r>
        <w:rPr>
          <w:b/>
        </w:rPr>
        <w:t>3</w:t>
      </w:r>
      <w:r w:rsidRPr="004D0537">
        <w:t xml:space="preserve">- </w:t>
      </w:r>
      <w:r>
        <w:t>A indústria lítica</w:t>
      </w:r>
      <w:r>
        <w:tab/>
      </w:r>
      <w:r>
        <w:tab/>
      </w:r>
      <w:r>
        <w:tab/>
      </w:r>
      <w:r>
        <w:tab/>
      </w:r>
      <w:r>
        <w:tab/>
      </w:r>
      <w:r>
        <w:tab/>
        <w:t xml:space="preserve">     140</w:t>
      </w:r>
    </w:p>
    <w:p w:rsidR="00A34B7A" w:rsidRPr="00BA1AC8" w:rsidRDefault="00A34B7A" w:rsidP="00E86ADD">
      <w:pPr>
        <w:spacing w:line="360" w:lineRule="auto"/>
        <w:ind w:left="1416" w:firstLine="708"/>
        <w:jc w:val="both"/>
      </w:pPr>
      <w:r w:rsidRPr="00BA1AC8">
        <w:t>6.2.3.1- Matéria-Prima</w:t>
      </w:r>
      <w:r>
        <w:t xml:space="preserve">    </w:t>
      </w:r>
      <w:r>
        <w:tab/>
      </w:r>
      <w:r>
        <w:tab/>
      </w:r>
      <w:r>
        <w:tab/>
      </w:r>
      <w:r>
        <w:tab/>
      </w:r>
      <w:r>
        <w:tab/>
        <w:t xml:space="preserve">     141</w:t>
      </w:r>
    </w:p>
    <w:p w:rsidR="00A34B7A" w:rsidRPr="00BA1AC8" w:rsidRDefault="00A34B7A" w:rsidP="00E86ADD">
      <w:pPr>
        <w:spacing w:line="360" w:lineRule="auto"/>
        <w:ind w:left="1416" w:firstLine="708"/>
        <w:jc w:val="both"/>
      </w:pPr>
      <w:r w:rsidRPr="00BA1AC8">
        <w:t>6.2.3.2- Percutor</w:t>
      </w:r>
      <w:r>
        <w:tab/>
      </w:r>
      <w:r>
        <w:tab/>
      </w:r>
      <w:r>
        <w:tab/>
      </w:r>
      <w:r>
        <w:tab/>
      </w:r>
      <w:r>
        <w:tab/>
      </w:r>
      <w:r>
        <w:tab/>
        <w:t xml:space="preserve">     143</w:t>
      </w:r>
    </w:p>
    <w:p w:rsidR="00A34B7A" w:rsidRPr="004D0537" w:rsidRDefault="00A34B7A" w:rsidP="00E86ADD">
      <w:pPr>
        <w:spacing w:line="360" w:lineRule="auto"/>
        <w:ind w:left="1416" w:firstLine="708"/>
        <w:jc w:val="both"/>
      </w:pPr>
      <w:r w:rsidRPr="00BA1AC8">
        <w:t>6.2.3.3-</w:t>
      </w:r>
      <w:r w:rsidRPr="004D0537">
        <w:t xml:space="preserve"> Caracterização morfológica da indústria</w:t>
      </w:r>
      <w:r>
        <w:t xml:space="preserve">    </w:t>
      </w:r>
      <w:r>
        <w:tab/>
        <w:t xml:space="preserve"> </w:t>
      </w:r>
      <w:r>
        <w:tab/>
        <w:t xml:space="preserve">     144</w:t>
      </w:r>
    </w:p>
    <w:p w:rsidR="00A34B7A" w:rsidRPr="004D0537" w:rsidRDefault="00A34B7A" w:rsidP="00E86ADD">
      <w:pPr>
        <w:spacing w:line="360" w:lineRule="auto"/>
        <w:ind w:left="2124" w:firstLine="708"/>
        <w:jc w:val="both"/>
      </w:pPr>
      <w:r w:rsidRPr="004D0537">
        <w:t>6.</w:t>
      </w:r>
      <w:r>
        <w:t>2.3</w:t>
      </w:r>
      <w:r w:rsidRPr="004D0537">
        <w:t>.3.1.</w:t>
      </w:r>
      <w:r>
        <w:t>-</w:t>
      </w:r>
      <w:r w:rsidRPr="004D0537">
        <w:t xml:space="preserve"> Lascas</w:t>
      </w:r>
      <w:r>
        <w:tab/>
      </w:r>
      <w:r>
        <w:tab/>
      </w:r>
      <w:r>
        <w:tab/>
      </w:r>
      <w:r>
        <w:tab/>
      </w:r>
      <w:r>
        <w:tab/>
        <w:t xml:space="preserve">     144</w:t>
      </w:r>
    </w:p>
    <w:p w:rsidR="00A34B7A" w:rsidRPr="004D0537" w:rsidRDefault="00A34B7A" w:rsidP="00E86ADD">
      <w:pPr>
        <w:spacing w:line="360" w:lineRule="auto"/>
        <w:ind w:left="2124" w:firstLine="708"/>
        <w:jc w:val="both"/>
      </w:pPr>
      <w:r w:rsidRPr="004D0537">
        <w:t>6.</w:t>
      </w:r>
      <w:r>
        <w:t>2.3</w:t>
      </w:r>
      <w:r w:rsidRPr="004D0537">
        <w:t>.3.2</w:t>
      </w:r>
      <w:r>
        <w:t>-</w:t>
      </w:r>
      <w:r w:rsidRPr="004D0537">
        <w:t xml:space="preserve"> Núcleos</w:t>
      </w:r>
      <w:r>
        <w:tab/>
      </w:r>
      <w:r>
        <w:tab/>
      </w:r>
      <w:r>
        <w:tab/>
      </w:r>
      <w:r>
        <w:tab/>
      </w:r>
      <w:r>
        <w:tab/>
        <w:t xml:space="preserve">     150</w:t>
      </w:r>
    </w:p>
    <w:p w:rsidR="00A34B7A" w:rsidRPr="004D0537" w:rsidRDefault="00A34B7A" w:rsidP="00E86ADD">
      <w:pPr>
        <w:spacing w:line="360" w:lineRule="auto"/>
        <w:ind w:left="1416" w:firstLine="708"/>
        <w:jc w:val="both"/>
      </w:pPr>
      <w:r w:rsidRPr="00BA1AC8">
        <w:t>6.2.3.4-</w:t>
      </w:r>
      <w:r w:rsidRPr="004D0537">
        <w:t xml:space="preserve"> Caracterização tecnológica</w:t>
      </w:r>
      <w:r>
        <w:t xml:space="preserve">     </w:t>
      </w:r>
      <w:r>
        <w:tab/>
      </w:r>
      <w:r>
        <w:tab/>
      </w:r>
      <w:r>
        <w:tab/>
        <w:t xml:space="preserve">     152</w:t>
      </w:r>
    </w:p>
    <w:p w:rsidR="00A34B7A" w:rsidRPr="004D0537" w:rsidRDefault="00A34B7A" w:rsidP="00E86ADD">
      <w:pPr>
        <w:spacing w:line="360" w:lineRule="auto"/>
        <w:ind w:left="2124" w:firstLine="708"/>
        <w:jc w:val="both"/>
      </w:pPr>
      <w:r>
        <w:t>6.2.3.4</w:t>
      </w:r>
      <w:r w:rsidRPr="004D0537">
        <w:t>.1</w:t>
      </w:r>
      <w:r>
        <w:t>-</w:t>
      </w:r>
      <w:r w:rsidRPr="004D0537">
        <w:t xml:space="preserve"> Indústria lítica</w:t>
      </w:r>
      <w:r>
        <w:tab/>
      </w:r>
      <w:r>
        <w:tab/>
      </w:r>
      <w:r>
        <w:tab/>
      </w:r>
      <w:r>
        <w:tab/>
        <w:t xml:space="preserve">     152</w:t>
      </w:r>
    </w:p>
    <w:p w:rsidR="00A34B7A" w:rsidRPr="00BA1AC8" w:rsidRDefault="00A34B7A" w:rsidP="00E86ADD">
      <w:pPr>
        <w:spacing w:line="360" w:lineRule="auto"/>
        <w:ind w:left="2124" w:firstLine="708"/>
        <w:jc w:val="both"/>
      </w:pPr>
      <w:r>
        <w:t>6.2.3.4</w:t>
      </w:r>
      <w:r w:rsidRPr="004D0537">
        <w:t xml:space="preserve">.2 </w:t>
      </w:r>
      <w:r>
        <w:t>-</w:t>
      </w:r>
      <w:r w:rsidRPr="004D0537">
        <w:t xml:space="preserve">Análise </w:t>
      </w:r>
      <w:r>
        <w:t xml:space="preserve">diacrítica </w:t>
      </w:r>
      <w:r w:rsidRPr="004D0537">
        <w:t>dos núcleos</w:t>
      </w:r>
      <w:r>
        <w:tab/>
      </w:r>
      <w:r>
        <w:tab/>
        <w:t xml:space="preserve">     161</w:t>
      </w:r>
    </w:p>
    <w:p w:rsidR="00A34B7A" w:rsidRDefault="00A34B7A" w:rsidP="00E86ADD">
      <w:pPr>
        <w:spacing w:line="360" w:lineRule="auto"/>
        <w:ind w:firstLine="708"/>
        <w:jc w:val="both"/>
        <w:rPr>
          <w:b/>
        </w:rPr>
      </w:pPr>
      <w:r>
        <w:rPr>
          <w:b/>
        </w:rPr>
        <w:t>6.3-Tapada do Montinho</w:t>
      </w:r>
      <w:r>
        <w:rPr>
          <w:b/>
        </w:rPr>
        <w:tab/>
      </w:r>
      <w:r>
        <w:rPr>
          <w:b/>
        </w:rPr>
        <w:tab/>
      </w:r>
      <w:r>
        <w:rPr>
          <w:b/>
        </w:rPr>
        <w:tab/>
      </w:r>
      <w:r>
        <w:rPr>
          <w:b/>
        </w:rPr>
        <w:tab/>
      </w:r>
      <w:r>
        <w:rPr>
          <w:b/>
        </w:rPr>
        <w:tab/>
      </w:r>
      <w:r>
        <w:rPr>
          <w:b/>
        </w:rPr>
        <w:tab/>
      </w:r>
      <w:r>
        <w:t xml:space="preserve">     </w:t>
      </w:r>
      <w:r>
        <w:tab/>
        <w:t xml:space="preserve">     166</w:t>
      </w:r>
    </w:p>
    <w:p w:rsidR="00A34B7A" w:rsidRPr="004D0537" w:rsidRDefault="00A34B7A" w:rsidP="00E86ADD">
      <w:pPr>
        <w:spacing w:line="360" w:lineRule="auto"/>
        <w:ind w:left="708" w:firstLine="708"/>
        <w:jc w:val="both"/>
      </w:pPr>
      <w:r w:rsidRPr="00092AFB">
        <w:rPr>
          <w:b/>
        </w:rPr>
        <w:t>6.</w:t>
      </w:r>
      <w:r>
        <w:rPr>
          <w:b/>
        </w:rPr>
        <w:t>3</w:t>
      </w:r>
      <w:r w:rsidRPr="00092AFB">
        <w:rPr>
          <w:b/>
        </w:rPr>
        <w:t>.</w:t>
      </w:r>
      <w:r>
        <w:rPr>
          <w:b/>
        </w:rPr>
        <w:t>1</w:t>
      </w:r>
      <w:r w:rsidRPr="004D0537">
        <w:t>- Estratigrafia</w:t>
      </w:r>
      <w:r>
        <w:tab/>
      </w:r>
      <w:r>
        <w:tab/>
      </w:r>
      <w:r>
        <w:tab/>
      </w:r>
      <w:r>
        <w:tab/>
      </w:r>
      <w:r>
        <w:tab/>
      </w:r>
      <w:r>
        <w:tab/>
      </w:r>
      <w:r>
        <w:tab/>
        <w:t xml:space="preserve">     166</w:t>
      </w:r>
    </w:p>
    <w:p w:rsidR="00A34B7A" w:rsidRDefault="00EA3774" w:rsidP="00E86ADD">
      <w:pPr>
        <w:spacing w:line="360" w:lineRule="auto"/>
        <w:ind w:left="708" w:firstLine="708"/>
        <w:jc w:val="both"/>
      </w:pPr>
      <w:r w:rsidRPr="00EA3774">
        <w:rPr>
          <w:b/>
          <w:noProof/>
        </w:rPr>
        <w:pict>
          <v:shape id="_x0000_s1720" type="#_x0000_t202" style="position:absolute;left:0;text-align:left;margin-left:393.8pt;margin-top:44.75pt;width:41.05pt;height:32.65pt;z-index:251864064;mso-width-relative:margin;mso-height-relative:margin" stroked="f">
            <v:textbox style="mso-next-textbox:#_x0000_s1720">
              <w:txbxContent>
                <w:p w:rsidR="00B34B0F" w:rsidRDefault="00B34B0F" w:rsidP="001321C3"/>
              </w:txbxContent>
            </v:textbox>
          </v:shape>
        </w:pict>
      </w:r>
      <w:r w:rsidR="00A34B7A" w:rsidRPr="00092AFB">
        <w:rPr>
          <w:b/>
        </w:rPr>
        <w:t>6.</w:t>
      </w:r>
      <w:r w:rsidR="00A34B7A">
        <w:rPr>
          <w:b/>
        </w:rPr>
        <w:t>3</w:t>
      </w:r>
      <w:r w:rsidR="00A34B7A" w:rsidRPr="00092AFB">
        <w:rPr>
          <w:b/>
        </w:rPr>
        <w:t>.</w:t>
      </w:r>
      <w:r w:rsidR="00A34B7A">
        <w:rPr>
          <w:b/>
        </w:rPr>
        <w:t>2</w:t>
      </w:r>
      <w:r w:rsidR="00A34B7A" w:rsidRPr="004D0537">
        <w:t xml:space="preserve"> </w:t>
      </w:r>
      <w:r w:rsidR="00A34B7A">
        <w:t xml:space="preserve">– </w:t>
      </w:r>
      <w:r w:rsidR="00A34B7A" w:rsidRPr="004D0537">
        <w:t>Datações</w:t>
      </w:r>
      <w:r w:rsidR="00A34B7A">
        <w:tab/>
      </w:r>
      <w:r w:rsidR="00A34B7A">
        <w:tab/>
      </w:r>
      <w:r w:rsidR="00A34B7A">
        <w:tab/>
      </w:r>
      <w:r w:rsidR="00A34B7A">
        <w:tab/>
      </w:r>
      <w:r w:rsidR="00A34B7A">
        <w:tab/>
      </w:r>
      <w:r w:rsidR="00A34B7A">
        <w:tab/>
      </w:r>
      <w:r w:rsidR="00A34B7A">
        <w:tab/>
        <w:t xml:space="preserve">     167</w:t>
      </w:r>
    </w:p>
    <w:p w:rsidR="00A34B7A" w:rsidRPr="004D0537" w:rsidRDefault="00A34B7A" w:rsidP="00E86ADD">
      <w:pPr>
        <w:spacing w:line="360" w:lineRule="auto"/>
        <w:ind w:left="708" w:firstLine="708"/>
        <w:jc w:val="both"/>
      </w:pPr>
      <w:r>
        <w:rPr>
          <w:b/>
        </w:rPr>
        <w:lastRenderedPageBreak/>
        <w:t>6</w:t>
      </w:r>
      <w:r w:rsidRPr="004C5373">
        <w:t>.</w:t>
      </w:r>
      <w:r w:rsidRPr="004C5373">
        <w:rPr>
          <w:b/>
        </w:rPr>
        <w:t>3.3</w:t>
      </w:r>
      <w:r>
        <w:t>- Ornamentos, Ocre</w:t>
      </w:r>
      <w:r>
        <w:tab/>
      </w:r>
      <w:r>
        <w:tab/>
      </w:r>
      <w:r>
        <w:tab/>
      </w:r>
      <w:r>
        <w:tab/>
      </w:r>
      <w:r>
        <w:tab/>
      </w:r>
      <w:r>
        <w:tab/>
        <w:t xml:space="preserve">     169</w:t>
      </w:r>
    </w:p>
    <w:p w:rsidR="00A34B7A" w:rsidRDefault="00A34B7A" w:rsidP="00E86ADD">
      <w:pPr>
        <w:spacing w:line="360" w:lineRule="auto"/>
        <w:ind w:left="708" w:firstLine="708"/>
        <w:jc w:val="both"/>
        <w:rPr>
          <w:b/>
        </w:rPr>
      </w:pPr>
      <w:r w:rsidRPr="004D0537">
        <w:rPr>
          <w:b/>
        </w:rPr>
        <w:t>6.</w:t>
      </w:r>
      <w:r>
        <w:rPr>
          <w:b/>
        </w:rPr>
        <w:t>3</w:t>
      </w:r>
      <w:r w:rsidRPr="004D0537">
        <w:rPr>
          <w:b/>
        </w:rPr>
        <w:t>.</w:t>
      </w:r>
      <w:r>
        <w:rPr>
          <w:b/>
        </w:rPr>
        <w:t xml:space="preserve">4- </w:t>
      </w:r>
      <w:r w:rsidRPr="004C5373">
        <w:t>A indústria lítica</w:t>
      </w:r>
      <w:r>
        <w:tab/>
      </w:r>
      <w:r>
        <w:tab/>
      </w:r>
      <w:r>
        <w:tab/>
      </w:r>
      <w:r>
        <w:tab/>
      </w:r>
      <w:r>
        <w:tab/>
      </w:r>
      <w:r>
        <w:tab/>
        <w:t xml:space="preserve">     171</w:t>
      </w:r>
    </w:p>
    <w:p w:rsidR="00A34B7A" w:rsidRDefault="00A34B7A" w:rsidP="00E86ADD">
      <w:pPr>
        <w:spacing w:line="360" w:lineRule="auto"/>
        <w:ind w:left="1416" w:firstLine="708"/>
        <w:jc w:val="both"/>
      </w:pPr>
      <w:r w:rsidRPr="00F531E8">
        <w:t>6.3.4.1.</w:t>
      </w:r>
      <w:r>
        <w:t>-</w:t>
      </w:r>
      <w:r w:rsidRPr="00F946FD">
        <w:t>Série Patinada</w:t>
      </w:r>
      <w:r w:rsidRPr="004D0537">
        <w:t xml:space="preserve"> </w:t>
      </w:r>
      <w:r>
        <w:tab/>
      </w:r>
      <w:r>
        <w:tab/>
      </w:r>
      <w:r>
        <w:tab/>
      </w:r>
      <w:r>
        <w:tab/>
      </w:r>
      <w:r>
        <w:tab/>
        <w:t xml:space="preserve">     172</w:t>
      </w:r>
    </w:p>
    <w:p w:rsidR="00A34B7A" w:rsidRDefault="00A34B7A" w:rsidP="00E86ADD">
      <w:pPr>
        <w:spacing w:line="360" w:lineRule="auto"/>
        <w:ind w:left="2124" w:firstLine="708"/>
        <w:jc w:val="both"/>
        <w:rPr>
          <w:b/>
        </w:rPr>
      </w:pPr>
      <w:r w:rsidRPr="00F946FD">
        <w:t>6.3.</w:t>
      </w:r>
      <w:r>
        <w:t>4</w:t>
      </w:r>
      <w:r w:rsidRPr="00F946FD">
        <w:t>.1</w:t>
      </w:r>
      <w:r>
        <w:t>.1</w:t>
      </w:r>
      <w:r w:rsidRPr="00F946FD">
        <w:t>-</w:t>
      </w:r>
      <w:r w:rsidRPr="004D0537">
        <w:t>Matéria-Prima</w:t>
      </w:r>
      <w:r>
        <w:tab/>
        <w:t xml:space="preserve">  </w:t>
      </w:r>
      <w:r>
        <w:tab/>
      </w:r>
      <w:r>
        <w:tab/>
      </w:r>
      <w:r>
        <w:tab/>
        <w:t xml:space="preserve">     172</w:t>
      </w:r>
    </w:p>
    <w:p w:rsidR="00A34B7A" w:rsidRPr="004D0537" w:rsidRDefault="00A34B7A" w:rsidP="00E86ADD">
      <w:pPr>
        <w:spacing w:line="360" w:lineRule="auto"/>
        <w:ind w:left="2124" w:firstLine="708"/>
        <w:jc w:val="both"/>
      </w:pPr>
      <w:r w:rsidRPr="00F946FD">
        <w:t>6.3.</w:t>
      </w:r>
      <w:r>
        <w:t>4.</w:t>
      </w:r>
      <w:r w:rsidRPr="00F946FD">
        <w:t>1.2-</w:t>
      </w:r>
      <w:r w:rsidRPr="004D0537">
        <w:t xml:space="preserve"> Percutor</w:t>
      </w:r>
      <w:r>
        <w:tab/>
      </w:r>
      <w:r>
        <w:tab/>
      </w:r>
      <w:r>
        <w:tab/>
      </w:r>
      <w:r>
        <w:tab/>
      </w:r>
      <w:r>
        <w:tab/>
        <w:t xml:space="preserve">     173</w:t>
      </w:r>
    </w:p>
    <w:p w:rsidR="00A34B7A" w:rsidRPr="004D0537" w:rsidRDefault="00A34B7A" w:rsidP="00E86ADD">
      <w:pPr>
        <w:spacing w:line="360" w:lineRule="auto"/>
        <w:ind w:left="2124" w:firstLine="708"/>
        <w:jc w:val="both"/>
      </w:pPr>
      <w:r w:rsidRPr="00F946FD">
        <w:t>6.3.</w:t>
      </w:r>
      <w:r>
        <w:t>4.</w:t>
      </w:r>
      <w:r w:rsidRPr="00F946FD">
        <w:t>1.3</w:t>
      </w:r>
      <w:r>
        <w:rPr>
          <w:b/>
        </w:rPr>
        <w:t>-</w:t>
      </w:r>
      <w:r w:rsidRPr="004D0537">
        <w:t xml:space="preserve"> Caracterização morfológica da indústria</w:t>
      </w:r>
      <w:r>
        <w:t xml:space="preserve"> </w:t>
      </w:r>
      <w:r>
        <w:tab/>
        <w:t xml:space="preserve">     173</w:t>
      </w:r>
    </w:p>
    <w:p w:rsidR="00A34B7A" w:rsidRPr="004D0537" w:rsidRDefault="00A34B7A" w:rsidP="00E86ADD">
      <w:pPr>
        <w:spacing w:line="360" w:lineRule="auto"/>
        <w:ind w:left="2832" w:firstLine="708"/>
        <w:jc w:val="both"/>
      </w:pPr>
      <w:r w:rsidRPr="004D0537">
        <w:t>6.</w:t>
      </w:r>
      <w:r>
        <w:t>3</w:t>
      </w:r>
      <w:r w:rsidRPr="004D0537">
        <w:t>.</w:t>
      </w:r>
      <w:r>
        <w:t>4.1.3</w:t>
      </w:r>
      <w:r w:rsidRPr="004D0537">
        <w:t>.1.</w:t>
      </w:r>
      <w:r>
        <w:t>-</w:t>
      </w:r>
      <w:r w:rsidRPr="004D0537">
        <w:t xml:space="preserve"> Lascas</w:t>
      </w:r>
      <w:r>
        <w:tab/>
      </w:r>
      <w:r>
        <w:tab/>
      </w:r>
      <w:r>
        <w:tab/>
      </w:r>
      <w:r>
        <w:tab/>
        <w:t xml:space="preserve">     173</w:t>
      </w:r>
    </w:p>
    <w:p w:rsidR="00A34B7A" w:rsidRPr="004D0537" w:rsidRDefault="00A34B7A" w:rsidP="00E86ADD">
      <w:pPr>
        <w:spacing w:line="360" w:lineRule="auto"/>
        <w:ind w:left="2832" w:firstLine="708"/>
        <w:jc w:val="both"/>
      </w:pPr>
      <w:r w:rsidRPr="004D0537">
        <w:t>6.</w:t>
      </w:r>
      <w:r>
        <w:t>3</w:t>
      </w:r>
      <w:r w:rsidRPr="004D0537">
        <w:t>.</w:t>
      </w:r>
      <w:r>
        <w:t>1.1.</w:t>
      </w:r>
      <w:r w:rsidRPr="004D0537">
        <w:t>3.2</w:t>
      </w:r>
      <w:r>
        <w:t>-</w:t>
      </w:r>
      <w:r w:rsidRPr="004D0537">
        <w:t xml:space="preserve"> Núcleos</w:t>
      </w:r>
      <w:r>
        <w:tab/>
      </w:r>
      <w:r>
        <w:tab/>
      </w:r>
      <w:r>
        <w:tab/>
      </w:r>
      <w:r>
        <w:tab/>
        <w:t xml:space="preserve">     178</w:t>
      </w:r>
    </w:p>
    <w:p w:rsidR="00A34B7A" w:rsidRPr="004D0537" w:rsidRDefault="00A34B7A" w:rsidP="00E86ADD">
      <w:pPr>
        <w:spacing w:line="360" w:lineRule="auto"/>
        <w:ind w:left="2124" w:firstLine="708"/>
        <w:jc w:val="both"/>
      </w:pPr>
      <w:r w:rsidRPr="00F946FD">
        <w:t>6.3.</w:t>
      </w:r>
      <w:r>
        <w:t>4.</w:t>
      </w:r>
      <w:r w:rsidRPr="00F946FD">
        <w:t>1.4</w:t>
      </w:r>
      <w:r>
        <w:rPr>
          <w:b/>
        </w:rPr>
        <w:t>-</w:t>
      </w:r>
      <w:r w:rsidRPr="004D0537">
        <w:t xml:space="preserve"> Caracterização tecnológica</w:t>
      </w:r>
      <w:r>
        <w:tab/>
      </w:r>
      <w:r>
        <w:tab/>
        <w:t xml:space="preserve">     180</w:t>
      </w:r>
    </w:p>
    <w:p w:rsidR="00A34B7A" w:rsidRPr="004D0537" w:rsidRDefault="00A34B7A" w:rsidP="00E86ADD">
      <w:pPr>
        <w:spacing w:line="360" w:lineRule="auto"/>
        <w:ind w:left="2832" w:firstLine="708"/>
        <w:jc w:val="both"/>
      </w:pPr>
      <w:r>
        <w:t>6.3.4.1.4</w:t>
      </w:r>
      <w:r w:rsidRPr="004D0537">
        <w:t>.1</w:t>
      </w:r>
      <w:r>
        <w:t>-</w:t>
      </w:r>
      <w:r w:rsidRPr="004D0537">
        <w:t xml:space="preserve"> Indústria lítica</w:t>
      </w:r>
      <w:r>
        <w:tab/>
      </w:r>
      <w:r>
        <w:tab/>
      </w:r>
      <w:r>
        <w:tab/>
        <w:t xml:space="preserve">     180</w:t>
      </w:r>
    </w:p>
    <w:p w:rsidR="00A34B7A" w:rsidRPr="004D0537" w:rsidRDefault="00A34B7A" w:rsidP="00E86ADD">
      <w:pPr>
        <w:spacing w:line="360" w:lineRule="auto"/>
        <w:ind w:left="2832" w:firstLine="708"/>
        <w:jc w:val="both"/>
      </w:pPr>
      <w:r>
        <w:t>6.3.4.1.4</w:t>
      </w:r>
      <w:r w:rsidRPr="004D0537">
        <w:t>.2</w:t>
      </w:r>
      <w:r>
        <w:t>-</w:t>
      </w:r>
      <w:r w:rsidRPr="004D0537">
        <w:t xml:space="preserve"> Análise </w:t>
      </w:r>
      <w:r>
        <w:t xml:space="preserve">diacrítica </w:t>
      </w:r>
      <w:r w:rsidRPr="004D0537">
        <w:t>dos núcleos</w:t>
      </w:r>
      <w:r>
        <w:tab/>
      </w:r>
      <w:proofErr w:type="gramStart"/>
      <w:r>
        <w:t xml:space="preserve">     181</w:t>
      </w:r>
      <w:proofErr w:type="gramEnd"/>
    </w:p>
    <w:p w:rsidR="00A34B7A" w:rsidRDefault="00A34B7A" w:rsidP="00E86ADD">
      <w:pPr>
        <w:spacing w:line="360" w:lineRule="auto"/>
        <w:ind w:left="1416" w:firstLine="708"/>
        <w:jc w:val="both"/>
      </w:pPr>
      <w:r w:rsidRPr="00F531E8">
        <w:t>6.3.4.2</w:t>
      </w:r>
      <w:r>
        <w:rPr>
          <w:b/>
        </w:rPr>
        <w:t xml:space="preserve">- </w:t>
      </w:r>
      <w:r>
        <w:t>Série fresca</w:t>
      </w:r>
      <w:r>
        <w:tab/>
      </w:r>
      <w:r>
        <w:tab/>
      </w:r>
      <w:r>
        <w:tab/>
      </w:r>
      <w:r>
        <w:tab/>
      </w:r>
      <w:r>
        <w:tab/>
      </w:r>
      <w:r>
        <w:tab/>
        <w:t xml:space="preserve">     182</w:t>
      </w:r>
    </w:p>
    <w:p w:rsidR="00A34B7A" w:rsidRDefault="00A34B7A" w:rsidP="00E86ADD">
      <w:pPr>
        <w:spacing w:line="360" w:lineRule="auto"/>
        <w:ind w:left="2124" w:firstLine="708"/>
        <w:jc w:val="both"/>
        <w:rPr>
          <w:b/>
        </w:rPr>
      </w:pPr>
      <w:r w:rsidRPr="00F946FD">
        <w:t>6.3.</w:t>
      </w:r>
      <w:r>
        <w:t>4.</w:t>
      </w:r>
      <w:r w:rsidRPr="00F946FD">
        <w:t>2.1-</w:t>
      </w:r>
      <w:r w:rsidRPr="004D0537">
        <w:t>Matéria-Prima</w:t>
      </w:r>
      <w:r>
        <w:t xml:space="preserve"> </w:t>
      </w:r>
      <w:r>
        <w:tab/>
      </w:r>
      <w:r>
        <w:tab/>
        <w:t xml:space="preserve">   </w:t>
      </w:r>
      <w:r>
        <w:tab/>
      </w:r>
      <w:r>
        <w:tab/>
        <w:t xml:space="preserve">     182</w:t>
      </w:r>
    </w:p>
    <w:p w:rsidR="00A34B7A" w:rsidRPr="004D0537" w:rsidRDefault="00A34B7A" w:rsidP="00E86ADD">
      <w:pPr>
        <w:spacing w:line="360" w:lineRule="auto"/>
        <w:ind w:left="2124" w:firstLine="708"/>
        <w:jc w:val="both"/>
      </w:pPr>
      <w:r w:rsidRPr="00F946FD">
        <w:t>6.3.</w:t>
      </w:r>
      <w:r>
        <w:t>4.</w:t>
      </w:r>
      <w:r w:rsidRPr="00F946FD">
        <w:t>2.2-</w:t>
      </w:r>
      <w:r w:rsidRPr="004D0537">
        <w:t xml:space="preserve"> Percutor</w:t>
      </w:r>
      <w:r>
        <w:tab/>
      </w:r>
      <w:r>
        <w:tab/>
      </w:r>
      <w:r>
        <w:tab/>
      </w:r>
      <w:r>
        <w:tab/>
      </w:r>
      <w:r>
        <w:tab/>
        <w:t xml:space="preserve">     184</w:t>
      </w:r>
    </w:p>
    <w:p w:rsidR="00A34B7A" w:rsidRPr="004D0537" w:rsidRDefault="00A34B7A" w:rsidP="00E86ADD">
      <w:pPr>
        <w:spacing w:line="360" w:lineRule="auto"/>
        <w:ind w:left="2124" w:firstLine="708"/>
        <w:jc w:val="both"/>
      </w:pPr>
      <w:r w:rsidRPr="00F946FD">
        <w:t>6.3.</w:t>
      </w:r>
      <w:r>
        <w:t>4.</w:t>
      </w:r>
      <w:r w:rsidRPr="00F946FD">
        <w:t>2.3</w:t>
      </w:r>
      <w:r>
        <w:rPr>
          <w:b/>
        </w:rPr>
        <w:t>-</w:t>
      </w:r>
      <w:r w:rsidRPr="004D0537">
        <w:t xml:space="preserve"> Caracterização morfológica da </w:t>
      </w:r>
      <w:proofErr w:type="gramStart"/>
      <w:r w:rsidRPr="004D0537">
        <w:t>indústria</w:t>
      </w:r>
      <w:r>
        <w:t xml:space="preserve">       185</w:t>
      </w:r>
      <w:proofErr w:type="gramEnd"/>
    </w:p>
    <w:p w:rsidR="00A34B7A" w:rsidRPr="004D0537" w:rsidRDefault="00A34B7A" w:rsidP="00E86ADD">
      <w:pPr>
        <w:spacing w:line="360" w:lineRule="auto"/>
        <w:ind w:left="2832" w:firstLine="708"/>
        <w:jc w:val="both"/>
      </w:pPr>
      <w:r w:rsidRPr="004D0537">
        <w:t>6.</w:t>
      </w:r>
      <w:r>
        <w:t>3</w:t>
      </w:r>
      <w:r w:rsidRPr="004D0537">
        <w:t>.</w:t>
      </w:r>
      <w:r>
        <w:t>4.2.3</w:t>
      </w:r>
      <w:r w:rsidRPr="004D0537">
        <w:t>.1.</w:t>
      </w:r>
      <w:r>
        <w:t>-</w:t>
      </w:r>
      <w:r w:rsidRPr="004D0537">
        <w:t xml:space="preserve"> Lascas</w:t>
      </w:r>
      <w:r>
        <w:tab/>
      </w:r>
      <w:r>
        <w:tab/>
      </w:r>
      <w:r>
        <w:tab/>
      </w:r>
      <w:r>
        <w:tab/>
        <w:t xml:space="preserve">     186</w:t>
      </w:r>
    </w:p>
    <w:p w:rsidR="00A34B7A" w:rsidRPr="004D0537" w:rsidRDefault="00A34B7A" w:rsidP="00E86ADD">
      <w:pPr>
        <w:spacing w:line="360" w:lineRule="auto"/>
        <w:ind w:left="2832" w:firstLine="708"/>
        <w:jc w:val="both"/>
      </w:pPr>
      <w:r w:rsidRPr="004D0537">
        <w:t>6.</w:t>
      </w:r>
      <w:r>
        <w:t>3.4.2.</w:t>
      </w:r>
      <w:r w:rsidRPr="004D0537">
        <w:t>3.2</w:t>
      </w:r>
      <w:r>
        <w:t>-</w:t>
      </w:r>
      <w:r w:rsidRPr="004D0537">
        <w:t xml:space="preserve"> Núcleos</w:t>
      </w:r>
      <w:r>
        <w:tab/>
      </w:r>
      <w:r>
        <w:tab/>
      </w:r>
      <w:r>
        <w:tab/>
      </w:r>
      <w:r>
        <w:tab/>
        <w:t xml:space="preserve">     192</w:t>
      </w:r>
    </w:p>
    <w:p w:rsidR="00A34B7A" w:rsidRPr="004D0537" w:rsidRDefault="00A34B7A" w:rsidP="00E86ADD">
      <w:pPr>
        <w:spacing w:line="360" w:lineRule="auto"/>
        <w:ind w:left="2124" w:firstLine="708"/>
        <w:jc w:val="both"/>
      </w:pPr>
      <w:r w:rsidRPr="00F946FD">
        <w:t>6.3.</w:t>
      </w:r>
      <w:r>
        <w:t>4.</w:t>
      </w:r>
      <w:r w:rsidRPr="00F946FD">
        <w:t>2.4-</w:t>
      </w:r>
      <w:r w:rsidRPr="004D0537">
        <w:t xml:space="preserve"> Caracterização tecnológica</w:t>
      </w:r>
      <w:r>
        <w:t xml:space="preserve"> </w:t>
      </w:r>
      <w:r>
        <w:tab/>
      </w:r>
      <w:r>
        <w:tab/>
        <w:t xml:space="preserve">     195</w:t>
      </w:r>
    </w:p>
    <w:p w:rsidR="00A34B7A" w:rsidRPr="004D0537" w:rsidRDefault="00A34B7A" w:rsidP="00E86ADD">
      <w:pPr>
        <w:spacing w:line="360" w:lineRule="auto"/>
        <w:ind w:left="2832" w:firstLine="708"/>
        <w:jc w:val="both"/>
      </w:pPr>
      <w:r>
        <w:t>6.3.4.2.4</w:t>
      </w:r>
      <w:r w:rsidRPr="004D0537">
        <w:t>.1</w:t>
      </w:r>
      <w:r>
        <w:t>-</w:t>
      </w:r>
      <w:r w:rsidRPr="004D0537">
        <w:t xml:space="preserve"> Indústria lítica</w:t>
      </w:r>
      <w:r>
        <w:tab/>
      </w:r>
      <w:r>
        <w:tab/>
      </w:r>
      <w:r>
        <w:tab/>
        <w:t xml:space="preserve">     195</w:t>
      </w:r>
    </w:p>
    <w:p w:rsidR="00A34B7A" w:rsidRDefault="00A34B7A" w:rsidP="00E86ADD">
      <w:pPr>
        <w:spacing w:line="360" w:lineRule="auto"/>
        <w:ind w:left="2832" w:firstLine="708"/>
        <w:jc w:val="both"/>
      </w:pPr>
      <w:r>
        <w:t>6.3.4.2.4</w:t>
      </w:r>
      <w:r w:rsidRPr="004D0537">
        <w:t>.2</w:t>
      </w:r>
      <w:r>
        <w:t>-</w:t>
      </w:r>
      <w:r w:rsidRPr="004D0537">
        <w:t xml:space="preserve"> Análise </w:t>
      </w:r>
      <w:r>
        <w:t>diacrítica</w:t>
      </w:r>
      <w:r w:rsidRPr="004D0537">
        <w:t xml:space="preserve"> dos núcleos</w:t>
      </w:r>
      <w:r>
        <w:tab/>
      </w:r>
      <w:proofErr w:type="gramStart"/>
      <w:r>
        <w:t xml:space="preserve">     200</w:t>
      </w:r>
      <w:proofErr w:type="gramEnd"/>
    </w:p>
    <w:p w:rsidR="00A34B7A" w:rsidRDefault="00A34B7A" w:rsidP="00E86ADD">
      <w:pPr>
        <w:spacing w:line="360" w:lineRule="auto"/>
        <w:ind w:left="2832" w:firstLine="708"/>
        <w:jc w:val="both"/>
      </w:pPr>
      <w:r>
        <w:t xml:space="preserve">6.3.4.2.4.3- Remontagens  </w:t>
      </w:r>
      <w:r>
        <w:tab/>
      </w:r>
      <w:r>
        <w:tab/>
      </w:r>
      <w:r>
        <w:tab/>
        <w:t xml:space="preserve">     204</w:t>
      </w:r>
    </w:p>
    <w:p w:rsidR="00A34B7A" w:rsidRPr="00465B60" w:rsidRDefault="00A34B7A" w:rsidP="00E86ADD">
      <w:pPr>
        <w:spacing w:line="360" w:lineRule="auto"/>
        <w:ind w:left="2832" w:firstLine="708"/>
        <w:jc w:val="both"/>
      </w:pPr>
    </w:p>
    <w:p w:rsidR="00A34B7A" w:rsidRPr="006E621A" w:rsidRDefault="00A34B7A" w:rsidP="00E86ADD">
      <w:pPr>
        <w:spacing w:line="360" w:lineRule="auto"/>
        <w:jc w:val="both"/>
      </w:pPr>
      <w:r>
        <w:rPr>
          <w:b/>
          <w:u w:val="single"/>
        </w:rPr>
        <w:t xml:space="preserve">VII- </w:t>
      </w:r>
      <w:r w:rsidRPr="00706E15">
        <w:rPr>
          <w:b/>
          <w:u w:val="single"/>
        </w:rPr>
        <w:t>Discussão</w:t>
      </w:r>
      <w:r w:rsidRPr="006E621A">
        <w:rPr>
          <w:b/>
        </w:rPr>
        <w:tab/>
      </w:r>
      <w:r w:rsidRPr="006E621A">
        <w:rPr>
          <w:b/>
        </w:rPr>
        <w:tab/>
      </w:r>
      <w:r w:rsidRPr="006E621A">
        <w:rPr>
          <w:b/>
        </w:rPr>
        <w:tab/>
      </w:r>
      <w:r w:rsidRPr="006E621A">
        <w:rPr>
          <w:b/>
        </w:rPr>
        <w:tab/>
      </w:r>
      <w:r w:rsidRPr="006E621A">
        <w:rPr>
          <w:b/>
        </w:rPr>
        <w:tab/>
      </w:r>
      <w:r w:rsidRPr="006E621A">
        <w:rPr>
          <w:b/>
        </w:rPr>
        <w:tab/>
      </w:r>
      <w:r>
        <w:rPr>
          <w:b/>
        </w:rPr>
        <w:tab/>
      </w:r>
      <w:r>
        <w:rPr>
          <w:b/>
        </w:rPr>
        <w:tab/>
      </w:r>
      <w:r>
        <w:rPr>
          <w:b/>
        </w:rPr>
        <w:tab/>
        <w:t xml:space="preserve">     </w:t>
      </w:r>
      <w:r>
        <w:t>206</w:t>
      </w:r>
    </w:p>
    <w:p w:rsidR="00A34B7A" w:rsidRPr="00465B60" w:rsidRDefault="00A34B7A" w:rsidP="00E86ADD">
      <w:pPr>
        <w:spacing w:line="360" w:lineRule="auto"/>
        <w:jc w:val="both"/>
      </w:pPr>
      <w:r w:rsidRPr="006E621A">
        <w:rPr>
          <w:b/>
        </w:rPr>
        <w:tab/>
      </w:r>
      <w:r>
        <w:rPr>
          <w:b/>
        </w:rPr>
        <w:t xml:space="preserve">      </w:t>
      </w:r>
      <w:r>
        <w:rPr>
          <w:b/>
        </w:rPr>
        <w:tab/>
      </w:r>
      <w:r>
        <w:rPr>
          <w:b/>
        </w:rPr>
        <w:tab/>
      </w:r>
      <w:r>
        <w:rPr>
          <w:b/>
        </w:rPr>
        <w:tab/>
      </w:r>
      <w:r>
        <w:rPr>
          <w:b/>
        </w:rPr>
        <w:tab/>
      </w:r>
      <w:r>
        <w:rPr>
          <w:b/>
        </w:rPr>
        <w:tab/>
      </w:r>
      <w:r>
        <w:rPr>
          <w:b/>
        </w:rPr>
        <w:tab/>
      </w:r>
      <w:r>
        <w:rPr>
          <w:b/>
        </w:rPr>
        <w:tab/>
      </w:r>
    </w:p>
    <w:p w:rsidR="00A34B7A" w:rsidRDefault="00A34B7A" w:rsidP="00E86ADD">
      <w:pPr>
        <w:pStyle w:val="Corpodetexto"/>
        <w:spacing w:after="0" w:line="360" w:lineRule="auto"/>
        <w:ind w:right="-136"/>
        <w:jc w:val="both"/>
        <w:rPr>
          <w:b/>
          <w:u w:val="single"/>
        </w:rPr>
      </w:pPr>
    </w:p>
    <w:p w:rsidR="00A34B7A" w:rsidRPr="006E621A" w:rsidRDefault="00A34B7A" w:rsidP="00E86ADD">
      <w:pPr>
        <w:pStyle w:val="Corpodetexto"/>
        <w:spacing w:after="0" w:line="360" w:lineRule="auto"/>
        <w:ind w:right="-136"/>
        <w:jc w:val="both"/>
        <w:rPr>
          <w:b/>
        </w:rPr>
      </w:pPr>
      <w:r w:rsidRPr="00F75EFE">
        <w:rPr>
          <w:b/>
          <w:u w:val="single"/>
        </w:rPr>
        <w:t>V</w:t>
      </w:r>
      <w:r>
        <w:rPr>
          <w:b/>
          <w:u w:val="single"/>
        </w:rPr>
        <w:t xml:space="preserve">III- Balanço, </w:t>
      </w:r>
      <w:r w:rsidRPr="00F75EFE">
        <w:rPr>
          <w:b/>
          <w:u w:val="single"/>
        </w:rPr>
        <w:t>perspetivas</w:t>
      </w:r>
      <w:r>
        <w:rPr>
          <w:b/>
          <w:u w:val="single"/>
        </w:rPr>
        <w:t xml:space="preserve"> e conclusões</w:t>
      </w:r>
      <w:r>
        <w:rPr>
          <w:b/>
        </w:rPr>
        <w:tab/>
      </w:r>
      <w:r>
        <w:rPr>
          <w:b/>
        </w:rPr>
        <w:tab/>
      </w:r>
      <w:r>
        <w:rPr>
          <w:b/>
        </w:rPr>
        <w:tab/>
      </w:r>
      <w:r>
        <w:rPr>
          <w:b/>
        </w:rPr>
        <w:tab/>
      </w:r>
      <w:r>
        <w:rPr>
          <w:b/>
        </w:rPr>
        <w:tab/>
      </w:r>
      <w:r>
        <w:rPr>
          <w:b/>
        </w:rPr>
        <w:tab/>
        <w:t xml:space="preserve">     </w:t>
      </w:r>
      <w:r>
        <w:t>244</w:t>
      </w:r>
    </w:p>
    <w:p w:rsidR="00A34B7A" w:rsidRDefault="00A34B7A" w:rsidP="00E86ADD">
      <w:pPr>
        <w:spacing w:line="360" w:lineRule="auto"/>
        <w:jc w:val="both"/>
        <w:rPr>
          <w:b/>
          <w:u w:val="single"/>
        </w:rPr>
      </w:pPr>
    </w:p>
    <w:p w:rsidR="00A34B7A" w:rsidRDefault="00A34B7A" w:rsidP="00E86ADD">
      <w:pPr>
        <w:spacing w:line="360" w:lineRule="auto"/>
        <w:jc w:val="both"/>
        <w:rPr>
          <w:b/>
          <w:u w:val="single"/>
        </w:rPr>
      </w:pPr>
    </w:p>
    <w:p w:rsidR="00A34B7A" w:rsidRDefault="00A34B7A" w:rsidP="00E86ADD">
      <w:pPr>
        <w:spacing w:line="360" w:lineRule="auto"/>
        <w:jc w:val="both"/>
        <w:rPr>
          <w:b/>
          <w:u w:val="single"/>
        </w:rPr>
      </w:pPr>
      <w:r>
        <w:rPr>
          <w:b/>
          <w:u w:val="single"/>
        </w:rPr>
        <w:t xml:space="preserve">X- </w:t>
      </w:r>
      <w:r w:rsidRPr="002D4B57">
        <w:rPr>
          <w:b/>
          <w:u w:val="single"/>
        </w:rPr>
        <w:t>Bibliografia</w:t>
      </w:r>
      <w:r w:rsidRPr="006E621A">
        <w:rPr>
          <w:b/>
        </w:rPr>
        <w:tab/>
      </w:r>
      <w:r w:rsidRPr="006E621A">
        <w:rPr>
          <w:b/>
        </w:rPr>
        <w:tab/>
      </w:r>
      <w:r w:rsidRPr="006E621A">
        <w:rPr>
          <w:b/>
        </w:rPr>
        <w:tab/>
      </w:r>
      <w:r>
        <w:rPr>
          <w:b/>
        </w:rPr>
        <w:tab/>
      </w:r>
      <w:r>
        <w:rPr>
          <w:b/>
        </w:rPr>
        <w:tab/>
      </w:r>
      <w:r>
        <w:rPr>
          <w:b/>
        </w:rPr>
        <w:tab/>
      </w:r>
      <w:r>
        <w:rPr>
          <w:b/>
        </w:rPr>
        <w:tab/>
      </w:r>
      <w:r>
        <w:rPr>
          <w:b/>
        </w:rPr>
        <w:tab/>
      </w:r>
      <w:r>
        <w:rPr>
          <w:b/>
        </w:rPr>
        <w:tab/>
        <w:t xml:space="preserve">     </w:t>
      </w:r>
      <w:r w:rsidRPr="00465B60">
        <w:t>25</w:t>
      </w:r>
      <w:r w:rsidR="00166C52">
        <w:t>3</w:t>
      </w: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Pr="006929BF" w:rsidRDefault="00EA3774" w:rsidP="00A34B7A">
      <w:pPr>
        <w:spacing w:line="360" w:lineRule="auto"/>
        <w:rPr>
          <w:b/>
          <w:u w:val="single"/>
        </w:rPr>
      </w:pPr>
      <w:r>
        <w:rPr>
          <w:b/>
          <w:noProof/>
          <w:u w:val="single"/>
        </w:rPr>
        <w:pict>
          <v:shape id="_x0000_s1721" type="#_x0000_t202" style="position:absolute;margin-left:406.55pt;margin-top:52.15pt;width:41.05pt;height:32.65pt;z-index:251865088;mso-position-horizontal:absolute;mso-position-vertical:absolute;mso-width-relative:margin;mso-height-relative:margin" stroked="f">
            <v:textbox style="mso-next-textbox:#_x0000_s1721">
              <w:txbxContent>
                <w:p w:rsidR="00B34B0F" w:rsidRDefault="00B34B0F" w:rsidP="001321C3"/>
              </w:txbxContent>
            </v:textbox>
          </v:shape>
        </w:pict>
      </w:r>
    </w:p>
    <w:p w:rsidR="00A34B7A" w:rsidRPr="00597E58" w:rsidRDefault="00A34B7A" w:rsidP="00E86ADD">
      <w:pPr>
        <w:spacing w:line="360" w:lineRule="auto"/>
        <w:jc w:val="both"/>
        <w:rPr>
          <w:b/>
          <w:sz w:val="28"/>
          <w:szCs w:val="28"/>
        </w:rPr>
      </w:pPr>
      <w:r w:rsidRPr="00597E58">
        <w:rPr>
          <w:b/>
          <w:sz w:val="28"/>
          <w:szCs w:val="28"/>
        </w:rPr>
        <w:lastRenderedPageBreak/>
        <w:t>Índice das figuras</w:t>
      </w:r>
    </w:p>
    <w:p w:rsidR="00A34B7A" w:rsidRPr="0028513F" w:rsidRDefault="00A34B7A" w:rsidP="00E86ADD">
      <w:pPr>
        <w:spacing w:line="360" w:lineRule="auto"/>
        <w:jc w:val="both"/>
        <w:rPr>
          <w:b/>
        </w:rPr>
      </w:pPr>
    </w:p>
    <w:p w:rsidR="00A34B7A" w:rsidRPr="0028513F" w:rsidRDefault="00A34B7A" w:rsidP="00E86ADD">
      <w:pPr>
        <w:spacing w:line="360" w:lineRule="auto"/>
        <w:jc w:val="both"/>
        <w:rPr>
          <w:sz w:val="22"/>
          <w:szCs w:val="22"/>
        </w:rPr>
      </w:pPr>
      <w:r w:rsidRPr="0028513F">
        <w:rPr>
          <w:b/>
        </w:rPr>
        <w:t>Figura 2.1</w:t>
      </w:r>
      <w:r w:rsidRPr="0028513F">
        <w:t xml:space="preserve">- </w:t>
      </w:r>
      <w:r w:rsidRPr="0028513F">
        <w:rPr>
          <w:sz w:val="22"/>
          <w:szCs w:val="22"/>
        </w:rPr>
        <w:t xml:space="preserve">- Extracto da área em estudo na Carta Geológica de Portugal, Serviços Geológicos de Portugal, Esc. 1: 500 000.  </w:t>
      </w:r>
      <w:r w:rsidRPr="0028513F">
        <w:rPr>
          <w:sz w:val="22"/>
          <w:szCs w:val="22"/>
        </w:rPr>
        <w:tab/>
      </w:r>
      <w:r w:rsidRPr="0028513F">
        <w:rPr>
          <w:sz w:val="22"/>
          <w:szCs w:val="22"/>
        </w:rPr>
        <w:tab/>
      </w:r>
      <w:r w:rsidRPr="0028513F">
        <w:rPr>
          <w:sz w:val="22"/>
          <w:szCs w:val="22"/>
        </w:rPr>
        <w:tab/>
      </w:r>
      <w:r w:rsidRPr="0028513F">
        <w:rPr>
          <w:sz w:val="22"/>
          <w:szCs w:val="22"/>
        </w:rPr>
        <w:tab/>
      </w:r>
      <w:r w:rsidRPr="0028513F">
        <w:rPr>
          <w:sz w:val="22"/>
          <w:szCs w:val="22"/>
        </w:rPr>
        <w:tab/>
      </w:r>
      <w:r w:rsidRPr="0028513F">
        <w:rPr>
          <w:sz w:val="22"/>
          <w:szCs w:val="22"/>
        </w:rPr>
        <w:tab/>
      </w:r>
      <w:r>
        <w:rPr>
          <w:sz w:val="22"/>
          <w:szCs w:val="22"/>
        </w:rPr>
        <w:tab/>
      </w:r>
      <w:r>
        <w:rPr>
          <w:sz w:val="22"/>
          <w:szCs w:val="22"/>
        </w:rPr>
        <w:tab/>
        <w:t xml:space="preserve">       </w:t>
      </w:r>
      <w:r w:rsidRPr="0028513F">
        <w:rPr>
          <w:sz w:val="22"/>
          <w:szCs w:val="22"/>
        </w:rPr>
        <w:t>25</w:t>
      </w:r>
    </w:p>
    <w:p w:rsidR="00A34B7A" w:rsidRPr="0028513F" w:rsidRDefault="00A34B7A" w:rsidP="00E86ADD">
      <w:pPr>
        <w:spacing w:line="360" w:lineRule="auto"/>
        <w:jc w:val="both"/>
      </w:pPr>
      <w:r w:rsidRPr="0028513F">
        <w:rPr>
          <w:b/>
        </w:rPr>
        <w:t>Figura 2.2</w:t>
      </w:r>
      <w:r w:rsidRPr="0028513F">
        <w:t xml:space="preserve">- Mapa geomorfológico das depressões do Arneiro e de Rodão (retirado de: Proença Cunha </w:t>
      </w:r>
      <w:r w:rsidRPr="0028513F">
        <w:rPr>
          <w:i/>
        </w:rPr>
        <w:t>et al</w:t>
      </w:r>
      <w:r w:rsidRPr="0028513F">
        <w:t xml:space="preserve"> 2012).</w:t>
      </w:r>
      <w:r w:rsidRPr="0028513F">
        <w:tab/>
      </w:r>
      <w:r w:rsidRPr="0028513F">
        <w:tab/>
      </w:r>
      <w:r w:rsidRPr="0028513F">
        <w:tab/>
      </w:r>
      <w:r w:rsidRPr="0028513F">
        <w:tab/>
      </w:r>
      <w:r>
        <w:tab/>
      </w:r>
      <w:r>
        <w:tab/>
      </w:r>
      <w:r>
        <w:tab/>
      </w:r>
      <w:r>
        <w:tab/>
        <w:t xml:space="preserve">       </w:t>
      </w:r>
      <w:r w:rsidRPr="0028513F">
        <w:t>29</w:t>
      </w:r>
      <w:r>
        <w:t xml:space="preserve"> </w:t>
      </w:r>
      <w:r w:rsidRPr="0028513F">
        <w:rPr>
          <w:b/>
        </w:rPr>
        <w:t>Figura</w:t>
      </w:r>
      <w:r w:rsidRPr="0028513F">
        <w:t xml:space="preserve"> </w:t>
      </w:r>
      <w:r w:rsidRPr="0028513F">
        <w:rPr>
          <w:b/>
        </w:rPr>
        <w:t>3.1</w:t>
      </w:r>
      <w:r w:rsidRPr="0028513F">
        <w:t xml:space="preserve">- Localização da sondagem bentónica MD 95 2042 recolhida ao largo do estuário do Tejo (localização baseada em Sanchez Goni, 2000).   </w:t>
      </w:r>
      <w:r>
        <w:tab/>
      </w:r>
      <w:r>
        <w:tab/>
      </w:r>
      <w:r>
        <w:tab/>
        <w:t xml:space="preserve">      </w:t>
      </w:r>
      <w:r w:rsidRPr="0028513F">
        <w:t xml:space="preserve"> 36</w:t>
      </w:r>
    </w:p>
    <w:p w:rsidR="00A34B7A" w:rsidRPr="0028513F" w:rsidRDefault="00A34B7A" w:rsidP="00E86ADD">
      <w:pPr>
        <w:spacing w:line="360" w:lineRule="auto"/>
        <w:jc w:val="both"/>
        <w:rPr>
          <w:b/>
        </w:rPr>
      </w:pPr>
      <w:r w:rsidRPr="0028513F">
        <w:rPr>
          <w:b/>
        </w:rPr>
        <w:t>Figura 3.2</w:t>
      </w:r>
      <w:r w:rsidRPr="0028513F">
        <w:t>- Variação da insolação estival à latitude de 65º N durante os últimos 140Ka; Análise de vários parâmetros do testemunho marinho MD95-2042; variação da temperatura atmosférica da Gronelândia nos últimos 123Ka com base na sondagem de gelo NORTHGRIP.</w:t>
      </w:r>
      <w:r w:rsidRPr="0028513F">
        <w:tab/>
      </w:r>
      <w:r w:rsidRPr="0028513F">
        <w:tab/>
      </w:r>
      <w:r w:rsidRPr="0028513F">
        <w:tab/>
      </w:r>
      <w:r w:rsidRPr="0028513F">
        <w:tab/>
      </w:r>
      <w:r w:rsidRPr="0028513F">
        <w:tab/>
      </w:r>
      <w:r w:rsidRPr="0028513F">
        <w:tab/>
      </w:r>
      <w:r>
        <w:tab/>
      </w:r>
      <w:r>
        <w:tab/>
      </w:r>
      <w:r>
        <w:tab/>
        <w:t xml:space="preserve">       </w:t>
      </w:r>
      <w:r w:rsidRPr="0028513F">
        <w:t>39</w:t>
      </w:r>
    </w:p>
    <w:p w:rsidR="00A34B7A" w:rsidRPr="0028513F" w:rsidRDefault="00A34B7A" w:rsidP="00E86ADD">
      <w:pPr>
        <w:spacing w:line="360" w:lineRule="auto"/>
        <w:jc w:val="both"/>
      </w:pPr>
      <w:r w:rsidRPr="0028513F">
        <w:rPr>
          <w:b/>
        </w:rPr>
        <w:t>Figura 4.1</w:t>
      </w:r>
      <w:r w:rsidRPr="0028513F">
        <w:t xml:space="preserve">- </w:t>
      </w:r>
      <w:r w:rsidRPr="0028513F">
        <w:rPr>
          <w:sz w:val="22"/>
          <w:szCs w:val="22"/>
        </w:rPr>
        <w:t>Esquema genérico do conceito Levallois</w:t>
      </w:r>
      <w:r w:rsidRPr="0028513F">
        <w:t xml:space="preserve">. </w:t>
      </w:r>
      <w:r w:rsidRPr="0028513F">
        <w:tab/>
      </w:r>
      <w:r w:rsidRPr="0028513F">
        <w:tab/>
      </w:r>
      <w:r w:rsidRPr="0028513F">
        <w:tab/>
      </w:r>
      <w:r w:rsidRPr="0028513F">
        <w:tab/>
      </w:r>
      <w:r>
        <w:t xml:space="preserve">                   </w:t>
      </w:r>
      <w:r w:rsidRPr="0028513F">
        <w:t>48</w:t>
      </w:r>
    </w:p>
    <w:p w:rsidR="00A34B7A" w:rsidRPr="0028513F" w:rsidRDefault="00A34B7A" w:rsidP="00E86ADD">
      <w:pPr>
        <w:autoSpaceDE w:val="0"/>
        <w:autoSpaceDN w:val="0"/>
        <w:adjustRightInd w:val="0"/>
        <w:spacing w:line="360" w:lineRule="auto"/>
        <w:jc w:val="both"/>
        <w:rPr>
          <w:sz w:val="22"/>
          <w:szCs w:val="22"/>
        </w:rPr>
      </w:pPr>
      <w:r w:rsidRPr="0028513F">
        <w:rPr>
          <w:b/>
        </w:rPr>
        <w:t xml:space="preserve">Figura </w:t>
      </w:r>
      <w:r w:rsidRPr="0028513F">
        <w:rPr>
          <w:b/>
          <w:color w:val="000000"/>
        </w:rPr>
        <w:t>4.2</w:t>
      </w:r>
      <w:r w:rsidRPr="0028513F">
        <w:rPr>
          <w:color w:val="000000"/>
        </w:rPr>
        <w:t xml:space="preserve">- </w:t>
      </w:r>
      <w:r w:rsidRPr="0028513F">
        <w:rPr>
          <w:sz w:val="22"/>
          <w:szCs w:val="22"/>
        </w:rPr>
        <w:t>Sítios do Paleolítico médio inicial e respectiva cronologia.</w:t>
      </w:r>
      <w:r w:rsidRPr="0028513F">
        <w:rPr>
          <w:sz w:val="22"/>
          <w:szCs w:val="22"/>
        </w:rPr>
        <w:tab/>
      </w:r>
      <w:r w:rsidRPr="0028513F">
        <w:rPr>
          <w:sz w:val="22"/>
          <w:szCs w:val="22"/>
        </w:rPr>
        <w:tab/>
      </w:r>
      <w:r w:rsidRPr="0028513F">
        <w:rPr>
          <w:sz w:val="22"/>
          <w:szCs w:val="22"/>
        </w:rPr>
        <w:tab/>
      </w:r>
      <w:r>
        <w:rPr>
          <w:sz w:val="22"/>
          <w:szCs w:val="22"/>
        </w:rPr>
        <w:t xml:space="preserve">       </w:t>
      </w:r>
      <w:r w:rsidRPr="0028513F">
        <w:rPr>
          <w:sz w:val="22"/>
          <w:szCs w:val="22"/>
        </w:rPr>
        <w:t>50</w:t>
      </w:r>
    </w:p>
    <w:p w:rsidR="00A34B7A" w:rsidRPr="0028513F" w:rsidRDefault="00A34B7A" w:rsidP="00E86ADD">
      <w:pPr>
        <w:autoSpaceDE w:val="0"/>
        <w:autoSpaceDN w:val="0"/>
        <w:adjustRightInd w:val="0"/>
        <w:spacing w:line="360" w:lineRule="auto"/>
        <w:jc w:val="both"/>
      </w:pPr>
      <w:r w:rsidRPr="0028513F">
        <w:rPr>
          <w:b/>
        </w:rPr>
        <w:t xml:space="preserve">Figura </w:t>
      </w:r>
      <w:r w:rsidRPr="0028513F">
        <w:rPr>
          <w:b/>
          <w:color w:val="000000"/>
        </w:rPr>
        <w:t>4.</w:t>
      </w:r>
      <w:r>
        <w:rPr>
          <w:b/>
          <w:color w:val="000000"/>
        </w:rPr>
        <w:t>3</w:t>
      </w:r>
      <w:r w:rsidRPr="0028513F">
        <w:rPr>
          <w:b/>
          <w:color w:val="000000"/>
        </w:rPr>
        <w:t xml:space="preserve">- </w:t>
      </w:r>
      <w:r w:rsidRPr="0028513F">
        <w:t xml:space="preserve">Gruta da Oliveira. Perfil estratigráfico esquemático com indicação dos principais conjuntos estratigráficos e resultados das datações obtidas por vários métodos.  </w:t>
      </w:r>
      <w:r w:rsidRPr="0028513F">
        <w:tab/>
      </w:r>
      <w:r w:rsidRPr="0028513F">
        <w:tab/>
      </w:r>
      <w:r w:rsidRPr="0028513F">
        <w:tab/>
      </w:r>
      <w:r w:rsidRPr="0028513F">
        <w:tab/>
      </w:r>
      <w:r w:rsidRPr="0028513F">
        <w:tab/>
      </w:r>
      <w:r>
        <w:tab/>
      </w:r>
      <w:r>
        <w:tab/>
      </w:r>
      <w:r>
        <w:tab/>
      </w:r>
      <w:r>
        <w:tab/>
      </w:r>
      <w:r>
        <w:tab/>
        <w:t xml:space="preserve">       </w:t>
      </w:r>
      <w:r w:rsidRPr="0028513F">
        <w:t>6</w:t>
      </w:r>
      <w:r>
        <w:t>2</w:t>
      </w:r>
    </w:p>
    <w:p w:rsidR="00A34B7A" w:rsidRPr="0028513F" w:rsidRDefault="00A34B7A" w:rsidP="00E86ADD">
      <w:pPr>
        <w:spacing w:line="360" w:lineRule="auto"/>
        <w:jc w:val="both"/>
      </w:pPr>
      <w:r w:rsidRPr="0028513F">
        <w:rPr>
          <w:b/>
        </w:rPr>
        <w:t>Figura</w:t>
      </w:r>
      <w:r w:rsidRPr="0028513F">
        <w:t xml:space="preserve"> </w:t>
      </w:r>
      <w:r w:rsidRPr="0028513F">
        <w:rPr>
          <w:b/>
        </w:rPr>
        <w:t>5.1</w:t>
      </w:r>
      <w:r w:rsidRPr="0028513F">
        <w:t>- Localização dos sítios identificados durante as prospecções realizadas na Bacia do Arneiro. C.M.P n.º 315 esc.1/25000.</w:t>
      </w:r>
      <w:r w:rsidRPr="0028513F">
        <w:tab/>
      </w:r>
      <w:r>
        <w:tab/>
      </w:r>
      <w:r>
        <w:tab/>
      </w:r>
      <w:r>
        <w:tab/>
      </w:r>
      <w:r>
        <w:tab/>
        <w:t xml:space="preserve">       90</w:t>
      </w:r>
      <w:r w:rsidRPr="0028513F">
        <w:tab/>
      </w:r>
    </w:p>
    <w:p w:rsidR="00A34B7A" w:rsidRPr="0028513F" w:rsidRDefault="00A34B7A" w:rsidP="00E86ADD">
      <w:pPr>
        <w:spacing w:line="360" w:lineRule="auto"/>
        <w:jc w:val="both"/>
      </w:pPr>
      <w:r w:rsidRPr="0028513F">
        <w:rPr>
          <w:b/>
        </w:rPr>
        <w:t>Figura 5.2</w:t>
      </w:r>
      <w:r w:rsidRPr="0028513F">
        <w:t xml:space="preserve">- Vista aérea geral da estação dos Pegos do Tejo 2.   </w:t>
      </w:r>
      <w:r>
        <w:tab/>
      </w:r>
      <w:r>
        <w:tab/>
      </w:r>
      <w:r>
        <w:tab/>
        <w:t xml:space="preserve">       91</w:t>
      </w:r>
    </w:p>
    <w:p w:rsidR="00A34B7A" w:rsidRPr="0028513F" w:rsidRDefault="00A34B7A" w:rsidP="00E86ADD">
      <w:pPr>
        <w:spacing w:line="360" w:lineRule="auto"/>
        <w:jc w:val="both"/>
      </w:pPr>
      <w:r w:rsidRPr="0028513F">
        <w:rPr>
          <w:b/>
        </w:rPr>
        <w:t>Figura 5.3</w:t>
      </w:r>
      <w:r w:rsidRPr="0028513F">
        <w:t xml:space="preserve">- Área escavada na estação do Azinhal.   </w:t>
      </w:r>
      <w:r w:rsidRPr="0028513F">
        <w:tab/>
      </w:r>
      <w:r w:rsidRPr="0028513F">
        <w:tab/>
      </w:r>
      <w:r>
        <w:tab/>
      </w:r>
      <w:r>
        <w:tab/>
        <w:t xml:space="preserve">       95</w:t>
      </w:r>
    </w:p>
    <w:p w:rsidR="00A34B7A" w:rsidRPr="0028513F" w:rsidRDefault="00A34B7A" w:rsidP="00E86ADD">
      <w:pPr>
        <w:spacing w:line="360" w:lineRule="auto"/>
        <w:ind w:left="-709" w:firstLine="709"/>
        <w:jc w:val="both"/>
      </w:pPr>
      <w:r w:rsidRPr="0028513F">
        <w:rPr>
          <w:b/>
        </w:rPr>
        <w:t>Figura 5.4</w:t>
      </w:r>
      <w:r w:rsidRPr="0028513F">
        <w:t xml:space="preserve">- Tapada do Montinho, localização das intervenções. </w:t>
      </w:r>
      <w:r w:rsidRPr="0028513F">
        <w:tab/>
      </w:r>
      <w:r>
        <w:tab/>
      </w:r>
      <w:r>
        <w:tab/>
        <w:t xml:space="preserve">       96</w:t>
      </w:r>
    </w:p>
    <w:p w:rsidR="00A34B7A" w:rsidRPr="0028513F" w:rsidRDefault="00A34B7A" w:rsidP="00E86ADD">
      <w:pPr>
        <w:spacing w:line="360" w:lineRule="auto"/>
        <w:jc w:val="both"/>
      </w:pPr>
      <w:r w:rsidRPr="0028513F">
        <w:rPr>
          <w:b/>
        </w:rPr>
        <w:t>Figura 5.5</w:t>
      </w:r>
      <w:r w:rsidRPr="0028513F">
        <w:t>- Tapada do Montinho: área escavada na plataforma 1.</w:t>
      </w:r>
      <w:r w:rsidRPr="0028513F">
        <w:tab/>
      </w:r>
      <w:r w:rsidRPr="0028513F">
        <w:tab/>
      </w:r>
      <w:r>
        <w:tab/>
        <w:t xml:space="preserve">       98</w:t>
      </w:r>
    </w:p>
    <w:p w:rsidR="00A34B7A" w:rsidRPr="0028513F" w:rsidRDefault="00A34B7A" w:rsidP="00E86ADD">
      <w:pPr>
        <w:spacing w:line="360" w:lineRule="auto"/>
        <w:jc w:val="both"/>
      </w:pPr>
      <w:r w:rsidRPr="0028513F">
        <w:rPr>
          <w:b/>
        </w:rPr>
        <w:t>Figura 6.1.1</w:t>
      </w:r>
      <w:r w:rsidRPr="0028513F">
        <w:t>- Pegos do Tejo 2- corte estratigráfico.</w:t>
      </w:r>
      <w:r w:rsidRPr="0028513F">
        <w:tab/>
      </w:r>
      <w:r w:rsidRPr="0028513F">
        <w:tab/>
      </w:r>
      <w:r>
        <w:tab/>
      </w:r>
      <w:r>
        <w:tab/>
      </w:r>
      <w:r>
        <w:tab/>
        <w:t xml:space="preserve">     100</w:t>
      </w:r>
    </w:p>
    <w:p w:rsidR="00A34B7A" w:rsidRPr="0028513F" w:rsidRDefault="00A34B7A" w:rsidP="00E86ADD">
      <w:pPr>
        <w:spacing w:line="360" w:lineRule="auto"/>
        <w:jc w:val="both"/>
        <w:rPr>
          <w:b/>
        </w:rPr>
      </w:pPr>
      <w:r w:rsidRPr="0028513F">
        <w:rPr>
          <w:b/>
        </w:rPr>
        <w:t>Figura 6.1.2</w:t>
      </w:r>
      <w:r w:rsidRPr="0028513F">
        <w:t>- Pegos do Tejo 2. Representação gráfica da lareira.</w:t>
      </w:r>
      <w:r w:rsidRPr="0028513F">
        <w:tab/>
      </w:r>
      <w:r w:rsidRPr="0028513F">
        <w:tab/>
      </w:r>
      <w:r w:rsidRPr="0028513F">
        <w:tab/>
      </w:r>
      <w:r>
        <w:t xml:space="preserve">     104</w:t>
      </w:r>
    </w:p>
    <w:p w:rsidR="00A34B7A" w:rsidRPr="0028513F" w:rsidRDefault="00A34B7A" w:rsidP="00E86ADD">
      <w:pPr>
        <w:spacing w:line="360" w:lineRule="auto"/>
        <w:jc w:val="both"/>
        <w:rPr>
          <w:b/>
        </w:rPr>
      </w:pPr>
      <w:r w:rsidRPr="0028513F">
        <w:rPr>
          <w:b/>
        </w:rPr>
        <w:t>Figura 6.1.3</w:t>
      </w:r>
      <w:r w:rsidRPr="0028513F">
        <w:t>- Registo gráfico do empedrado do topo da camada arqueológica e com identificação da indústria lítica</w:t>
      </w:r>
      <w:r w:rsidRPr="0028513F">
        <w:rPr>
          <w:b/>
        </w:rPr>
        <w:t>.</w:t>
      </w:r>
      <w:r w:rsidRPr="0028513F">
        <w:rPr>
          <w:b/>
        </w:rPr>
        <w:tab/>
      </w:r>
      <w:r w:rsidRPr="0028513F">
        <w:rPr>
          <w:b/>
        </w:rPr>
        <w:tab/>
      </w:r>
      <w:r w:rsidRPr="0028513F">
        <w:rPr>
          <w:b/>
        </w:rPr>
        <w:tab/>
      </w:r>
      <w:r w:rsidRPr="0028513F">
        <w:rPr>
          <w:b/>
        </w:rPr>
        <w:tab/>
      </w:r>
      <w:r>
        <w:rPr>
          <w:b/>
        </w:rPr>
        <w:t xml:space="preserve"> </w:t>
      </w:r>
      <w:r>
        <w:rPr>
          <w:b/>
        </w:rPr>
        <w:tab/>
      </w:r>
      <w:r>
        <w:rPr>
          <w:b/>
        </w:rPr>
        <w:tab/>
      </w:r>
      <w:r>
        <w:rPr>
          <w:b/>
        </w:rPr>
        <w:tab/>
        <w:t xml:space="preserve">     </w:t>
      </w:r>
      <w:r>
        <w:t>106</w:t>
      </w:r>
    </w:p>
    <w:p w:rsidR="00A34B7A" w:rsidRPr="0028513F" w:rsidRDefault="00A34B7A" w:rsidP="00E86ADD">
      <w:pPr>
        <w:spacing w:line="360" w:lineRule="auto"/>
        <w:jc w:val="both"/>
        <w:rPr>
          <w:b/>
        </w:rPr>
      </w:pPr>
      <w:r w:rsidRPr="0028513F">
        <w:rPr>
          <w:b/>
        </w:rPr>
        <w:t>Figura 6.1.4</w:t>
      </w:r>
      <w:r w:rsidRPr="0028513F">
        <w:t>- Pegos do Tejo 2. Desenho geral das ocorrências arqueológicas.</w:t>
      </w:r>
      <w:r w:rsidRPr="0028513F">
        <w:tab/>
      </w:r>
      <w:r>
        <w:t xml:space="preserve">     107</w:t>
      </w:r>
    </w:p>
    <w:p w:rsidR="00A34B7A" w:rsidRPr="0028513F" w:rsidRDefault="00A34B7A" w:rsidP="00E86ADD">
      <w:pPr>
        <w:spacing w:line="360" w:lineRule="auto"/>
        <w:jc w:val="both"/>
      </w:pPr>
      <w:r w:rsidRPr="0028513F">
        <w:rPr>
          <w:b/>
        </w:rPr>
        <w:t>Figura 6.1.5</w:t>
      </w:r>
      <w:r w:rsidRPr="0028513F">
        <w:t>- Pegos do Tejo 2. Projecção vertical do registo arqueológico.</w:t>
      </w:r>
      <w:r w:rsidRPr="0028513F">
        <w:tab/>
      </w:r>
      <w:r>
        <w:t xml:space="preserve">     108</w:t>
      </w:r>
    </w:p>
    <w:p w:rsidR="00A34B7A" w:rsidRPr="0028513F" w:rsidRDefault="00A34B7A" w:rsidP="00E86ADD">
      <w:pPr>
        <w:spacing w:line="360" w:lineRule="auto"/>
        <w:jc w:val="both"/>
        <w:rPr>
          <w:b/>
        </w:rPr>
      </w:pPr>
      <w:r w:rsidRPr="0028513F">
        <w:rPr>
          <w:b/>
        </w:rPr>
        <w:t>Figura 6.1.6</w:t>
      </w:r>
      <w:r w:rsidRPr="0028513F">
        <w:t>-</w:t>
      </w:r>
      <w:r w:rsidRPr="0028513F">
        <w:rPr>
          <w:b/>
        </w:rPr>
        <w:t xml:space="preserve"> </w:t>
      </w:r>
      <w:r w:rsidRPr="0028513F">
        <w:t>Indústria lítica dos Pegos do Tejo 2- utensílios sobre lasca.</w:t>
      </w:r>
      <w:r w:rsidRPr="0028513F">
        <w:rPr>
          <w:b/>
        </w:rPr>
        <w:t xml:space="preserve"> </w:t>
      </w:r>
      <w:r w:rsidRPr="0028513F">
        <w:rPr>
          <w:b/>
        </w:rPr>
        <w:tab/>
      </w:r>
      <w:r w:rsidRPr="0028513F">
        <w:rPr>
          <w:b/>
        </w:rPr>
        <w:tab/>
      </w:r>
      <w:r w:rsidRPr="00052AF6">
        <w:t xml:space="preserve">     </w:t>
      </w:r>
      <w:r>
        <w:t>125</w:t>
      </w:r>
    </w:p>
    <w:p w:rsidR="00A34B7A" w:rsidRPr="0028513F" w:rsidRDefault="00A34B7A" w:rsidP="00E86ADD">
      <w:pPr>
        <w:spacing w:line="360" w:lineRule="auto"/>
        <w:jc w:val="both"/>
        <w:rPr>
          <w:b/>
        </w:rPr>
      </w:pPr>
      <w:r w:rsidRPr="0028513F">
        <w:rPr>
          <w:b/>
        </w:rPr>
        <w:t>Figura 6.1.7</w:t>
      </w:r>
      <w:r w:rsidRPr="0028513F">
        <w:t>-</w:t>
      </w:r>
      <w:r w:rsidRPr="0028513F">
        <w:rPr>
          <w:b/>
        </w:rPr>
        <w:t xml:space="preserve"> </w:t>
      </w:r>
      <w:r w:rsidRPr="0028513F">
        <w:t>- Indústria lítica dos Pegos do Tejo 2- utensílios sobre lasca.</w:t>
      </w:r>
      <w:r w:rsidRPr="0028513F">
        <w:rPr>
          <w:b/>
        </w:rPr>
        <w:t xml:space="preserve"> </w:t>
      </w:r>
      <w:r w:rsidRPr="0028513F">
        <w:rPr>
          <w:b/>
        </w:rPr>
        <w:tab/>
      </w:r>
      <w:r>
        <w:rPr>
          <w:b/>
        </w:rPr>
        <w:t xml:space="preserve">     </w:t>
      </w:r>
      <w:r>
        <w:t>126</w:t>
      </w:r>
    </w:p>
    <w:p w:rsidR="00A34B7A" w:rsidRPr="0028513F" w:rsidRDefault="00A34B7A" w:rsidP="00E86ADD">
      <w:pPr>
        <w:spacing w:line="360" w:lineRule="auto"/>
        <w:jc w:val="both"/>
      </w:pPr>
      <w:r w:rsidRPr="0028513F">
        <w:rPr>
          <w:b/>
        </w:rPr>
        <w:t>Figura 6.1.8</w:t>
      </w:r>
      <w:r w:rsidRPr="0028513F">
        <w:t xml:space="preserve">- Indústria lítica dos Pegos do Tejo 2.  </w:t>
      </w:r>
      <w:r w:rsidRPr="0028513F">
        <w:tab/>
      </w:r>
      <w:r w:rsidRPr="0028513F">
        <w:tab/>
      </w:r>
      <w:r>
        <w:tab/>
      </w:r>
      <w:r>
        <w:tab/>
        <w:t xml:space="preserve">   </w:t>
      </w:r>
      <w:r>
        <w:tab/>
        <w:t xml:space="preserve">     127</w:t>
      </w:r>
    </w:p>
    <w:p w:rsidR="00A34B7A" w:rsidRPr="0028513F" w:rsidRDefault="00A34B7A" w:rsidP="00E86ADD">
      <w:pPr>
        <w:spacing w:line="360" w:lineRule="auto"/>
        <w:jc w:val="both"/>
      </w:pPr>
      <w:r w:rsidRPr="0028513F">
        <w:rPr>
          <w:b/>
        </w:rPr>
        <w:t>Figura 6.1.9</w:t>
      </w:r>
      <w:r w:rsidRPr="0028513F">
        <w:t>- Indústria lítica dos Pegos do Tejo 2.</w:t>
      </w:r>
      <w:r w:rsidRPr="0028513F">
        <w:tab/>
      </w:r>
      <w:r w:rsidRPr="0028513F">
        <w:tab/>
      </w:r>
      <w:r w:rsidRPr="0028513F">
        <w:tab/>
      </w:r>
      <w:r>
        <w:tab/>
      </w:r>
      <w:r>
        <w:tab/>
        <w:t xml:space="preserve">     128</w:t>
      </w:r>
    </w:p>
    <w:p w:rsidR="00A34B7A" w:rsidRPr="0028513F" w:rsidRDefault="00EA3774" w:rsidP="00E86ADD">
      <w:pPr>
        <w:spacing w:line="360" w:lineRule="auto"/>
        <w:jc w:val="both"/>
        <w:rPr>
          <w:b/>
        </w:rPr>
      </w:pPr>
      <w:r>
        <w:rPr>
          <w:b/>
          <w:noProof/>
        </w:rPr>
        <w:pict>
          <v:shape id="_x0000_s1722" type="#_x0000_t202" style="position:absolute;left:0;text-align:left;margin-left:400.55pt;margin-top:47.9pt;width:41.05pt;height:32.65pt;z-index:251866112;mso-position-vertical:absolute;mso-width-relative:margin;mso-height-relative:margin" stroked="f">
            <v:textbox style="mso-next-textbox:#_x0000_s1722">
              <w:txbxContent>
                <w:p w:rsidR="00B34B0F" w:rsidRDefault="00B34B0F" w:rsidP="001321C3"/>
              </w:txbxContent>
            </v:textbox>
          </v:shape>
        </w:pict>
      </w:r>
      <w:r w:rsidR="00A34B7A" w:rsidRPr="0028513F">
        <w:rPr>
          <w:b/>
        </w:rPr>
        <w:t xml:space="preserve">Figura 6.1.10- </w:t>
      </w:r>
      <w:r w:rsidR="00A34B7A" w:rsidRPr="0028513F">
        <w:t>Esquema diacrítico do núcleo Acheulense M4 13.</w:t>
      </w:r>
      <w:r w:rsidR="00A34B7A" w:rsidRPr="0028513F">
        <w:tab/>
      </w:r>
      <w:r w:rsidR="00A34B7A">
        <w:tab/>
      </w:r>
      <w:r w:rsidR="00A34B7A">
        <w:tab/>
        <w:t xml:space="preserve">     129</w:t>
      </w:r>
    </w:p>
    <w:p w:rsidR="00A34B7A" w:rsidRPr="00052AF6" w:rsidRDefault="00A34B7A" w:rsidP="00E86ADD">
      <w:pPr>
        <w:spacing w:line="360" w:lineRule="auto"/>
        <w:jc w:val="both"/>
      </w:pPr>
      <w:r w:rsidRPr="0028513F">
        <w:rPr>
          <w:b/>
        </w:rPr>
        <w:lastRenderedPageBreak/>
        <w:t>Figura 6.1.11</w:t>
      </w:r>
      <w:r w:rsidRPr="0028513F">
        <w:t>-</w:t>
      </w:r>
      <w:r w:rsidRPr="0028513F">
        <w:rPr>
          <w:b/>
        </w:rPr>
        <w:t xml:space="preserve"> </w:t>
      </w:r>
      <w:r w:rsidRPr="0028513F">
        <w:t>Esquema diacrítico do núcleo oportunístico L2 17</w:t>
      </w:r>
      <w:r w:rsidRPr="0028513F">
        <w:rPr>
          <w:b/>
        </w:rPr>
        <w:t>.</w:t>
      </w:r>
      <w:r w:rsidRPr="0028513F">
        <w:rPr>
          <w:b/>
        </w:rPr>
        <w:tab/>
      </w:r>
      <w:r w:rsidRPr="0028513F">
        <w:rPr>
          <w:b/>
        </w:rPr>
        <w:tab/>
      </w:r>
      <w:r>
        <w:rPr>
          <w:b/>
        </w:rPr>
        <w:tab/>
        <w:t xml:space="preserve">     </w:t>
      </w:r>
      <w:r w:rsidRPr="00052AF6">
        <w:t>13</w:t>
      </w:r>
      <w:r>
        <w:t>0</w:t>
      </w:r>
    </w:p>
    <w:p w:rsidR="00A34B7A" w:rsidRPr="00052AF6" w:rsidRDefault="00A34B7A" w:rsidP="00E86ADD">
      <w:pPr>
        <w:spacing w:line="360" w:lineRule="auto"/>
        <w:jc w:val="both"/>
      </w:pPr>
      <w:r w:rsidRPr="0028513F">
        <w:rPr>
          <w:b/>
        </w:rPr>
        <w:t>Figura 6.1.12</w:t>
      </w:r>
      <w:r w:rsidRPr="0028513F">
        <w:t>- Esquema diacrítico do núcleo discoíde L3 10</w:t>
      </w:r>
      <w:r w:rsidRPr="0028513F">
        <w:rPr>
          <w:b/>
        </w:rPr>
        <w:t>.</w:t>
      </w:r>
      <w:r w:rsidRPr="0028513F">
        <w:rPr>
          <w:b/>
        </w:rPr>
        <w:tab/>
      </w:r>
      <w:r w:rsidRPr="0028513F">
        <w:rPr>
          <w:b/>
        </w:rPr>
        <w:tab/>
      </w:r>
      <w:r>
        <w:rPr>
          <w:b/>
        </w:rPr>
        <w:tab/>
        <w:t xml:space="preserve">     </w:t>
      </w:r>
      <w:r>
        <w:t>131</w:t>
      </w:r>
    </w:p>
    <w:p w:rsidR="00A34B7A" w:rsidRPr="0028513F" w:rsidRDefault="00A34B7A" w:rsidP="00E86ADD">
      <w:pPr>
        <w:spacing w:line="360" w:lineRule="auto"/>
        <w:jc w:val="both"/>
      </w:pPr>
      <w:r w:rsidRPr="0028513F">
        <w:rPr>
          <w:b/>
        </w:rPr>
        <w:t>Figura 6.1.13</w:t>
      </w:r>
      <w:r w:rsidRPr="0028513F">
        <w:t xml:space="preserve">- Esquema diacrítico do núcleo </w:t>
      </w:r>
      <w:proofErr w:type="gramStart"/>
      <w:r w:rsidRPr="0028513F">
        <w:t>Levallois  recolhido</w:t>
      </w:r>
      <w:proofErr w:type="gramEnd"/>
      <w:r w:rsidRPr="0028513F">
        <w:t xml:space="preserve"> no corte. </w:t>
      </w:r>
      <w:r>
        <w:t xml:space="preserve">     </w:t>
      </w:r>
      <w:r>
        <w:tab/>
        <w:t xml:space="preserve">     132</w:t>
      </w:r>
    </w:p>
    <w:p w:rsidR="00A34B7A" w:rsidRPr="00052AF6" w:rsidRDefault="00A34B7A" w:rsidP="00E86ADD">
      <w:pPr>
        <w:spacing w:line="360" w:lineRule="auto"/>
        <w:jc w:val="both"/>
      </w:pPr>
      <w:r w:rsidRPr="0028513F">
        <w:rPr>
          <w:b/>
        </w:rPr>
        <w:t>Figura 6.1.14</w:t>
      </w:r>
      <w:r>
        <w:t>- Esquema diacrítico</w:t>
      </w:r>
      <w:r w:rsidRPr="0028513F">
        <w:t xml:space="preserve"> do núcleo bipolar L3 10.</w:t>
      </w:r>
      <w:r w:rsidRPr="0028513F">
        <w:rPr>
          <w:b/>
        </w:rPr>
        <w:t xml:space="preserve"> </w:t>
      </w:r>
      <w:r>
        <w:rPr>
          <w:b/>
        </w:rPr>
        <w:tab/>
      </w:r>
      <w:r>
        <w:rPr>
          <w:b/>
        </w:rPr>
        <w:tab/>
      </w:r>
      <w:r>
        <w:rPr>
          <w:b/>
        </w:rPr>
        <w:tab/>
      </w:r>
      <w:r w:rsidRPr="00052AF6">
        <w:t xml:space="preserve">     </w:t>
      </w:r>
      <w:r>
        <w:t>133</w:t>
      </w:r>
    </w:p>
    <w:p w:rsidR="00A34B7A" w:rsidRPr="0028513F" w:rsidRDefault="00A34B7A" w:rsidP="00E86ADD">
      <w:pPr>
        <w:spacing w:line="360" w:lineRule="auto"/>
        <w:jc w:val="both"/>
      </w:pPr>
      <w:r w:rsidRPr="0028513F">
        <w:rPr>
          <w:b/>
        </w:rPr>
        <w:t>Figura 6.2.1</w:t>
      </w:r>
      <w:r w:rsidRPr="0028513F">
        <w:t xml:space="preserve">- Corte estratigráfico da sondagem L5.  </w:t>
      </w:r>
      <w:r>
        <w:tab/>
      </w:r>
      <w:r>
        <w:tab/>
      </w:r>
      <w:r>
        <w:tab/>
      </w:r>
      <w:r>
        <w:tab/>
        <w:t xml:space="preserve">     132</w:t>
      </w:r>
      <w:r w:rsidRPr="0028513F">
        <w:t xml:space="preserve">  </w:t>
      </w:r>
    </w:p>
    <w:p w:rsidR="00A34B7A" w:rsidRPr="0028513F" w:rsidRDefault="00A34B7A" w:rsidP="00E86ADD">
      <w:pPr>
        <w:spacing w:line="360" w:lineRule="auto"/>
        <w:jc w:val="both"/>
      </w:pPr>
      <w:r w:rsidRPr="0028513F">
        <w:rPr>
          <w:b/>
        </w:rPr>
        <w:t>Figura 6.2.2</w:t>
      </w:r>
      <w:r w:rsidRPr="0028513F">
        <w:t>- Corte estratigráfico da sondagem WA 26 com projecção vertical dos materiais.</w:t>
      </w:r>
      <w:r w:rsidRPr="0028513F">
        <w:tab/>
      </w:r>
      <w:r w:rsidRPr="0028513F">
        <w:tab/>
      </w:r>
      <w:r w:rsidRPr="0028513F">
        <w:tab/>
      </w:r>
      <w:r w:rsidRPr="0028513F">
        <w:tab/>
      </w:r>
      <w:r w:rsidRPr="0028513F">
        <w:tab/>
      </w:r>
      <w:r>
        <w:tab/>
      </w:r>
      <w:r>
        <w:tab/>
      </w:r>
      <w:r>
        <w:tab/>
      </w:r>
      <w:r>
        <w:tab/>
      </w:r>
      <w:r>
        <w:tab/>
        <w:t xml:space="preserve">     136</w:t>
      </w:r>
    </w:p>
    <w:p w:rsidR="00A34B7A" w:rsidRPr="0028513F" w:rsidRDefault="00A34B7A" w:rsidP="00E86ADD">
      <w:pPr>
        <w:spacing w:line="360" w:lineRule="auto"/>
        <w:jc w:val="both"/>
      </w:pPr>
      <w:r w:rsidRPr="0028513F">
        <w:rPr>
          <w:b/>
        </w:rPr>
        <w:t>Figura 6.2.3</w:t>
      </w:r>
      <w:r w:rsidRPr="0028513F">
        <w:t>- Corte estratigráfico da vala de sondagem M27/J27.</w:t>
      </w:r>
      <w:r w:rsidRPr="0028513F">
        <w:tab/>
      </w:r>
      <w:r w:rsidRPr="0028513F">
        <w:tab/>
      </w:r>
      <w:r>
        <w:tab/>
        <w:t xml:space="preserve">     138</w:t>
      </w:r>
    </w:p>
    <w:p w:rsidR="00A34B7A" w:rsidRPr="0028513F" w:rsidRDefault="00A34B7A" w:rsidP="00E86ADD">
      <w:pPr>
        <w:spacing w:line="360" w:lineRule="auto"/>
        <w:jc w:val="both"/>
      </w:pPr>
      <w:r w:rsidRPr="0028513F">
        <w:rPr>
          <w:b/>
        </w:rPr>
        <w:t>Figura 6.2.4</w:t>
      </w:r>
      <w:r w:rsidRPr="0028513F">
        <w:t>- Indústria lítica do Azinhal- utensílios sobre lasca.</w:t>
      </w:r>
      <w:r w:rsidRPr="0028513F">
        <w:tab/>
      </w:r>
      <w:r w:rsidRPr="0028513F">
        <w:tab/>
      </w:r>
      <w:r w:rsidRPr="0028513F">
        <w:tab/>
      </w:r>
      <w:r>
        <w:t xml:space="preserve">     155</w:t>
      </w:r>
    </w:p>
    <w:p w:rsidR="00A34B7A" w:rsidRPr="0028513F" w:rsidRDefault="00A34B7A" w:rsidP="00E86ADD">
      <w:pPr>
        <w:spacing w:line="360" w:lineRule="auto"/>
        <w:jc w:val="both"/>
      </w:pPr>
      <w:r w:rsidRPr="0028513F">
        <w:rPr>
          <w:b/>
        </w:rPr>
        <w:t>Figura 6.2.5</w:t>
      </w:r>
      <w:r w:rsidRPr="0028513F">
        <w:t>- Indústria lítica do Azinhal - utensílios sobre lasca.</w:t>
      </w:r>
      <w:r w:rsidRPr="0028513F">
        <w:tab/>
      </w:r>
      <w:r w:rsidRPr="0028513F">
        <w:tab/>
      </w:r>
      <w:r>
        <w:tab/>
        <w:t xml:space="preserve">     156</w:t>
      </w:r>
    </w:p>
    <w:p w:rsidR="00A34B7A" w:rsidRPr="0028513F" w:rsidRDefault="00A34B7A" w:rsidP="00E86ADD">
      <w:pPr>
        <w:spacing w:line="360" w:lineRule="auto"/>
        <w:jc w:val="both"/>
      </w:pPr>
      <w:r w:rsidRPr="0028513F">
        <w:rPr>
          <w:b/>
        </w:rPr>
        <w:t>Figura 6.2.6</w:t>
      </w:r>
      <w:r w:rsidRPr="0028513F">
        <w:t>- Indústria lítica do Azinhal - utensílios sobre lasca</w:t>
      </w:r>
      <w:r w:rsidRPr="0028513F">
        <w:tab/>
      </w:r>
      <w:r w:rsidRPr="0028513F">
        <w:tab/>
      </w:r>
      <w:r>
        <w:tab/>
        <w:t xml:space="preserve">     157</w:t>
      </w:r>
    </w:p>
    <w:p w:rsidR="00A34B7A" w:rsidRPr="0028513F" w:rsidRDefault="00A34B7A" w:rsidP="00E86ADD">
      <w:pPr>
        <w:spacing w:line="360" w:lineRule="auto"/>
        <w:jc w:val="both"/>
        <w:rPr>
          <w:b/>
        </w:rPr>
      </w:pPr>
      <w:r w:rsidRPr="0028513F">
        <w:rPr>
          <w:b/>
        </w:rPr>
        <w:t>Figura 6.2.7</w:t>
      </w:r>
      <w:r w:rsidRPr="0028513F">
        <w:t>- Indústria lítica do Azinhal</w:t>
      </w:r>
      <w:r w:rsidRPr="0028513F">
        <w:rPr>
          <w:b/>
        </w:rPr>
        <w:t>.</w:t>
      </w:r>
      <w:r w:rsidRPr="0028513F">
        <w:rPr>
          <w:b/>
        </w:rPr>
        <w:tab/>
      </w:r>
      <w:r w:rsidRPr="0028513F">
        <w:rPr>
          <w:b/>
        </w:rPr>
        <w:tab/>
      </w:r>
      <w:r w:rsidRPr="0028513F">
        <w:rPr>
          <w:b/>
        </w:rPr>
        <w:tab/>
      </w:r>
      <w:r w:rsidRPr="0028513F">
        <w:rPr>
          <w:b/>
        </w:rPr>
        <w:tab/>
      </w:r>
      <w:r>
        <w:rPr>
          <w:b/>
        </w:rPr>
        <w:tab/>
      </w:r>
      <w:r>
        <w:rPr>
          <w:b/>
        </w:rPr>
        <w:tab/>
        <w:t xml:space="preserve">     </w:t>
      </w:r>
      <w:r>
        <w:t>158</w:t>
      </w:r>
    </w:p>
    <w:p w:rsidR="00A34B7A" w:rsidRPr="0028513F" w:rsidRDefault="00A34B7A" w:rsidP="00E86ADD">
      <w:pPr>
        <w:spacing w:line="360" w:lineRule="auto"/>
        <w:jc w:val="both"/>
      </w:pPr>
      <w:r w:rsidRPr="0028513F">
        <w:rPr>
          <w:b/>
        </w:rPr>
        <w:t>Figura 6.2.8</w:t>
      </w:r>
      <w:r w:rsidRPr="0028513F">
        <w:t>- - Indústria lítica do Azinhal - núcleos.</w:t>
      </w:r>
      <w:r w:rsidRPr="0028513F">
        <w:tab/>
      </w:r>
      <w:r w:rsidRPr="0028513F">
        <w:tab/>
      </w:r>
      <w:r>
        <w:tab/>
      </w:r>
      <w:r>
        <w:tab/>
        <w:t xml:space="preserve">     159</w:t>
      </w:r>
    </w:p>
    <w:p w:rsidR="00A34B7A" w:rsidRPr="0028513F" w:rsidRDefault="00A34B7A" w:rsidP="00E86ADD">
      <w:pPr>
        <w:spacing w:line="360" w:lineRule="auto"/>
        <w:jc w:val="both"/>
      </w:pPr>
      <w:r w:rsidRPr="0028513F">
        <w:rPr>
          <w:b/>
        </w:rPr>
        <w:t>Figura 6.2.9</w:t>
      </w:r>
      <w:r w:rsidRPr="0028513F">
        <w:t>- Indústria lítica do Azinhal - núcleos.</w:t>
      </w:r>
      <w:r w:rsidRPr="00052AF6">
        <w:tab/>
      </w:r>
      <w:r w:rsidRPr="00052AF6">
        <w:tab/>
      </w:r>
      <w:r w:rsidRPr="00052AF6">
        <w:tab/>
      </w:r>
      <w:r>
        <w:t xml:space="preserve">                             </w:t>
      </w:r>
      <w:r w:rsidRPr="006E7813">
        <w:t>160</w:t>
      </w:r>
    </w:p>
    <w:p w:rsidR="00A34B7A" w:rsidRPr="0028513F" w:rsidRDefault="00A34B7A" w:rsidP="00E86ADD">
      <w:pPr>
        <w:spacing w:line="360" w:lineRule="auto"/>
        <w:jc w:val="both"/>
      </w:pPr>
      <w:r w:rsidRPr="0028513F">
        <w:rPr>
          <w:b/>
        </w:rPr>
        <w:t>Figura 6.2.10</w:t>
      </w:r>
      <w:r w:rsidRPr="0028513F">
        <w:t>- Esquema diacrític</w:t>
      </w:r>
      <w:r>
        <w:t>o</w:t>
      </w:r>
      <w:r w:rsidRPr="0028513F">
        <w:t xml:space="preserve"> do núcleo G26 79.</w:t>
      </w:r>
      <w:r w:rsidRPr="0028513F">
        <w:tab/>
      </w:r>
      <w:r w:rsidRPr="0028513F">
        <w:tab/>
      </w:r>
      <w:r>
        <w:tab/>
      </w:r>
      <w:r>
        <w:tab/>
        <w:t xml:space="preserve">     </w:t>
      </w:r>
      <w:r w:rsidRPr="0028513F">
        <w:t>16</w:t>
      </w:r>
      <w:r>
        <w:t>1</w:t>
      </w:r>
    </w:p>
    <w:p w:rsidR="00A34B7A" w:rsidRPr="0028513F" w:rsidRDefault="00A34B7A" w:rsidP="00E86ADD">
      <w:pPr>
        <w:spacing w:line="360" w:lineRule="auto"/>
        <w:jc w:val="both"/>
      </w:pPr>
      <w:r w:rsidRPr="0028513F">
        <w:rPr>
          <w:b/>
        </w:rPr>
        <w:t>Figura 6.2.11</w:t>
      </w:r>
      <w:r w:rsidRPr="0028513F">
        <w:t>- Esquema diacrític</w:t>
      </w:r>
      <w:r>
        <w:t>o</w:t>
      </w:r>
      <w:r w:rsidRPr="0028513F">
        <w:t xml:space="preserve"> do núcleo K27 17.</w:t>
      </w:r>
      <w:r w:rsidRPr="0028513F">
        <w:tab/>
      </w:r>
      <w:r w:rsidRPr="0028513F">
        <w:tab/>
      </w:r>
      <w:r>
        <w:tab/>
      </w:r>
      <w:r>
        <w:tab/>
        <w:t xml:space="preserve">     162</w:t>
      </w:r>
    </w:p>
    <w:p w:rsidR="00A34B7A" w:rsidRPr="0028513F" w:rsidRDefault="00A34B7A" w:rsidP="00E86ADD">
      <w:pPr>
        <w:spacing w:line="360" w:lineRule="auto"/>
        <w:jc w:val="both"/>
      </w:pPr>
      <w:r w:rsidRPr="0028513F">
        <w:rPr>
          <w:b/>
        </w:rPr>
        <w:t>Figura 6.2.12</w:t>
      </w:r>
      <w:r w:rsidRPr="0028513F">
        <w:t>- Esquema diacrític</w:t>
      </w:r>
      <w:r>
        <w:t>o</w:t>
      </w:r>
      <w:r w:rsidRPr="0028513F">
        <w:t xml:space="preserve"> do núcleo WA26 30.</w:t>
      </w:r>
      <w:r w:rsidRPr="0028513F">
        <w:tab/>
      </w:r>
      <w:r w:rsidRPr="0028513F">
        <w:tab/>
      </w:r>
      <w:r>
        <w:tab/>
      </w:r>
      <w:r>
        <w:tab/>
        <w:t xml:space="preserve">     163</w:t>
      </w:r>
    </w:p>
    <w:p w:rsidR="00A34B7A" w:rsidRPr="0028513F" w:rsidRDefault="00A34B7A" w:rsidP="00E86ADD">
      <w:pPr>
        <w:spacing w:line="360" w:lineRule="auto"/>
        <w:jc w:val="both"/>
      </w:pPr>
      <w:r w:rsidRPr="0028513F">
        <w:rPr>
          <w:b/>
        </w:rPr>
        <w:t>Figura 6.2.13</w:t>
      </w:r>
      <w:r w:rsidRPr="0028513F">
        <w:t>- Esquema diacrític</w:t>
      </w:r>
      <w:r>
        <w:t>o</w:t>
      </w:r>
      <w:r w:rsidRPr="0028513F">
        <w:t xml:space="preserve"> do núcleo M26 51.</w:t>
      </w:r>
      <w:r w:rsidRPr="0028513F">
        <w:tab/>
      </w:r>
      <w:r w:rsidRPr="0028513F">
        <w:tab/>
      </w:r>
      <w:r>
        <w:tab/>
      </w:r>
      <w:r>
        <w:tab/>
        <w:t xml:space="preserve">     164</w:t>
      </w:r>
    </w:p>
    <w:p w:rsidR="00A34B7A" w:rsidRPr="0028513F" w:rsidRDefault="00A34B7A" w:rsidP="00E86ADD">
      <w:pPr>
        <w:spacing w:line="360" w:lineRule="auto"/>
        <w:jc w:val="both"/>
      </w:pPr>
      <w:r w:rsidRPr="0028513F">
        <w:rPr>
          <w:b/>
        </w:rPr>
        <w:t>Figura 6.2.14</w:t>
      </w:r>
      <w:r>
        <w:t>- Esquema diacrítico</w:t>
      </w:r>
      <w:r w:rsidRPr="0028513F">
        <w:t xml:space="preserve"> do núcleo WA26 34.</w:t>
      </w:r>
      <w:r w:rsidRPr="0028513F">
        <w:tab/>
      </w:r>
      <w:r w:rsidRPr="0028513F">
        <w:tab/>
      </w:r>
      <w:r>
        <w:tab/>
      </w:r>
      <w:r>
        <w:tab/>
        <w:t xml:space="preserve">     165</w:t>
      </w:r>
    </w:p>
    <w:p w:rsidR="00A34B7A" w:rsidRPr="0028513F" w:rsidRDefault="00A34B7A" w:rsidP="00E86ADD">
      <w:pPr>
        <w:spacing w:line="360" w:lineRule="auto"/>
        <w:jc w:val="both"/>
      </w:pPr>
      <w:r w:rsidRPr="0028513F">
        <w:rPr>
          <w:b/>
        </w:rPr>
        <w:t xml:space="preserve">Figura 6.3.1- </w:t>
      </w:r>
      <w:r w:rsidRPr="0028513F">
        <w:t xml:space="preserve">Distribuição vertical dos materiais (pontos vermelhos) na quadrícula M41 (perfil oeste). </w:t>
      </w:r>
      <w:r w:rsidRPr="0028513F">
        <w:tab/>
      </w:r>
      <w:r w:rsidRPr="0028513F">
        <w:tab/>
      </w:r>
      <w:r>
        <w:tab/>
      </w:r>
      <w:r>
        <w:tab/>
      </w:r>
      <w:r>
        <w:tab/>
      </w:r>
      <w:r>
        <w:tab/>
      </w:r>
      <w:r>
        <w:tab/>
      </w:r>
      <w:r>
        <w:tab/>
      </w:r>
      <w:r>
        <w:tab/>
      </w:r>
      <w:r>
        <w:tab/>
        <w:t xml:space="preserve">     166</w:t>
      </w:r>
    </w:p>
    <w:p w:rsidR="00A34B7A" w:rsidRPr="0028513F" w:rsidRDefault="00A34B7A" w:rsidP="00E86ADD">
      <w:pPr>
        <w:spacing w:line="360" w:lineRule="auto"/>
        <w:jc w:val="both"/>
      </w:pPr>
      <w:r w:rsidRPr="0028513F">
        <w:rPr>
          <w:b/>
        </w:rPr>
        <w:t xml:space="preserve">Figura 6.3.2- </w:t>
      </w:r>
      <w:r w:rsidRPr="0028513F">
        <w:t>Corte estratigráfico norte da vala K40/O40. É visível a afectação realizada pelas lavras no topo da camada arqueológica nos quadrados K40/39 ao M40/39.</w:t>
      </w:r>
      <w:r w:rsidRPr="0028513F">
        <w:tab/>
      </w:r>
      <w:r w:rsidRPr="0028513F">
        <w:tab/>
      </w:r>
      <w:r>
        <w:tab/>
      </w:r>
      <w:r>
        <w:tab/>
      </w:r>
      <w:r>
        <w:tab/>
      </w:r>
      <w:r>
        <w:tab/>
      </w:r>
      <w:r>
        <w:tab/>
      </w:r>
      <w:r>
        <w:tab/>
      </w:r>
      <w:r>
        <w:tab/>
        <w:t xml:space="preserve">           </w:t>
      </w:r>
      <w:r w:rsidRPr="0028513F">
        <w:tab/>
      </w:r>
      <w:r w:rsidR="00B34B0F">
        <w:t xml:space="preserve">     </w:t>
      </w:r>
      <w:r>
        <w:t>168</w:t>
      </w:r>
    </w:p>
    <w:p w:rsidR="00A34B7A" w:rsidRPr="0028513F" w:rsidRDefault="00A34B7A" w:rsidP="00E86ADD">
      <w:pPr>
        <w:spacing w:line="360" w:lineRule="auto"/>
        <w:jc w:val="both"/>
      </w:pPr>
      <w:r w:rsidRPr="0028513F">
        <w:rPr>
          <w:b/>
        </w:rPr>
        <w:t>Figura 6.3.3</w:t>
      </w:r>
      <w:r w:rsidRPr="0028513F">
        <w:t>- Indústria patinada da Tapada do Montinho.</w:t>
      </w:r>
      <w:r w:rsidRPr="0028513F">
        <w:tab/>
      </w:r>
      <w:r w:rsidRPr="0028513F">
        <w:tab/>
      </w:r>
      <w:r>
        <w:tab/>
      </w:r>
      <w:r>
        <w:tab/>
        <w:t xml:space="preserve">     180</w:t>
      </w:r>
    </w:p>
    <w:p w:rsidR="00A34B7A" w:rsidRPr="00052AF6" w:rsidRDefault="00A34B7A" w:rsidP="00E86ADD">
      <w:pPr>
        <w:spacing w:line="360" w:lineRule="auto"/>
        <w:jc w:val="both"/>
      </w:pPr>
      <w:r w:rsidRPr="0028513F">
        <w:rPr>
          <w:b/>
        </w:rPr>
        <w:t>Figura 6.3.4</w:t>
      </w:r>
      <w:r w:rsidRPr="0028513F">
        <w:t>- Esquema diacrític</w:t>
      </w:r>
      <w:r>
        <w:t>o</w:t>
      </w:r>
      <w:r w:rsidRPr="0028513F">
        <w:t xml:space="preserve"> do núcleo centrípeto L40 64.</w:t>
      </w:r>
      <w:r w:rsidRPr="0028513F">
        <w:rPr>
          <w:b/>
        </w:rPr>
        <w:t xml:space="preserve"> </w:t>
      </w:r>
      <w:r w:rsidRPr="0028513F">
        <w:rPr>
          <w:b/>
        </w:rPr>
        <w:tab/>
      </w:r>
      <w:r>
        <w:rPr>
          <w:b/>
        </w:rPr>
        <w:tab/>
      </w:r>
      <w:r>
        <w:rPr>
          <w:b/>
        </w:rPr>
        <w:tab/>
        <w:t xml:space="preserve">     </w:t>
      </w:r>
      <w:r>
        <w:t>181</w:t>
      </w:r>
    </w:p>
    <w:p w:rsidR="00A34B7A" w:rsidRPr="0028513F" w:rsidRDefault="00A34B7A" w:rsidP="00E86ADD">
      <w:pPr>
        <w:spacing w:line="360" w:lineRule="auto"/>
        <w:jc w:val="both"/>
      </w:pPr>
      <w:r w:rsidRPr="0028513F">
        <w:rPr>
          <w:b/>
        </w:rPr>
        <w:t xml:space="preserve">Figura 6.3.5- </w:t>
      </w:r>
      <w:r w:rsidRPr="0028513F">
        <w:t xml:space="preserve">Indústria da </w:t>
      </w:r>
      <w:r>
        <w:t>série</w:t>
      </w:r>
      <w:r w:rsidRPr="0028513F">
        <w:t xml:space="preserve"> fresca da Tapada do Montinho.</w:t>
      </w:r>
      <w:r w:rsidRPr="0028513F">
        <w:tab/>
      </w:r>
      <w:r>
        <w:tab/>
      </w:r>
      <w:r>
        <w:tab/>
        <w:t xml:space="preserve">     196</w:t>
      </w:r>
    </w:p>
    <w:p w:rsidR="00A34B7A" w:rsidRPr="0028513F" w:rsidRDefault="00A34B7A" w:rsidP="00E86ADD">
      <w:pPr>
        <w:spacing w:line="360" w:lineRule="auto"/>
        <w:jc w:val="both"/>
      </w:pPr>
      <w:r w:rsidRPr="0028513F">
        <w:rPr>
          <w:b/>
        </w:rPr>
        <w:t>Figura 6.3.6</w:t>
      </w:r>
      <w:r w:rsidRPr="0028513F">
        <w:t>- Indústria da série fresca da Tapada do Montinho, em quartzito</w:t>
      </w:r>
      <w:r w:rsidRPr="0028513F">
        <w:tab/>
      </w:r>
      <w:proofErr w:type="gramStart"/>
      <w:r>
        <w:t xml:space="preserve">     197</w:t>
      </w:r>
      <w:proofErr w:type="gramEnd"/>
    </w:p>
    <w:p w:rsidR="00A34B7A" w:rsidRPr="0028513F" w:rsidRDefault="00A34B7A" w:rsidP="00E86ADD">
      <w:pPr>
        <w:spacing w:line="360" w:lineRule="auto"/>
        <w:jc w:val="both"/>
        <w:rPr>
          <w:b/>
        </w:rPr>
      </w:pPr>
      <w:r w:rsidRPr="0028513F">
        <w:rPr>
          <w:b/>
        </w:rPr>
        <w:t xml:space="preserve">Figura 6.3.7- </w:t>
      </w:r>
      <w:r w:rsidRPr="0028513F">
        <w:t>Indústria da série fresca da Tapada do Montinho, núcleos (</w:t>
      </w:r>
      <w:proofErr w:type="gramStart"/>
      <w:r w:rsidRPr="0028513F">
        <w:t>quartzito)</w:t>
      </w:r>
      <w:r>
        <w:t xml:space="preserve">  </w:t>
      </w:r>
      <w:r>
        <w:rPr>
          <w:b/>
        </w:rPr>
        <w:t xml:space="preserve"> </w:t>
      </w:r>
      <w:r>
        <w:t>199</w:t>
      </w:r>
      <w:proofErr w:type="gramEnd"/>
    </w:p>
    <w:p w:rsidR="00A34B7A" w:rsidRPr="0028513F" w:rsidRDefault="00A34B7A" w:rsidP="00E86ADD">
      <w:pPr>
        <w:spacing w:line="360" w:lineRule="auto"/>
        <w:jc w:val="both"/>
      </w:pPr>
      <w:r w:rsidRPr="0028513F">
        <w:rPr>
          <w:b/>
        </w:rPr>
        <w:t>Figura 6.3.8</w:t>
      </w:r>
      <w:r w:rsidRPr="0028513F">
        <w:t>- Esquema diacrític</w:t>
      </w:r>
      <w:r>
        <w:t>o</w:t>
      </w:r>
      <w:r w:rsidRPr="0028513F">
        <w:t xml:space="preserve"> do núcleo M41 06</w:t>
      </w:r>
      <w:r w:rsidRPr="0028513F">
        <w:tab/>
      </w:r>
      <w:r w:rsidRPr="0028513F">
        <w:tab/>
      </w:r>
      <w:r>
        <w:tab/>
      </w:r>
      <w:r>
        <w:tab/>
        <w:t xml:space="preserve">     200</w:t>
      </w:r>
    </w:p>
    <w:p w:rsidR="00A34B7A" w:rsidRPr="0028513F" w:rsidRDefault="00A34B7A" w:rsidP="00E86ADD">
      <w:pPr>
        <w:tabs>
          <w:tab w:val="left" w:pos="4820"/>
        </w:tabs>
        <w:spacing w:line="360" w:lineRule="auto"/>
        <w:jc w:val="both"/>
      </w:pPr>
      <w:r w:rsidRPr="0028513F">
        <w:rPr>
          <w:b/>
        </w:rPr>
        <w:t>Figura 6.3.9</w:t>
      </w:r>
      <w:r w:rsidRPr="0028513F">
        <w:t>- Esquema diacrítico do núcleo M41 07</w:t>
      </w:r>
      <w:r w:rsidRPr="0028513F">
        <w:tab/>
      </w:r>
      <w:r w:rsidRPr="0028513F">
        <w:tab/>
      </w:r>
      <w:r w:rsidRPr="0028513F">
        <w:tab/>
      </w:r>
      <w:r w:rsidRPr="0028513F">
        <w:tab/>
      </w:r>
      <w:r>
        <w:t xml:space="preserve">     201</w:t>
      </w:r>
    </w:p>
    <w:p w:rsidR="00A34B7A" w:rsidRPr="0028513F" w:rsidRDefault="00A34B7A" w:rsidP="00E86ADD">
      <w:pPr>
        <w:spacing w:line="360" w:lineRule="auto"/>
        <w:jc w:val="both"/>
      </w:pPr>
      <w:r w:rsidRPr="0028513F">
        <w:rPr>
          <w:b/>
        </w:rPr>
        <w:t>Figura 6.3.10</w:t>
      </w:r>
      <w:r w:rsidRPr="0028513F">
        <w:t>- Esquema diacrític</w:t>
      </w:r>
      <w:r>
        <w:t>o</w:t>
      </w:r>
      <w:r w:rsidRPr="0028513F">
        <w:t xml:space="preserve"> do núcleo M41 10</w:t>
      </w:r>
      <w:r w:rsidRPr="0028513F">
        <w:tab/>
      </w:r>
      <w:r w:rsidRPr="0028513F">
        <w:tab/>
      </w:r>
      <w:r w:rsidRPr="0028513F">
        <w:tab/>
      </w:r>
      <w:r>
        <w:tab/>
        <w:t xml:space="preserve">     202</w:t>
      </w:r>
    </w:p>
    <w:p w:rsidR="00A34B7A" w:rsidRPr="0028513F" w:rsidRDefault="00A34B7A" w:rsidP="00E86ADD">
      <w:pPr>
        <w:spacing w:line="360" w:lineRule="auto"/>
        <w:jc w:val="both"/>
      </w:pPr>
      <w:r w:rsidRPr="0028513F">
        <w:rPr>
          <w:b/>
        </w:rPr>
        <w:t>Figura 6.3.11</w:t>
      </w:r>
      <w:r w:rsidRPr="0028513F">
        <w:t>- Esquema diacrític</w:t>
      </w:r>
      <w:r>
        <w:t>o</w:t>
      </w:r>
      <w:r w:rsidRPr="0028513F">
        <w:t xml:space="preserve"> do núcleo N37 21</w:t>
      </w:r>
      <w:r w:rsidRPr="0028513F">
        <w:tab/>
      </w:r>
      <w:r w:rsidRPr="0028513F">
        <w:tab/>
      </w:r>
      <w:r w:rsidRPr="0028513F">
        <w:tab/>
      </w:r>
      <w:r>
        <w:tab/>
        <w:t xml:space="preserve">     203</w:t>
      </w:r>
    </w:p>
    <w:p w:rsidR="00A34B7A" w:rsidRPr="0028513F" w:rsidRDefault="00EA3774" w:rsidP="00E86ADD">
      <w:pPr>
        <w:spacing w:line="360" w:lineRule="auto"/>
        <w:jc w:val="both"/>
      </w:pPr>
      <w:r w:rsidRPr="00EA3774">
        <w:rPr>
          <w:b/>
          <w:noProof/>
        </w:rPr>
        <w:pict>
          <v:shape id="_x0000_s1723" type="#_x0000_t202" style="position:absolute;left:0;text-align:left;margin-left:392.95pt;margin-top:46.4pt;width:41.05pt;height:32.65pt;z-index:251867136;mso-width-relative:margin;mso-height-relative:margin" stroked="f">
            <v:textbox style="mso-next-textbox:#_x0000_s1723">
              <w:txbxContent>
                <w:p w:rsidR="00B34B0F" w:rsidRDefault="00B34B0F" w:rsidP="001321C3"/>
              </w:txbxContent>
            </v:textbox>
          </v:shape>
        </w:pict>
      </w:r>
      <w:r w:rsidR="00A34B7A" w:rsidRPr="0028513F">
        <w:rPr>
          <w:b/>
        </w:rPr>
        <w:t>Figura 6.3.12</w:t>
      </w:r>
      <w:r w:rsidR="00A34B7A" w:rsidRPr="0028513F">
        <w:t>- Esquema diacrític</w:t>
      </w:r>
      <w:r w:rsidR="00A34B7A">
        <w:t>o</w:t>
      </w:r>
      <w:r w:rsidR="00A34B7A" w:rsidRPr="0028513F">
        <w:t xml:space="preserve"> do núcleo O40 41</w:t>
      </w:r>
      <w:r w:rsidR="00A34B7A" w:rsidRPr="0028513F">
        <w:tab/>
      </w:r>
      <w:r w:rsidR="00A34B7A" w:rsidRPr="0028513F">
        <w:tab/>
      </w:r>
      <w:r w:rsidR="00A34B7A" w:rsidRPr="0028513F">
        <w:tab/>
      </w:r>
      <w:r w:rsidR="00A34B7A">
        <w:tab/>
        <w:t xml:space="preserve">     203</w:t>
      </w:r>
    </w:p>
    <w:p w:rsidR="00A34B7A" w:rsidRDefault="00A34B7A" w:rsidP="00E86ADD">
      <w:pPr>
        <w:spacing w:line="360" w:lineRule="auto"/>
        <w:jc w:val="both"/>
        <w:rPr>
          <w:b/>
        </w:rPr>
      </w:pPr>
      <w:r>
        <w:rPr>
          <w:b/>
        </w:rPr>
        <w:lastRenderedPageBreak/>
        <w:t xml:space="preserve">Figura 6.3.13- </w:t>
      </w:r>
      <w:r w:rsidRPr="000C50B1">
        <w:t>Indústria lítica</w:t>
      </w:r>
      <w:r>
        <w:t xml:space="preserve"> da série fresca</w:t>
      </w:r>
      <w:r w:rsidRPr="000C50B1">
        <w:t xml:space="preserve"> da Tapada do Montinho: junção e remontagem </w:t>
      </w:r>
      <w:r>
        <w:tab/>
      </w:r>
      <w:r>
        <w:tab/>
      </w:r>
      <w:r>
        <w:tab/>
      </w:r>
      <w:r>
        <w:tab/>
      </w:r>
      <w:r>
        <w:tab/>
      </w:r>
      <w:r>
        <w:tab/>
      </w:r>
      <w:r>
        <w:tab/>
      </w:r>
      <w:r>
        <w:tab/>
      </w:r>
      <w:r>
        <w:tab/>
      </w:r>
      <w:r>
        <w:tab/>
        <w:t xml:space="preserve">     204</w:t>
      </w:r>
      <w:r>
        <w:rPr>
          <w:b/>
        </w:rPr>
        <w:t xml:space="preserve"> </w:t>
      </w:r>
    </w:p>
    <w:p w:rsidR="00A34B7A" w:rsidRPr="0028513F" w:rsidRDefault="00A34B7A" w:rsidP="00E86ADD">
      <w:pPr>
        <w:spacing w:line="360" w:lineRule="auto"/>
        <w:jc w:val="both"/>
        <w:rPr>
          <w:b/>
        </w:rPr>
      </w:pPr>
      <w:r>
        <w:rPr>
          <w:b/>
        </w:rPr>
        <w:t xml:space="preserve"> </w:t>
      </w:r>
      <w:r w:rsidRPr="0028513F">
        <w:rPr>
          <w:b/>
        </w:rPr>
        <w:t xml:space="preserve">Figura 6.3.14- </w:t>
      </w:r>
      <w:r>
        <w:t>Indústria da sé</w:t>
      </w:r>
      <w:r w:rsidRPr="0028513F">
        <w:t>rie fresca da Tapada do Montinho, localização das peças da remontagem, da junção e das lascas provenientes da mesma sequência de redução</w:t>
      </w:r>
      <w:r>
        <w:t>205</w:t>
      </w:r>
    </w:p>
    <w:p w:rsidR="00A34B7A" w:rsidRPr="0028513F" w:rsidRDefault="00A34B7A" w:rsidP="00E86ADD">
      <w:pPr>
        <w:spacing w:line="360" w:lineRule="auto"/>
        <w:jc w:val="both"/>
      </w:pPr>
      <w:r>
        <w:rPr>
          <w:b/>
        </w:rPr>
        <w:t>Figura</w:t>
      </w:r>
      <w:r w:rsidRPr="0028513F">
        <w:rPr>
          <w:b/>
        </w:rPr>
        <w:t xml:space="preserve"> 7. 1</w:t>
      </w:r>
      <w:r w:rsidRPr="0028513F">
        <w:t xml:space="preserve">- Vista aérea da zona das Portas de Rodão com indicação dos sítios atribuídos ao Paleolítico médio.  </w:t>
      </w:r>
      <w:r>
        <w:tab/>
      </w:r>
      <w:r>
        <w:tab/>
      </w:r>
      <w:r>
        <w:tab/>
      </w:r>
      <w:r>
        <w:tab/>
      </w:r>
      <w:r>
        <w:tab/>
      </w:r>
      <w:r>
        <w:tab/>
      </w:r>
      <w:r>
        <w:tab/>
        <w:t xml:space="preserve">     208</w:t>
      </w:r>
    </w:p>
    <w:p w:rsidR="00A34B7A" w:rsidRPr="0028513F" w:rsidRDefault="00A34B7A" w:rsidP="00E86ADD">
      <w:pPr>
        <w:spacing w:line="360" w:lineRule="auto"/>
        <w:jc w:val="both"/>
        <w:rPr>
          <w:b/>
        </w:rPr>
      </w:pPr>
      <w:r w:rsidRPr="0028513F">
        <w:rPr>
          <w:b/>
        </w:rPr>
        <w:t>Figura 7.2</w:t>
      </w:r>
      <w:r w:rsidRPr="0028513F">
        <w:t xml:space="preserve">- Análise multiproxy do testemunho marinho </w:t>
      </w:r>
      <w:r w:rsidRPr="0028513F">
        <w:rPr>
          <w:rFonts w:eastAsia="HelveticaNeue"/>
        </w:rPr>
        <w:t xml:space="preserve">MD95-204, esquerda (Sanchez-Goni e D’Errico, 2005), com atribuição cronológica dos três sítios investigados neste trabalho e respectivos cortes estratigráficos. </w:t>
      </w:r>
      <w:r>
        <w:rPr>
          <w:rFonts w:eastAsia="HelveticaNeue"/>
        </w:rPr>
        <w:tab/>
      </w:r>
      <w:r>
        <w:rPr>
          <w:rFonts w:eastAsia="HelveticaNeue"/>
        </w:rPr>
        <w:tab/>
      </w:r>
      <w:r>
        <w:rPr>
          <w:rFonts w:eastAsia="HelveticaNeue"/>
        </w:rPr>
        <w:tab/>
      </w:r>
      <w:r>
        <w:rPr>
          <w:rFonts w:eastAsia="HelveticaNeue"/>
        </w:rPr>
        <w:tab/>
      </w:r>
      <w:r>
        <w:rPr>
          <w:rFonts w:eastAsia="HelveticaNeue"/>
        </w:rPr>
        <w:tab/>
        <w:t xml:space="preserve">     211</w:t>
      </w:r>
    </w:p>
    <w:p w:rsidR="00A34B7A" w:rsidRPr="0028513F" w:rsidRDefault="00A34B7A" w:rsidP="00E86ADD">
      <w:pPr>
        <w:spacing w:line="360" w:lineRule="auto"/>
        <w:jc w:val="both"/>
      </w:pPr>
      <w:r w:rsidRPr="0028513F">
        <w:rPr>
          <w:b/>
        </w:rPr>
        <w:t>Figura 7.3</w:t>
      </w:r>
      <w:r w:rsidRPr="0028513F">
        <w:t>- Vilas Ruivas. Estruturas identificadas como corta-ventos com estr</w:t>
      </w:r>
      <w:r>
        <w:t>uturas de combustão associadas</w:t>
      </w:r>
      <w:r w:rsidRPr="0028513F">
        <w:t xml:space="preserve"> (Silva e Raposo, 1982).   </w:t>
      </w:r>
      <w:r>
        <w:tab/>
      </w:r>
      <w:r>
        <w:tab/>
      </w:r>
      <w:r>
        <w:tab/>
      </w:r>
      <w:r>
        <w:tab/>
      </w:r>
      <w:r>
        <w:tab/>
        <w:t xml:space="preserve">     234</w:t>
      </w:r>
    </w:p>
    <w:p w:rsidR="00A34B7A" w:rsidRPr="0028513F" w:rsidRDefault="00A34B7A" w:rsidP="00E86ADD">
      <w:pPr>
        <w:spacing w:line="360" w:lineRule="auto"/>
        <w:jc w:val="both"/>
      </w:pPr>
      <w:r w:rsidRPr="0028513F">
        <w:rPr>
          <w:b/>
        </w:rPr>
        <w:t>Figura</w:t>
      </w:r>
      <w:r w:rsidRPr="0028513F">
        <w:t xml:space="preserve"> </w:t>
      </w:r>
      <w:r w:rsidRPr="0028513F">
        <w:rPr>
          <w:b/>
        </w:rPr>
        <w:t>7.4</w:t>
      </w:r>
      <w:r w:rsidRPr="0028513F">
        <w:t>- Estação do Port-Pignot (Bretanha, França): Estrutura</w:t>
      </w:r>
      <w:r>
        <w:t xml:space="preserve"> pétrea interpretada</w:t>
      </w:r>
      <w:r w:rsidRPr="0028513F">
        <w:t xml:space="preserve"> como lareira (retirado de Cliquet e Lautridou, 2009). </w:t>
      </w:r>
      <w:r>
        <w:tab/>
      </w:r>
      <w:r>
        <w:tab/>
      </w:r>
      <w:r>
        <w:tab/>
      </w:r>
      <w:r>
        <w:tab/>
        <w:t xml:space="preserve">     235</w:t>
      </w:r>
    </w:p>
    <w:p w:rsidR="00A34B7A" w:rsidRPr="0028513F" w:rsidRDefault="00A34B7A" w:rsidP="00E86ADD">
      <w:pPr>
        <w:spacing w:line="360" w:lineRule="auto"/>
        <w:jc w:val="both"/>
      </w:pPr>
      <w:r w:rsidRPr="0028513F">
        <w:rPr>
          <w:b/>
        </w:rPr>
        <w:t xml:space="preserve">Figura </w:t>
      </w:r>
      <w:r w:rsidRPr="00EE3A33">
        <w:rPr>
          <w:b/>
        </w:rPr>
        <w:t>7</w:t>
      </w:r>
      <w:r w:rsidRPr="0028513F">
        <w:t>.</w:t>
      </w:r>
      <w:r w:rsidRPr="0028513F">
        <w:rPr>
          <w:b/>
        </w:rPr>
        <w:t>5</w:t>
      </w:r>
      <w:r w:rsidRPr="0028513F">
        <w:t>- Sítio de Inden- Altdorf (Bona): Planta das estruturas identificadas: pontos pretos: indústria e pedras; cinzento claro: buracos; cinzento-escuro: lareiras; branco: cabanas/abrigos (retirado de Pawlik e Thissen, 2011).</w:t>
      </w:r>
      <w:r w:rsidRPr="0028513F">
        <w:tab/>
      </w:r>
      <w:r>
        <w:tab/>
      </w:r>
      <w:r>
        <w:tab/>
      </w:r>
      <w:r>
        <w:tab/>
        <w:t xml:space="preserve">     236</w:t>
      </w:r>
    </w:p>
    <w:p w:rsidR="00A34B7A" w:rsidRPr="000C50B1" w:rsidRDefault="00A34B7A" w:rsidP="00E86ADD">
      <w:pPr>
        <w:spacing w:line="360" w:lineRule="auto"/>
        <w:jc w:val="both"/>
      </w:pPr>
      <w:r w:rsidRPr="00A34B7A">
        <w:rPr>
          <w:b/>
        </w:rPr>
        <w:t>Figura 7.6</w:t>
      </w:r>
      <w:r w:rsidRPr="00A34B7A">
        <w:t xml:space="preserve">- Sítio de La Folie, Poitiers, França. </w:t>
      </w:r>
      <w:r w:rsidRPr="000C50B1">
        <w:t xml:space="preserve">A- planta dos vestígios </w:t>
      </w:r>
      <w:r>
        <w:t>do habitat identificado e, B- R</w:t>
      </w:r>
      <w:r w:rsidRPr="000C50B1">
        <w:t>econstruç</w:t>
      </w:r>
      <w:r>
        <w:t>ão desse mesmo habitat. (retirado de: http//www.inrap.fr.)</w:t>
      </w:r>
      <w:r>
        <w:tab/>
      </w:r>
      <w:r>
        <w:tab/>
      </w:r>
      <w:r>
        <w:tab/>
      </w:r>
      <w:r>
        <w:tab/>
      </w:r>
      <w:r>
        <w:tab/>
      </w:r>
      <w:r>
        <w:tab/>
      </w:r>
      <w:r>
        <w:tab/>
      </w:r>
      <w:r>
        <w:tab/>
      </w:r>
      <w:r>
        <w:tab/>
      </w:r>
      <w:r>
        <w:tab/>
      </w:r>
      <w:r>
        <w:tab/>
        <w:t xml:space="preserve">                 237</w:t>
      </w:r>
    </w:p>
    <w:p w:rsidR="00A34B7A" w:rsidRDefault="00A34B7A" w:rsidP="00E86ADD">
      <w:pPr>
        <w:spacing w:line="360" w:lineRule="auto"/>
        <w:jc w:val="both"/>
      </w:pPr>
    </w:p>
    <w:p w:rsidR="00A34B7A" w:rsidRPr="000C50B1" w:rsidRDefault="00A34B7A" w:rsidP="00E86ADD">
      <w:pPr>
        <w:spacing w:line="360" w:lineRule="auto"/>
        <w:jc w:val="both"/>
      </w:pPr>
    </w:p>
    <w:p w:rsidR="00A34B7A" w:rsidRPr="0069146A" w:rsidRDefault="00A34B7A" w:rsidP="00E86ADD">
      <w:pPr>
        <w:spacing w:line="360" w:lineRule="auto"/>
        <w:jc w:val="both"/>
        <w:rPr>
          <w:b/>
          <w:sz w:val="28"/>
          <w:szCs w:val="28"/>
        </w:rPr>
      </w:pPr>
      <w:r w:rsidRPr="0069146A">
        <w:rPr>
          <w:b/>
          <w:sz w:val="28"/>
          <w:szCs w:val="28"/>
        </w:rPr>
        <w:t>Índice dos gráficos.</w:t>
      </w:r>
    </w:p>
    <w:p w:rsidR="00A34B7A" w:rsidRPr="00063DA0" w:rsidRDefault="00A34B7A" w:rsidP="00E86ADD">
      <w:pPr>
        <w:spacing w:line="360" w:lineRule="auto"/>
        <w:jc w:val="both"/>
      </w:pPr>
    </w:p>
    <w:p w:rsidR="00A34B7A" w:rsidRPr="0028513F" w:rsidRDefault="00A34B7A" w:rsidP="00E86ADD">
      <w:pPr>
        <w:spacing w:line="360" w:lineRule="auto"/>
        <w:jc w:val="both"/>
      </w:pPr>
      <w:r w:rsidRPr="0028513F">
        <w:rPr>
          <w:b/>
        </w:rPr>
        <w:t>Gráfico 6.1.1</w:t>
      </w:r>
      <w:r w:rsidRPr="0028513F">
        <w:t>- Suporte da matéria-prima registada nos Pegos do Tejo 2.</w:t>
      </w:r>
      <w:r w:rsidRPr="0028513F">
        <w:tab/>
      </w:r>
      <w:r>
        <w:tab/>
        <w:t xml:space="preserve">     110</w:t>
      </w:r>
    </w:p>
    <w:p w:rsidR="00A34B7A" w:rsidRPr="0028513F" w:rsidRDefault="00A34B7A" w:rsidP="00E86ADD">
      <w:pPr>
        <w:spacing w:line="360" w:lineRule="auto"/>
        <w:jc w:val="both"/>
      </w:pPr>
      <w:r w:rsidRPr="0028513F">
        <w:rPr>
          <w:b/>
        </w:rPr>
        <w:t>Gráfico 6.1.2</w:t>
      </w:r>
      <w:r w:rsidRPr="0028513F">
        <w:t>- Origem da matéria-prima registada nos Pegos do Tejo 2.</w:t>
      </w:r>
      <w:r w:rsidRPr="0028513F">
        <w:tab/>
      </w:r>
      <w:r>
        <w:tab/>
        <w:t xml:space="preserve">     111</w:t>
      </w:r>
    </w:p>
    <w:p w:rsidR="00A34B7A" w:rsidRPr="0028513F" w:rsidRDefault="00A34B7A" w:rsidP="00E86ADD">
      <w:pPr>
        <w:spacing w:line="360" w:lineRule="auto"/>
        <w:jc w:val="both"/>
      </w:pPr>
      <w:r w:rsidRPr="0028513F">
        <w:rPr>
          <w:b/>
        </w:rPr>
        <w:t>Gráfico 6.1.3</w:t>
      </w:r>
      <w:r w:rsidRPr="0028513F">
        <w:t>- Constituição da matéria-prima registada nos Pegos do Tejo 2.</w:t>
      </w:r>
      <w:r w:rsidRPr="0028513F">
        <w:tab/>
      </w:r>
      <w:r>
        <w:t xml:space="preserve">     111</w:t>
      </w:r>
    </w:p>
    <w:p w:rsidR="00A34B7A" w:rsidRPr="0028513F" w:rsidRDefault="00A34B7A" w:rsidP="00E86ADD">
      <w:pPr>
        <w:spacing w:line="360" w:lineRule="auto"/>
        <w:jc w:val="both"/>
      </w:pPr>
      <w:r w:rsidRPr="0028513F">
        <w:rPr>
          <w:b/>
        </w:rPr>
        <w:t>Gráfico 6.1.4</w:t>
      </w:r>
      <w:r w:rsidRPr="0028513F">
        <w:t>- Estado físico do material analisado nos Pegos do Tejo 2.</w:t>
      </w:r>
      <w:r w:rsidRPr="0028513F">
        <w:tab/>
      </w:r>
      <w:r w:rsidRPr="0028513F">
        <w:tab/>
      </w:r>
      <w:r>
        <w:t xml:space="preserve">     112</w:t>
      </w:r>
    </w:p>
    <w:p w:rsidR="00A34B7A" w:rsidRPr="0028513F" w:rsidRDefault="00A34B7A" w:rsidP="00E86ADD">
      <w:pPr>
        <w:spacing w:line="360" w:lineRule="auto"/>
        <w:jc w:val="both"/>
      </w:pPr>
      <w:r w:rsidRPr="0028513F">
        <w:rPr>
          <w:b/>
        </w:rPr>
        <w:t>Gráfico 6.1.5</w:t>
      </w:r>
      <w:r w:rsidRPr="0028513F">
        <w:t xml:space="preserve">- Presença/ausência de córtex na indústria lítica recolhida nos Pegos </w:t>
      </w:r>
      <w:proofErr w:type="gramStart"/>
      <w:r w:rsidRPr="0028513F">
        <w:t>do  Tejo</w:t>
      </w:r>
      <w:proofErr w:type="gramEnd"/>
      <w:r w:rsidRPr="0028513F">
        <w:t xml:space="preserve"> 2.                           </w:t>
      </w:r>
      <w:r>
        <w:t xml:space="preserve">                                                                                              </w:t>
      </w:r>
      <w:r w:rsidRPr="0028513F">
        <w:t xml:space="preserve"> </w:t>
      </w:r>
      <w:r>
        <w:t xml:space="preserve">  113</w:t>
      </w:r>
    </w:p>
    <w:p w:rsidR="00A34B7A" w:rsidRPr="0028513F" w:rsidRDefault="00A34B7A" w:rsidP="00E86ADD">
      <w:pPr>
        <w:spacing w:line="360" w:lineRule="auto"/>
        <w:jc w:val="both"/>
      </w:pPr>
      <w:r w:rsidRPr="0028513F">
        <w:rPr>
          <w:b/>
        </w:rPr>
        <w:t>Gráfico 6.1.6</w:t>
      </w:r>
      <w:r w:rsidRPr="0028513F">
        <w:t xml:space="preserve">- Tipos de percutor registado nos Pegos do Tejo 2.  </w:t>
      </w:r>
      <w:r w:rsidRPr="0028513F">
        <w:tab/>
      </w:r>
      <w:r w:rsidRPr="0028513F">
        <w:tab/>
      </w:r>
      <w:r w:rsidRPr="0028513F">
        <w:tab/>
      </w:r>
      <w:r>
        <w:t xml:space="preserve">     114</w:t>
      </w:r>
    </w:p>
    <w:p w:rsidR="00A34B7A" w:rsidRPr="0028513F" w:rsidRDefault="00A34B7A" w:rsidP="00E86ADD">
      <w:pPr>
        <w:spacing w:line="360" w:lineRule="auto"/>
        <w:jc w:val="both"/>
      </w:pPr>
      <w:r w:rsidRPr="0028513F">
        <w:rPr>
          <w:b/>
        </w:rPr>
        <w:t>Gráfico 6.1.7</w:t>
      </w:r>
      <w:r w:rsidRPr="0028513F">
        <w:t xml:space="preserve">- Relação entre o comprimento e a largura dos percutores recolhidos nos Pegos do Tejo 2.  </w:t>
      </w:r>
      <w:r w:rsidRPr="0028513F">
        <w:tab/>
      </w:r>
      <w:r w:rsidRPr="0028513F">
        <w:tab/>
      </w:r>
      <w:r w:rsidRPr="0028513F">
        <w:tab/>
      </w:r>
      <w:r w:rsidRPr="0028513F">
        <w:tab/>
      </w:r>
      <w:r>
        <w:tab/>
      </w:r>
      <w:r>
        <w:tab/>
      </w:r>
      <w:r>
        <w:tab/>
      </w:r>
      <w:r>
        <w:tab/>
      </w:r>
      <w:r>
        <w:tab/>
        <w:t xml:space="preserve">     115</w:t>
      </w:r>
    </w:p>
    <w:p w:rsidR="00A34B7A" w:rsidRPr="0028513F" w:rsidRDefault="00EA3774" w:rsidP="00E86ADD">
      <w:pPr>
        <w:spacing w:line="360" w:lineRule="auto"/>
        <w:jc w:val="both"/>
      </w:pPr>
      <w:r w:rsidRPr="00EA3774">
        <w:rPr>
          <w:b/>
          <w:noProof/>
        </w:rPr>
        <w:pict>
          <v:shape id="_x0000_s1724" type="#_x0000_t202" style="position:absolute;left:0;text-align:left;margin-left:402.2pt;margin-top:63.8pt;width:41.05pt;height:32.65pt;z-index:251868160;mso-position-vertical:absolute;mso-width-relative:margin;mso-height-relative:margin" stroked="f">
            <v:textbox style="mso-next-textbox:#_x0000_s1724">
              <w:txbxContent>
                <w:p w:rsidR="00B34B0F" w:rsidRDefault="00B34B0F" w:rsidP="001321C3"/>
              </w:txbxContent>
            </v:textbox>
          </v:shape>
        </w:pict>
      </w:r>
      <w:r w:rsidR="00A34B7A" w:rsidRPr="0028513F">
        <w:rPr>
          <w:b/>
        </w:rPr>
        <w:t>Gráfico 6.1.8</w:t>
      </w:r>
      <w:r w:rsidR="00A34B7A" w:rsidRPr="0028513F">
        <w:t>- Percentagem, por categorias, da indústria</w:t>
      </w:r>
      <w:r w:rsidR="00A34B7A">
        <w:t xml:space="preserve"> lítica dos Pegos do Tejo 2. 116</w:t>
      </w:r>
    </w:p>
    <w:p w:rsidR="00A34B7A" w:rsidRPr="0028513F" w:rsidRDefault="00A34B7A" w:rsidP="00E86ADD">
      <w:pPr>
        <w:spacing w:line="360" w:lineRule="auto"/>
        <w:jc w:val="both"/>
      </w:pPr>
      <w:r w:rsidRPr="0028513F">
        <w:rPr>
          <w:b/>
        </w:rPr>
        <w:lastRenderedPageBreak/>
        <w:t>Gráfico 6.1.9</w:t>
      </w:r>
      <w:r w:rsidRPr="0028513F">
        <w:t xml:space="preserve">- Relação entre o comprimento e a largura das lascas recolhidas na estação dos Pegos do Tejo 2.  </w:t>
      </w:r>
      <w:r>
        <w:tab/>
      </w:r>
      <w:r>
        <w:tab/>
      </w:r>
      <w:r>
        <w:tab/>
      </w:r>
      <w:r>
        <w:tab/>
      </w:r>
      <w:r>
        <w:tab/>
      </w:r>
      <w:r>
        <w:tab/>
      </w:r>
      <w:r>
        <w:tab/>
        <w:t xml:space="preserve">  </w:t>
      </w:r>
      <w:r>
        <w:tab/>
        <w:t xml:space="preserve">     117</w:t>
      </w:r>
      <w:r w:rsidRPr="0028513F">
        <w:t xml:space="preserve">  </w:t>
      </w:r>
    </w:p>
    <w:p w:rsidR="00A34B7A" w:rsidRPr="0028513F" w:rsidRDefault="00A34B7A" w:rsidP="00E86ADD">
      <w:pPr>
        <w:spacing w:line="360" w:lineRule="auto"/>
        <w:jc w:val="both"/>
      </w:pPr>
      <w:r w:rsidRPr="0028513F">
        <w:rPr>
          <w:b/>
        </w:rPr>
        <w:t>Gráfico 6.1.10</w:t>
      </w:r>
      <w:r w:rsidRPr="0028513F">
        <w:t xml:space="preserve">- Relação entre a largura e a espessura das lascas recolhidas na estação dos Pegos do Tejo 2.  </w:t>
      </w:r>
      <w:r w:rsidRPr="0028513F">
        <w:tab/>
      </w:r>
      <w:r w:rsidRPr="0028513F">
        <w:tab/>
      </w:r>
      <w:r w:rsidRPr="0028513F">
        <w:tab/>
      </w:r>
      <w:r w:rsidRPr="0028513F">
        <w:tab/>
      </w:r>
      <w:r>
        <w:tab/>
      </w:r>
      <w:r>
        <w:tab/>
      </w:r>
      <w:r>
        <w:tab/>
      </w:r>
      <w:r>
        <w:tab/>
        <w:t xml:space="preserve">     118</w:t>
      </w:r>
    </w:p>
    <w:p w:rsidR="00A34B7A" w:rsidRPr="0028513F" w:rsidRDefault="00A34B7A" w:rsidP="00E86ADD">
      <w:pPr>
        <w:spacing w:line="360" w:lineRule="auto"/>
        <w:jc w:val="both"/>
      </w:pPr>
      <w:r w:rsidRPr="0028513F">
        <w:rPr>
          <w:b/>
        </w:rPr>
        <w:t>Gráfico 6.1.11</w:t>
      </w:r>
      <w:r w:rsidRPr="0028513F">
        <w:t>- Número de negativos de levantamentos registados na face dorsal das lascas recolhid</w:t>
      </w:r>
      <w:r>
        <w:t>a</w:t>
      </w:r>
      <w:r w:rsidRPr="0028513F">
        <w:t xml:space="preserve">s na estação dos Pegos do Tejo 2. </w:t>
      </w:r>
      <w:r w:rsidRPr="0028513F">
        <w:tab/>
      </w:r>
      <w:r w:rsidRPr="0028513F">
        <w:tab/>
      </w:r>
      <w:r>
        <w:tab/>
      </w:r>
      <w:r>
        <w:tab/>
      </w:r>
      <w:r>
        <w:tab/>
        <w:t xml:space="preserve">     118</w:t>
      </w:r>
    </w:p>
    <w:p w:rsidR="00A34B7A" w:rsidRPr="0028513F" w:rsidRDefault="00A34B7A" w:rsidP="00E86ADD">
      <w:pPr>
        <w:spacing w:line="360" w:lineRule="auto"/>
        <w:jc w:val="both"/>
      </w:pPr>
      <w:r w:rsidRPr="0028513F">
        <w:rPr>
          <w:b/>
        </w:rPr>
        <w:t>Gráfico 6.1.12</w:t>
      </w:r>
      <w:r w:rsidRPr="0028513F">
        <w:t>- Orientação dos negativos de levantamentos registados na face dorsal das lascas recolhid</w:t>
      </w:r>
      <w:r>
        <w:t>a</w:t>
      </w:r>
      <w:r w:rsidRPr="0028513F">
        <w:t xml:space="preserve">s na estação dos Pegos do Tejo 2.  </w:t>
      </w:r>
      <w:r>
        <w:tab/>
      </w:r>
      <w:r>
        <w:tab/>
      </w:r>
      <w:r>
        <w:tab/>
      </w:r>
      <w:r>
        <w:tab/>
        <w:t xml:space="preserve">     119</w:t>
      </w:r>
    </w:p>
    <w:p w:rsidR="00A34B7A" w:rsidRPr="0028513F" w:rsidRDefault="00A34B7A" w:rsidP="00E86ADD">
      <w:pPr>
        <w:spacing w:line="360" w:lineRule="auto"/>
        <w:jc w:val="both"/>
      </w:pPr>
      <w:r w:rsidRPr="0028513F">
        <w:rPr>
          <w:b/>
        </w:rPr>
        <w:t>Gráfico 6.1.13</w:t>
      </w:r>
      <w:r w:rsidRPr="0028513F">
        <w:t>- Perfil do talão das lascas recolhid</w:t>
      </w:r>
      <w:r>
        <w:t>a</w:t>
      </w:r>
      <w:r w:rsidRPr="0028513F">
        <w:t xml:space="preserve">s na estação dos Pegos do Tejo 2.  </w:t>
      </w:r>
      <w:r>
        <w:tab/>
      </w:r>
      <w:r>
        <w:tab/>
      </w:r>
      <w:r>
        <w:tab/>
      </w:r>
      <w:r>
        <w:tab/>
      </w:r>
      <w:r>
        <w:tab/>
      </w:r>
      <w:r>
        <w:tab/>
      </w:r>
      <w:r>
        <w:tab/>
      </w:r>
      <w:r>
        <w:tab/>
      </w:r>
      <w:r>
        <w:tab/>
      </w:r>
      <w:r>
        <w:tab/>
        <w:t xml:space="preserve">                   </w:t>
      </w:r>
      <w:r>
        <w:tab/>
        <w:t xml:space="preserve">     119</w:t>
      </w:r>
    </w:p>
    <w:p w:rsidR="00A34B7A" w:rsidRPr="0028513F" w:rsidRDefault="00A34B7A" w:rsidP="00E86ADD">
      <w:pPr>
        <w:spacing w:line="360" w:lineRule="auto"/>
        <w:jc w:val="both"/>
      </w:pPr>
      <w:r w:rsidRPr="0028513F">
        <w:rPr>
          <w:b/>
        </w:rPr>
        <w:t>Gráfico 6.1.14</w:t>
      </w:r>
      <w:r w:rsidRPr="0028513F">
        <w:t>- Morfologia do talão das lascas recolhid</w:t>
      </w:r>
      <w:r>
        <w:t>a</w:t>
      </w:r>
      <w:r w:rsidRPr="0028513F">
        <w:t xml:space="preserve">s na estação dos Pegos do Tejo 2. </w:t>
      </w:r>
      <w:r>
        <w:t xml:space="preserve">                                                  </w:t>
      </w:r>
      <w:r>
        <w:tab/>
      </w:r>
      <w:r>
        <w:tab/>
      </w:r>
      <w:r>
        <w:tab/>
      </w:r>
      <w:r>
        <w:tab/>
      </w:r>
      <w:r>
        <w:tab/>
      </w:r>
      <w:r>
        <w:tab/>
      </w:r>
      <w:r>
        <w:tab/>
        <w:t xml:space="preserve">     120</w:t>
      </w:r>
    </w:p>
    <w:p w:rsidR="00A34B7A" w:rsidRPr="0028513F" w:rsidRDefault="00A34B7A" w:rsidP="00E86ADD">
      <w:pPr>
        <w:spacing w:line="360" w:lineRule="auto"/>
        <w:jc w:val="both"/>
      </w:pPr>
      <w:r w:rsidRPr="0028513F">
        <w:rPr>
          <w:b/>
        </w:rPr>
        <w:t>Gráfico 6.1.15</w:t>
      </w:r>
      <w:r w:rsidRPr="0028513F">
        <w:t>- Relação entre o comprimento e a espessura dos talões das lascas recolhidas nos Pegos do Tejo 2</w:t>
      </w:r>
      <w:r>
        <w:t xml:space="preserve">. </w:t>
      </w:r>
      <w:r>
        <w:tab/>
      </w:r>
      <w:r>
        <w:tab/>
      </w:r>
      <w:r>
        <w:tab/>
      </w:r>
      <w:r>
        <w:tab/>
      </w:r>
      <w:r>
        <w:tab/>
      </w:r>
      <w:r>
        <w:tab/>
      </w:r>
      <w:r>
        <w:tab/>
        <w:t xml:space="preserve">     121</w:t>
      </w:r>
    </w:p>
    <w:p w:rsidR="00A34B7A" w:rsidRPr="0028513F" w:rsidRDefault="00A34B7A" w:rsidP="00E86ADD">
      <w:pPr>
        <w:spacing w:line="360" w:lineRule="auto"/>
        <w:jc w:val="both"/>
      </w:pPr>
      <w:r w:rsidRPr="0028513F">
        <w:rPr>
          <w:b/>
        </w:rPr>
        <w:t>Gráfico 6.1.16</w:t>
      </w:r>
      <w:r w:rsidRPr="0028513F">
        <w:t xml:space="preserve">- Número de levantamentos registados nos núcleos recolhidos nos Pegos do Tejo 2. </w:t>
      </w:r>
      <w:r>
        <w:tab/>
      </w:r>
      <w:r>
        <w:tab/>
      </w:r>
      <w:r>
        <w:tab/>
      </w:r>
      <w:r>
        <w:tab/>
      </w:r>
      <w:r>
        <w:tab/>
      </w:r>
      <w:r>
        <w:tab/>
      </w:r>
      <w:r>
        <w:tab/>
      </w:r>
      <w:r>
        <w:tab/>
      </w:r>
      <w:r>
        <w:tab/>
      </w:r>
      <w:r>
        <w:tab/>
        <w:t xml:space="preserve">    </w:t>
      </w:r>
      <w:r w:rsidRPr="0028513F">
        <w:t xml:space="preserve"> </w:t>
      </w:r>
      <w:r>
        <w:t>122</w:t>
      </w:r>
    </w:p>
    <w:p w:rsidR="00A34B7A" w:rsidRPr="0028513F" w:rsidRDefault="00A34B7A" w:rsidP="00E86ADD">
      <w:pPr>
        <w:spacing w:line="360" w:lineRule="auto"/>
        <w:jc w:val="both"/>
      </w:pPr>
      <w:r w:rsidRPr="0028513F">
        <w:rPr>
          <w:b/>
        </w:rPr>
        <w:t>Gráfico 6.1.17</w:t>
      </w:r>
      <w:r w:rsidRPr="0028513F">
        <w:t xml:space="preserve">- Relação entre o comprimento e largura dos núcleos recolhidos nos Pegos do Tejo 2. </w:t>
      </w:r>
      <w:r w:rsidRPr="0028513F">
        <w:tab/>
      </w:r>
      <w:r w:rsidRPr="0028513F">
        <w:tab/>
      </w:r>
      <w:r w:rsidRPr="0028513F">
        <w:tab/>
      </w:r>
      <w:r w:rsidRPr="0028513F">
        <w:tab/>
      </w:r>
      <w:r>
        <w:tab/>
      </w:r>
      <w:r>
        <w:tab/>
      </w:r>
      <w:r>
        <w:tab/>
      </w:r>
      <w:r>
        <w:tab/>
      </w:r>
      <w:r>
        <w:tab/>
        <w:t xml:space="preserve">    </w:t>
      </w:r>
      <w:r w:rsidRPr="0028513F">
        <w:t xml:space="preserve"> </w:t>
      </w:r>
      <w:r>
        <w:t>122</w:t>
      </w:r>
    </w:p>
    <w:p w:rsidR="00A34B7A" w:rsidRPr="0028513F" w:rsidRDefault="00A34B7A" w:rsidP="00E86ADD">
      <w:pPr>
        <w:spacing w:line="360" w:lineRule="auto"/>
        <w:jc w:val="both"/>
      </w:pPr>
      <w:r w:rsidRPr="0028513F">
        <w:rPr>
          <w:b/>
        </w:rPr>
        <w:t>Gráfico 6.1.18</w:t>
      </w:r>
      <w:r w:rsidRPr="0028513F">
        <w:t xml:space="preserve">- Relação entre a largura e a espessura dos núcleos recolhidos nos Pegos do Tejo 2. </w:t>
      </w:r>
      <w:r w:rsidRPr="0028513F">
        <w:tab/>
      </w:r>
      <w:r w:rsidRPr="0028513F">
        <w:tab/>
      </w:r>
      <w:r w:rsidRPr="0028513F">
        <w:tab/>
      </w:r>
      <w:r w:rsidRPr="0028513F">
        <w:tab/>
      </w:r>
      <w:r>
        <w:tab/>
      </w:r>
      <w:r>
        <w:tab/>
      </w:r>
      <w:r>
        <w:tab/>
      </w:r>
      <w:r>
        <w:tab/>
      </w:r>
      <w:r>
        <w:tab/>
      </w:r>
      <w:r>
        <w:tab/>
        <w:t xml:space="preserve">    </w:t>
      </w:r>
      <w:r w:rsidRPr="0028513F">
        <w:t xml:space="preserve"> </w:t>
      </w:r>
      <w:r>
        <w:t>123</w:t>
      </w:r>
    </w:p>
    <w:p w:rsidR="00A34B7A" w:rsidRPr="0028513F" w:rsidRDefault="00A34B7A" w:rsidP="00E86ADD">
      <w:pPr>
        <w:spacing w:line="360" w:lineRule="auto"/>
        <w:jc w:val="both"/>
      </w:pPr>
      <w:r w:rsidRPr="0028513F">
        <w:rPr>
          <w:b/>
        </w:rPr>
        <w:t>Gráfico 6.1.19</w:t>
      </w:r>
      <w:r w:rsidRPr="0028513F">
        <w:t xml:space="preserve">- Relação entre o comprimento e largura dos núcleos recolhidos nos Pegos do Tejo 2.  </w:t>
      </w:r>
      <w:r w:rsidRPr="0028513F">
        <w:tab/>
      </w:r>
      <w:r w:rsidRPr="0028513F">
        <w:tab/>
      </w:r>
      <w:r w:rsidRPr="0028513F">
        <w:tab/>
      </w:r>
      <w:r w:rsidRPr="0028513F">
        <w:tab/>
      </w:r>
      <w:r>
        <w:tab/>
      </w:r>
      <w:r>
        <w:tab/>
      </w:r>
      <w:r>
        <w:tab/>
      </w:r>
      <w:r>
        <w:tab/>
      </w:r>
      <w:r>
        <w:tab/>
        <w:t xml:space="preserve">     123</w:t>
      </w:r>
    </w:p>
    <w:p w:rsidR="00A34B7A" w:rsidRPr="0028513F" w:rsidRDefault="00A34B7A" w:rsidP="00E86ADD">
      <w:pPr>
        <w:spacing w:line="360" w:lineRule="auto"/>
        <w:jc w:val="both"/>
      </w:pPr>
      <w:r w:rsidRPr="0028513F">
        <w:rPr>
          <w:b/>
        </w:rPr>
        <w:t>Gráfico 6.2.1</w:t>
      </w:r>
      <w:r w:rsidRPr="0028513F">
        <w:t xml:space="preserve">- Suporte da matéria-prima utilizada na estação do </w:t>
      </w:r>
      <w:proofErr w:type="gramStart"/>
      <w:r w:rsidRPr="0028513F">
        <w:t xml:space="preserve">Azinhal.  </w:t>
      </w:r>
      <w:r>
        <w:t xml:space="preserve">                </w:t>
      </w:r>
      <w:proofErr w:type="gramEnd"/>
      <w:r>
        <w:t>141</w:t>
      </w:r>
    </w:p>
    <w:p w:rsidR="00A34B7A" w:rsidRPr="0028513F" w:rsidRDefault="00A34B7A" w:rsidP="00E86ADD">
      <w:pPr>
        <w:spacing w:line="360" w:lineRule="auto"/>
        <w:jc w:val="both"/>
      </w:pPr>
      <w:r w:rsidRPr="0028513F">
        <w:rPr>
          <w:b/>
        </w:rPr>
        <w:t>Gráfico 6.2.2</w:t>
      </w:r>
      <w:r w:rsidRPr="0028513F">
        <w:t>- Origem da matéria-prima recolhida na estação do Azinhal.</w:t>
      </w:r>
      <w:r w:rsidRPr="0028513F">
        <w:tab/>
      </w:r>
      <w:r>
        <w:t xml:space="preserve">     142</w:t>
      </w:r>
    </w:p>
    <w:p w:rsidR="00A34B7A" w:rsidRPr="0028513F" w:rsidRDefault="00A34B7A" w:rsidP="00E86ADD">
      <w:pPr>
        <w:spacing w:line="360" w:lineRule="auto"/>
        <w:jc w:val="both"/>
      </w:pPr>
      <w:r w:rsidRPr="0028513F">
        <w:rPr>
          <w:b/>
        </w:rPr>
        <w:t>Gráfico 6.2.3</w:t>
      </w:r>
      <w:r w:rsidRPr="0028513F">
        <w:t>- Tipo de matéria-prima utilizada na estação do Azinhal.</w:t>
      </w:r>
      <w:r w:rsidRPr="0028513F">
        <w:tab/>
      </w:r>
      <w:r w:rsidRPr="0028513F">
        <w:tab/>
      </w:r>
      <w:r>
        <w:t xml:space="preserve">     142</w:t>
      </w:r>
    </w:p>
    <w:p w:rsidR="00A34B7A" w:rsidRPr="0028513F" w:rsidRDefault="00A34B7A" w:rsidP="00E86ADD">
      <w:pPr>
        <w:spacing w:line="360" w:lineRule="auto"/>
        <w:jc w:val="both"/>
      </w:pPr>
      <w:r w:rsidRPr="0028513F">
        <w:rPr>
          <w:b/>
        </w:rPr>
        <w:t>Gráfico 6.2.4</w:t>
      </w:r>
      <w:r w:rsidRPr="0028513F">
        <w:t>- Estado de conservação da indústria lítica recolhida na estação do Azinhal.</w:t>
      </w:r>
      <w:r w:rsidRPr="0028513F">
        <w:tab/>
      </w:r>
      <w:r w:rsidRPr="0028513F">
        <w:tab/>
      </w:r>
      <w:r>
        <w:tab/>
      </w:r>
      <w:r>
        <w:tab/>
      </w:r>
      <w:r>
        <w:tab/>
      </w:r>
      <w:r>
        <w:tab/>
      </w:r>
      <w:r>
        <w:tab/>
      </w:r>
      <w:r>
        <w:tab/>
      </w:r>
      <w:r>
        <w:tab/>
      </w:r>
      <w:r>
        <w:tab/>
        <w:t xml:space="preserve">     143</w:t>
      </w:r>
    </w:p>
    <w:p w:rsidR="00A34B7A" w:rsidRPr="0028513F" w:rsidRDefault="00A34B7A" w:rsidP="00E86ADD">
      <w:pPr>
        <w:spacing w:line="360" w:lineRule="auto"/>
        <w:jc w:val="both"/>
      </w:pPr>
      <w:r w:rsidRPr="0028513F">
        <w:rPr>
          <w:b/>
        </w:rPr>
        <w:t>Gráfico 6.2.5</w:t>
      </w:r>
      <w:r w:rsidRPr="0028513F">
        <w:t>- Tipo de percutor utilizado na estação do Azinhal.</w:t>
      </w:r>
      <w:r w:rsidRPr="0028513F">
        <w:tab/>
      </w:r>
      <w:r w:rsidRPr="0028513F">
        <w:tab/>
      </w:r>
      <w:r>
        <w:tab/>
        <w:t xml:space="preserve">     143</w:t>
      </w:r>
    </w:p>
    <w:p w:rsidR="00A34B7A" w:rsidRPr="0028513F" w:rsidRDefault="00A34B7A" w:rsidP="00E86ADD">
      <w:pPr>
        <w:spacing w:line="360" w:lineRule="auto"/>
        <w:jc w:val="both"/>
      </w:pPr>
      <w:r w:rsidRPr="0028513F">
        <w:rPr>
          <w:b/>
        </w:rPr>
        <w:t>Gráfico 6.2.6</w:t>
      </w:r>
      <w:r w:rsidRPr="0028513F">
        <w:t>- Caracterização da indústria exumada na estação do Azinhal</w:t>
      </w:r>
      <w:r w:rsidRPr="0028513F">
        <w:tab/>
      </w:r>
      <w:proofErr w:type="gramStart"/>
      <w:r>
        <w:t xml:space="preserve">     144</w:t>
      </w:r>
      <w:proofErr w:type="gramEnd"/>
    </w:p>
    <w:p w:rsidR="00A34B7A" w:rsidRPr="0028513F" w:rsidRDefault="00A34B7A" w:rsidP="00E86ADD">
      <w:pPr>
        <w:spacing w:line="360" w:lineRule="auto"/>
        <w:jc w:val="both"/>
      </w:pPr>
      <w:r w:rsidRPr="0028513F">
        <w:rPr>
          <w:b/>
        </w:rPr>
        <w:t>Gráfico 6.2.7</w:t>
      </w:r>
      <w:r w:rsidRPr="0028513F">
        <w:t xml:space="preserve">- Azinhal: razão comprimento/largura das lascas. </w:t>
      </w:r>
      <w:r w:rsidRPr="0028513F">
        <w:tab/>
      </w:r>
      <w:r w:rsidRPr="0028513F">
        <w:tab/>
      </w:r>
      <w:r>
        <w:t xml:space="preserve">                 145</w:t>
      </w:r>
    </w:p>
    <w:p w:rsidR="00A34B7A" w:rsidRPr="0028513F" w:rsidRDefault="00A34B7A" w:rsidP="00E86ADD">
      <w:pPr>
        <w:spacing w:line="360" w:lineRule="auto"/>
        <w:jc w:val="both"/>
      </w:pPr>
      <w:r w:rsidRPr="0028513F">
        <w:rPr>
          <w:b/>
        </w:rPr>
        <w:t>Gráfico 6.2.8</w:t>
      </w:r>
      <w:r w:rsidRPr="0028513F">
        <w:t xml:space="preserve">- Azinhal: razão largura/espessura das lascas. </w:t>
      </w:r>
      <w:r w:rsidRPr="0028513F">
        <w:tab/>
      </w:r>
      <w:r w:rsidRPr="0028513F">
        <w:tab/>
      </w:r>
      <w:r w:rsidRPr="0028513F">
        <w:tab/>
      </w:r>
      <w:r>
        <w:t xml:space="preserve">     145</w:t>
      </w:r>
    </w:p>
    <w:p w:rsidR="00A34B7A" w:rsidRPr="0028513F" w:rsidRDefault="00A34B7A" w:rsidP="00E86ADD">
      <w:pPr>
        <w:spacing w:line="360" w:lineRule="auto"/>
        <w:jc w:val="both"/>
      </w:pPr>
      <w:r w:rsidRPr="0028513F">
        <w:rPr>
          <w:b/>
        </w:rPr>
        <w:t>Gráfico 6.2.9</w:t>
      </w:r>
      <w:r w:rsidRPr="0028513F">
        <w:t xml:space="preserve">- Azinhal: razão comprimento/espessura das lascas. </w:t>
      </w:r>
      <w:r w:rsidRPr="0028513F">
        <w:tab/>
      </w:r>
      <w:r w:rsidRPr="0028513F">
        <w:tab/>
      </w:r>
      <w:r>
        <w:tab/>
        <w:t xml:space="preserve">     146</w:t>
      </w:r>
    </w:p>
    <w:p w:rsidR="00A34B7A" w:rsidRPr="0028513F" w:rsidRDefault="00EA3774" w:rsidP="00E86ADD">
      <w:pPr>
        <w:spacing w:line="360" w:lineRule="auto"/>
        <w:jc w:val="both"/>
      </w:pPr>
      <w:r w:rsidRPr="00EA3774">
        <w:rPr>
          <w:b/>
          <w:noProof/>
        </w:rPr>
        <w:pict>
          <v:shape id="_x0000_s1732" type="#_x0000_t202" style="position:absolute;left:0;text-align:left;margin-left:414.2pt;margin-top:79.25pt;width:41.05pt;height:32.65pt;z-index:251869184;mso-width-relative:margin;mso-height-relative:margin" stroked="f">
            <v:textbox style="mso-next-textbox:#_x0000_s1732">
              <w:txbxContent>
                <w:p w:rsidR="00B34B0F" w:rsidRDefault="00B34B0F" w:rsidP="00E86ADD"/>
              </w:txbxContent>
            </v:textbox>
          </v:shape>
        </w:pict>
      </w:r>
      <w:r w:rsidR="00A34B7A" w:rsidRPr="0028513F">
        <w:rPr>
          <w:b/>
        </w:rPr>
        <w:t>Gráfico 6.2.10</w:t>
      </w:r>
      <w:r w:rsidR="00A34B7A" w:rsidRPr="0028513F">
        <w:t>- Número de levantamentos identificados na face dorsal das lascas recolhidas no Azinhal.</w:t>
      </w:r>
      <w:r w:rsidR="00A34B7A" w:rsidRPr="0028513F">
        <w:tab/>
      </w:r>
      <w:r w:rsidR="00A34B7A">
        <w:tab/>
      </w:r>
      <w:r w:rsidR="00A34B7A">
        <w:tab/>
      </w:r>
      <w:r w:rsidR="00A34B7A">
        <w:tab/>
      </w:r>
      <w:r w:rsidR="00A34B7A">
        <w:tab/>
      </w:r>
      <w:r w:rsidR="00A34B7A">
        <w:tab/>
      </w:r>
      <w:r w:rsidR="00A34B7A">
        <w:tab/>
      </w:r>
      <w:r w:rsidR="00A34B7A">
        <w:tab/>
        <w:t xml:space="preserve">     146</w:t>
      </w:r>
    </w:p>
    <w:p w:rsidR="00A34B7A" w:rsidRPr="0028513F" w:rsidRDefault="00A34B7A" w:rsidP="00E86ADD">
      <w:pPr>
        <w:spacing w:line="360" w:lineRule="auto"/>
        <w:jc w:val="both"/>
      </w:pPr>
      <w:r w:rsidRPr="0028513F">
        <w:rPr>
          <w:b/>
        </w:rPr>
        <w:lastRenderedPageBreak/>
        <w:t>Gráfico 6.2.11</w:t>
      </w:r>
      <w:r w:rsidRPr="0028513F">
        <w:t>- Orientação dos levantamentos identificados na face dorsal das lascas recolhidas no Azinhal.</w:t>
      </w:r>
      <w:r w:rsidRPr="0028513F">
        <w:tab/>
      </w:r>
      <w:r w:rsidRPr="0028513F">
        <w:tab/>
      </w:r>
      <w:r>
        <w:tab/>
      </w:r>
      <w:r>
        <w:tab/>
      </w:r>
      <w:r>
        <w:tab/>
      </w:r>
      <w:r>
        <w:tab/>
      </w:r>
      <w:r>
        <w:tab/>
      </w:r>
      <w:r>
        <w:tab/>
        <w:t xml:space="preserve">     147</w:t>
      </w:r>
    </w:p>
    <w:p w:rsidR="00A34B7A" w:rsidRPr="0028513F" w:rsidRDefault="00A34B7A" w:rsidP="00E86ADD">
      <w:pPr>
        <w:spacing w:line="360" w:lineRule="auto"/>
        <w:jc w:val="both"/>
      </w:pPr>
      <w:r w:rsidRPr="0028513F">
        <w:rPr>
          <w:b/>
        </w:rPr>
        <w:t>Gráfico 6.2.12</w:t>
      </w:r>
      <w:r w:rsidRPr="0028513F">
        <w:t>- Perfil do talão das lascas recolhidas no Azinhal.</w:t>
      </w:r>
      <w:r w:rsidRPr="0028513F">
        <w:tab/>
      </w:r>
      <w:r>
        <w:tab/>
      </w:r>
      <w:r>
        <w:tab/>
        <w:t xml:space="preserve">     148</w:t>
      </w:r>
    </w:p>
    <w:p w:rsidR="00A34B7A" w:rsidRPr="0028513F" w:rsidRDefault="00A34B7A" w:rsidP="00E86ADD">
      <w:pPr>
        <w:spacing w:line="360" w:lineRule="auto"/>
        <w:jc w:val="both"/>
      </w:pPr>
      <w:r w:rsidRPr="0028513F">
        <w:rPr>
          <w:b/>
        </w:rPr>
        <w:t>Gráfico 6.2.13</w:t>
      </w:r>
      <w:r w:rsidRPr="0028513F">
        <w:t>- Morfologia do talão das lascas recolhidas no Azinhal.</w:t>
      </w:r>
      <w:r w:rsidRPr="0028513F">
        <w:tab/>
      </w:r>
      <w:r>
        <w:t xml:space="preserve">                 148</w:t>
      </w:r>
    </w:p>
    <w:p w:rsidR="00A34B7A" w:rsidRPr="0028513F" w:rsidRDefault="00A34B7A" w:rsidP="00E86ADD">
      <w:pPr>
        <w:spacing w:line="360" w:lineRule="auto"/>
        <w:jc w:val="both"/>
      </w:pPr>
      <w:r w:rsidRPr="0028513F">
        <w:rPr>
          <w:b/>
        </w:rPr>
        <w:t>Gráfico 6.2.14</w:t>
      </w:r>
      <w:r w:rsidRPr="0028513F">
        <w:t>- Razão comprimento/espessura do talão das lascas recolhidas no Azinhal.</w:t>
      </w:r>
      <w:r w:rsidRPr="0028513F">
        <w:tab/>
      </w:r>
      <w:r w:rsidRPr="0028513F">
        <w:tab/>
      </w:r>
      <w:r>
        <w:tab/>
      </w:r>
      <w:r>
        <w:tab/>
      </w:r>
      <w:r>
        <w:tab/>
      </w:r>
      <w:r>
        <w:tab/>
      </w:r>
      <w:r>
        <w:tab/>
      </w:r>
      <w:r>
        <w:tab/>
      </w:r>
      <w:r>
        <w:tab/>
      </w:r>
      <w:r>
        <w:tab/>
        <w:t xml:space="preserve">     149</w:t>
      </w:r>
    </w:p>
    <w:p w:rsidR="00A34B7A" w:rsidRPr="0028513F" w:rsidRDefault="00A34B7A" w:rsidP="00E86ADD">
      <w:pPr>
        <w:spacing w:line="360" w:lineRule="auto"/>
        <w:jc w:val="both"/>
      </w:pPr>
      <w:r w:rsidRPr="0028513F">
        <w:rPr>
          <w:b/>
        </w:rPr>
        <w:t>Gráfico 6.2.15</w:t>
      </w:r>
      <w:r w:rsidRPr="0028513F">
        <w:t>- Presença de córtex na indústria lítica do Azinhal.</w:t>
      </w:r>
      <w:r w:rsidRPr="0028513F">
        <w:tab/>
      </w:r>
      <w:r w:rsidRPr="0028513F">
        <w:tab/>
      </w:r>
      <w:r>
        <w:t xml:space="preserve">                 149</w:t>
      </w:r>
    </w:p>
    <w:p w:rsidR="00A34B7A" w:rsidRPr="0028513F" w:rsidRDefault="00A34B7A" w:rsidP="00E86ADD">
      <w:pPr>
        <w:spacing w:line="360" w:lineRule="auto"/>
        <w:jc w:val="both"/>
      </w:pPr>
      <w:r w:rsidRPr="0028513F">
        <w:rPr>
          <w:b/>
        </w:rPr>
        <w:t>Gráfico 6.2.16</w:t>
      </w:r>
      <w:r w:rsidRPr="0028513F">
        <w:t>- Número de levantamentos identificados nos núcleos recolhidas no Azinhal.</w:t>
      </w:r>
      <w:r w:rsidRPr="0028513F">
        <w:tab/>
      </w:r>
      <w:r w:rsidRPr="0028513F">
        <w:tab/>
      </w:r>
      <w:r w:rsidRPr="0028513F">
        <w:tab/>
      </w:r>
      <w:r>
        <w:tab/>
      </w:r>
      <w:r>
        <w:tab/>
      </w:r>
      <w:r>
        <w:tab/>
      </w:r>
      <w:r>
        <w:tab/>
      </w:r>
      <w:r>
        <w:tab/>
      </w:r>
      <w:r>
        <w:tab/>
      </w:r>
      <w:r>
        <w:tab/>
        <w:t xml:space="preserve">     150</w:t>
      </w:r>
    </w:p>
    <w:p w:rsidR="00A34B7A" w:rsidRPr="0028513F" w:rsidRDefault="00A34B7A" w:rsidP="00E86ADD">
      <w:pPr>
        <w:spacing w:line="360" w:lineRule="auto"/>
        <w:jc w:val="both"/>
      </w:pPr>
      <w:r w:rsidRPr="0028513F">
        <w:rPr>
          <w:b/>
        </w:rPr>
        <w:t>Gráfico 6.2.17</w:t>
      </w:r>
      <w:r w:rsidRPr="0028513F">
        <w:t>- Razão comprimento/largura dos núcleos recolhidos no Azinhal.</w:t>
      </w:r>
      <w:r w:rsidRPr="0028513F">
        <w:tab/>
      </w:r>
      <w:r>
        <w:t xml:space="preserve">     151</w:t>
      </w:r>
    </w:p>
    <w:p w:rsidR="00A34B7A" w:rsidRPr="0028513F" w:rsidRDefault="00A34B7A" w:rsidP="00E86ADD">
      <w:pPr>
        <w:spacing w:line="360" w:lineRule="auto"/>
        <w:jc w:val="both"/>
      </w:pPr>
      <w:r w:rsidRPr="0028513F">
        <w:rPr>
          <w:b/>
        </w:rPr>
        <w:t>Gráfico 6.2.18</w:t>
      </w:r>
      <w:r w:rsidRPr="0028513F">
        <w:t>- Razão largura/espessura dos núcleos recolhidos no Azinhal.</w:t>
      </w:r>
      <w:r w:rsidRPr="0028513F">
        <w:tab/>
      </w:r>
      <w:r>
        <w:t xml:space="preserve">     151</w:t>
      </w:r>
    </w:p>
    <w:p w:rsidR="00A34B7A" w:rsidRPr="0028513F" w:rsidRDefault="00A34B7A" w:rsidP="00E86ADD">
      <w:pPr>
        <w:spacing w:line="360" w:lineRule="auto"/>
        <w:jc w:val="both"/>
      </w:pPr>
      <w:r w:rsidRPr="0028513F">
        <w:rPr>
          <w:b/>
        </w:rPr>
        <w:t>Gráfico 6.2.19</w:t>
      </w:r>
      <w:r w:rsidRPr="0028513F">
        <w:t xml:space="preserve">- Razão espessura/comprimento dos núcleos recolhidos no </w:t>
      </w:r>
      <w:proofErr w:type="gramStart"/>
      <w:r w:rsidRPr="0028513F">
        <w:t>Azinhal.</w:t>
      </w:r>
      <w:r>
        <w:t xml:space="preserve">   </w:t>
      </w:r>
      <w:proofErr w:type="gramEnd"/>
      <w:r>
        <w:t>152</w:t>
      </w:r>
    </w:p>
    <w:p w:rsidR="00A34B7A" w:rsidRPr="0028513F" w:rsidRDefault="00A34B7A" w:rsidP="00E86ADD">
      <w:pPr>
        <w:spacing w:line="360" w:lineRule="auto"/>
        <w:jc w:val="both"/>
      </w:pPr>
      <w:r w:rsidRPr="0028513F">
        <w:rPr>
          <w:b/>
        </w:rPr>
        <w:t>Gráfico 6.3.1</w:t>
      </w:r>
      <w:r w:rsidRPr="0028513F">
        <w:t xml:space="preserve">- Origem </w:t>
      </w:r>
      <w:r>
        <w:t>da matéria-prima registada na sé</w:t>
      </w:r>
      <w:r w:rsidRPr="0028513F">
        <w:t>rie patinada da Tapada do Montinho.</w:t>
      </w:r>
      <w:r w:rsidRPr="0028513F">
        <w:tab/>
      </w:r>
      <w:r w:rsidRPr="0028513F">
        <w:tab/>
      </w:r>
      <w:r w:rsidRPr="0028513F">
        <w:tab/>
      </w:r>
      <w:r w:rsidRPr="0028513F">
        <w:tab/>
      </w:r>
      <w:r w:rsidRPr="0028513F">
        <w:tab/>
      </w:r>
      <w:r>
        <w:t xml:space="preserve">                                                                172</w:t>
      </w:r>
    </w:p>
    <w:p w:rsidR="00A34B7A" w:rsidRPr="0028513F" w:rsidRDefault="00A34B7A" w:rsidP="00E86ADD">
      <w:pPr>
        <w:spacing w:line="360" w:lineRule="auto"/>
        <w:jc w:val="both"/>
      </w:pPr>
      <w:r w:rsidRPr="0028513F">
        <w:rPr>
          <w:b/>
        </w:rPr>
        <w:t>Gráfico 6.3.2-</w:t>
      </w:r>
      <w:r w:rsidRPr="0028513F">
        <w:t xml:space="preserve"> Suporte da matéria-prima registada na </w:t>
      </w:r>
      <w:r>
        <w:t>sé</w:t>
      </w:r>
      <w:r w:rsidRPr="0028513F">
        <w:t>rie patinada da Tapada do Montinho.</w:t>
      </w:r>
      <w:r w:rsidRPr="0028513F">
        <w:tab/>
      </w:r>
      <w:r w:rsidRPr="0028513F">
        <w:tab/>
      </w:r>
      <w:r w:rsidRPr="0028513F">
        <w:tab/>
      </w:r>
      <w:r>
        <w:tab/>
      </w:r>
      <w:r>
        <w:tab/>
      </w:r>
      <w:r>
        <w:tab/>
      </w:r>
      <w:r>
        <w:tab/>
      </w:r>
      <w:r>
        <w:tab/>
      </w:r>
      <w:r>
        <w:tab/>
      </w:r>
      <w:r>
        <w:tab/>
        <w:t xml:space="preserve">     173</w:t>
      </w:r>
    </w:p>
    <w:p w:rsidR="00A34B7A" w:rsidRPr="0028513F" w:rsidRDefault="00A34B7A" w:rsidP="00E86ADD">
      <w:pPr>
        <w:spacing w:line="360" w:lineRule="auto"/>
        <w:jc w:val="both"/>
      </w:pPr>
      <w:r w:rsidRPr="0028513F">
        <w:rPr>
          <w:b/>
        </w:rPr>
        <w:t>Gráfico 6.3.3</w:t>
      </w:r>
      <w:r w:rsidRPr="0028513F">
        <w:t xml:space="preserve">- Relação comprimento/largura das lascas registada na </w:t>
      </w:r>
      <w:r>
        <w:t>sé</w:t>
      </w:r>
      <w:r w:rsidRPr="0028513F">
        <w:t>rie patinada da Tapada do Montinho.</w:t>
      </w:r>
      <w:r w:rsidRPr="0028513F">
        <w:tab/>
      </w:r>
      <w:r w:rsidRPr="0028513F">
        <w:tab/>
      </w:r>
      <w:r w:rsidRPr="0028513F">
        <w:tab/>
      </w:r>
      <w:r>
        <w:tab/>
      </w:r>
      <w:r>
        <w:tab/>
      </w:r>
      <w:r>
        <w:tab/>
      </w:r>
      <w:r>
        <w:tab/>
      </w:r>
      <w:r>
        <w:tab/>
      </w:r>
      <w:r>
        <w:tab/>
        <w:t xml:space="preserve">     174</w:t>
      </w:r>
    </w:p>
    <w:p w:rsidR="00A34B7A" w:rsidRPr="0028513F" w:rsidRDefault="00A34B7A" w:rsidP="00E86ADD">
      <w:pPr>
        <w:spacing w:line="360" w:lineRule="auto"/>
        <w:jc w:val="both"/>
      </w:pPr>
      <w:r w:rsidRPr="0028513F">
        <w:rPr>
          <w:b/>
        </w:rPr>
        <w:t>Gráfico 6.3.4</w:t>
      </w:r>
      <w:r w:rsidRPr="0028513F">
        <w:t xml:space="preserve">- Relação largura/espessura das lascas registada na </w:t>
      </w:r>
      <w:r>
        <w:t>sé</w:t>
      </w:r>
      <w:r w:rsidRPr="0028513F">
        <w:t>rie patinada da Tapada do Montinho.</w:t>
      </w:r>
      <w:r w:rsidRPr="0028513F">
        <w:tab/>
      </w:r>
      <w:r w:rsidRPr="0028513F">
        <w:tab/>
      </w:r>
      <w:r w:rsidRPr="0028513F">
        <w:tab/>
      </w:r>
      <w:r>
        <w:tab/>
      </w:r>
      <w:r>
        <w:tab/>
      </w:r>
      <w:r>
        <w:tab/>
      </w:r>
      <w:r>
        <w:tab/>
      </w:r>
      <w:r>
        <w:tab/>
      </w:r>
      <w:r>
        <w:tab/>
        <w:t xml:space="preserve">     174</w:t>
      </w:r>
    </w:p>
    <w:p w:rsidR="00A34B7A" w:rsidRPr="0028513F" w:rsidRDefault="00A34B7A" w:rsidP="00E86ADD">
      <w:pPr>
        <w:spacing w:line="360" w:lineRule="auto"/>
        <w:jc w:val="both"/>
      </w:pPr>
      <w:r w:rsidRPr="0028513F">
        <w:rPr>
          <w:b/>
        </w:rPr>
        <w:t>Gráfico 6.3.5</w:t>
      </w:r>
      <w:r w:rsidRPr="0028513F">
        <w:t xml:space="preserve">- Relação comprimento/espessura das lascas registada na </w:t>
      </w:r>
      <w:r>
        <w:t>sé</w:t>
      </w:r>
      <w:r w:rsidRPr="0028513F">
        <w:t>rie patinada da Tapada do Montinho.</w:t>
      </w:r>
      <w:r w:rsidRPr="0028513F">
        <w:tab/>
      </w:r>
      <w:r w:rsidRPr="0028513F">
        <w:tab/>
      </w:r>
      <w:r w:rsidRPr="0028513F">
        <w:tab/>
      </w:r>
      <w:r w:rsidRPr="0028513F">
        <w:tab/>
      </w:r>
      <w:r>
        <w:tab/>
      </w:r>
      <w:r>
        <w:tab/>
      </w:r>
      <w:r>
        <w:tab/>
      </w:r>
      <w:r>
        <w:tab/>
      </w:r>
      <w:r>
        <w:tab/>
        <w:t xml:space="preserve">     175</w:t>
      </w:r>
    </w:p>
    <w:p w:rsidR="00A34B7A" w:rsidRPr="0028513F" w:rsidRDefault="00A34B7A" w:rsidP="00E86ADD">
      <w:pPr>
        <w:spacing w:line="360" w:lineRule="auto"/>
        <w:jc w:val="both"/>
      </w:pPr>
      <w:r w:rsidRPr="0028513F">
        <w:rPr>
          <w:b/>
        </w:rPr>
        <w:t>Gráfico 6.3.6</w:t>
      </w:r>
      <w:r w:rsidRPr="0028513F">
        <w:t xml:space="preserve">- Número de negativos de levantamentos registados na face dorsal das lascas na </w:t>
      </w:r>
      <w:r>
        <w:t>sé</w:t>
      </w:r>
      <w:r w:rsidRPr="0028513F">
        <w:t xml:space="preserve">rie patinada da Tapada do Montinho. </w:t>
      </w:r>
      <w:r>
        <w:tab/>
      </w:r>
      <w:r>
        <w:tab/>
      </w:r>
      <w:r>
        <w:tab/>
      </w:r>
      <w:r>
        <w:tab/>
      </w:r>
      <w:r>
        <w:tab/>
        <w:t xml:space="preserve">     175</w:t>
      </w:r>
    </w:p>
    <w:p w:rsidR="00A34B7A" w:rsidRPr="0028513F" w:rsidRDefault="00A34B7A" w:rsidP="00E86ADD">
      <w:pPr>
        <w:spacing w:line="360" w:lineRule="auto"/>
        <w:jc w:val="both"/>
      </w:pPr>
      <w:r w:rsidRPr="0028513F">
        <w:rPr>
          <w:b/>
        </w:rPr>
        <w:t>Gráfico 6.3.7</w:t>
      </w:r>
      <w:r w:rsidRPr="0028513F">
        <w:t xml:space="preserve">- Orientação negativos de levantamentos registados na face dorsal das lascas registada na </w:t>
      </w:r>
      <w:r>
        <w:t>sé</w:t>
      </w:r>
      <w:r w:rsidRPr="0028513F">
        <w:t>rie patinada da Tapada do Montinho.</w:t>
      </w:r>
      <w:r>
        <w:tab/>
      </w:r>
      <w:r>
        <w:tab/>
      </w:r>
      <w:r>
        <w:tab/>
      </w:r>
      <w:r>
        <w:tab/>
        <w:t xml:space="preserve">     176</w:t>
      </w:r>
    </w:p>
    <w:p w:rsidR="00A34B7A" w:rsidRPr="0028513F" w:rsidRDefault="00A34B7A" w:rsidP="00E86ADD">
      <w:pPr>
        <w:spacing w:line="360" w:lineRule="auto"/>
        <w:jc w:val="both"/>
      </w:pPr>
      <w:r w:rsidRPr="0028513F">
        <w:rPr>
          <w:b/>
        </w:rPr>
        <w:t>Gráfico 6.3.8</w:t>
      </w:r>
      <w:r w:rsidRPr="0028513F">
        <w:t xml:space="preserve">- Perfil do talão das lascas da </w:t>
      </w:r>
      <w:r>
        <w:t>sé</w:t>
      </w:r>
      <w:r w:rsidRPr="0028513F">
        <w:t xml:space="preserve">rie patinada da Tapada do </w:t>
      </w:r>
      <w:proofErr w:type="gramStart"/>
      <w:r w:rsidRPr="0028513F">
        <w:t xml:space="preserve">Montinho. </w:t>
      </w:r>
      <w:r>
        <w:t xml:space="preserve"> </w:t>
      </w:r>
      <w:proofErr w:type="gramEnd"/>
      <w:r>
        <w:t>176</w:t>
      </w:r>
    </w:p>
    <w:p w:rsidR="00A34B7A" w:rsidRPr="0028513F" w:rsidRDefault="00A34B7A" w:rsidP="00E86ADD">
      <w:pPr>
        <w:spacing w:line="360" w:lineRule="auto"/>
        <w:jc w:val="both"/>
      </w:pPr>
      <w:r w:rsidRPr="0028513F">
        <w:rPr>
          <w:b/>
        </w:rPr>
        <w:t>Gráfico 6.3.9</w:t>
      </w:r>
      <w:r w:rsidRPr="0028513F">
        <w:t xml:space="preserve">- Morfologia do talão registada na </w:t>
      </w:r>
      <w:r>
        <w:t>série</w:t>
      </w:r>
      <w:r w:rsidRPr="0028513F">
        <w:t xml:space="preserve"> patinada da Tapada do Montinho.</w:t>
      </w:r>
      <w:r>
        <w:tab/>
      </w:r>
      <w:r>
        <w:tab/>
      </w:r>
      <w:r>
        <w:tab/>
      </w:r>
      <w:r>
        <w:tab/>
      </w:r>
      <w:r>
        <w:tab/>
      </w:r>
      <w:r>
        <w:tab/>
      </w:r>
      <w:r>
        <w:tab/>
      </w:r>
      <w:r>
        <w:tab/>
      </w:r>
      <w:r>
        <w:tab/>
        <w:t xml:space="preserve">                                        177</w:t>
      </w:r>
    </w:p>
    <w:p w:rsidR="00A34B7A" w:rsidRPr="0028513F" w:rsidRDefault="00A34B7A" w:rsidP="00E86ADD">
      <w:pPr>
        <w:spacing w:line="360" w:lineRule="auto"/>
        <w:jc w:val="both"/>
      </w:pPr>
      <w:r w:rsidRPr="0028513F">
        <w:rPr>
          <w:b/>
        </w:rPr>
        <w:t>Gráfico 6.3.10</w:t>
      </w:r>
      <w:r w:rsidRPr="0028513F">
        <w:t xml:space="preserve">- Relação comprimento/largura dos talões registada na </w:t>
      </w:r>
      <w:r>
        <w:t>sé</w:t>
      </w:r>
      <w:r w:rsidRPr="0028513F">
        <w:t xml:space="preserve">rie patinada da Tapada do Montinho. </w:t>
      </w:r>
      <w:r>
        <w:tab/>
      </w:r>
      <w:r>
        <w:tab/>
      </w:r>
      <w:r>
        <w:tab/>
      </w:r>
      <w:r>
        <w:tab/>
      </w:r>
      <w:r>
        <w:tab/>
      </w:r>
      <w:r>
        <w:tab/>
      </w:r>
      <w:r>
        <w:tab/>
      </w:r>
      <w:r>
        <w:tab/>
        <w:t xml:space="preserve">     177</w:t>
      </w:r>
    </w:p>
    <w:p w:rsidR="00A34B7A" w:rsidRPr="0028513F" w:rsidRDefault="00EA3774" w:rsidP="00E86ADD">
      <w:pPr>
        <w:spacing w:line="360" w:lineRule="auto"/>
        <w:jc w:val="both"/>
      </w:pPr>
      <w:r w:rsidRPr="00EA3774">
        <w:rPr>
          <w:b/>
          <w:noProof/>
        </w:rPr>
        <w:pict>
          <v:shape id="_x0000_s1733" type="#_x0000_t202" style="position:absolute;left:0;text-align:left;margin-left:394.4pt;margin-top:92pt;width:41.05pt;height:32.65pt;z-index:251870208;mso-width-relative:margin;mso-height-relative:margin" stroked="f">
            <v:textbox style="mso-next-textbox:#_x0000_s1733">
              <w:txbxContent>
                <w:p w:rsidR="00B34B0F" w:rsidRDefault="00B34B0F" w:rsidP="00E86ADD"/>
              </w:txbxContent>
            </v:textbox>
          </v:shape>
        </w:pict>
      </w:r>
      <w:r w:rsidR="00A34B7A" w:rsidRPr="0028513F">
        <w:rPr>
          <w:b/>
        </w:rPr>
        <w:t>Gráfico 6.3.11</w:t>
      </w:r>
      <w:r w:rsidR="00A34B7A" w:rsidRPr="0028513F">
        <w:t xml:space="preserve">- Relação comprimento/largura dos núcleos da </w:t>
      </w:r>
      <w:r w:rsidR="00A34B7A">
        <w:t>série</w:t>
      </w:r>
      <w:r w:rsidR="00A34B7A" w:rsidRPr="0028513F">
        <w:t xml:space="preserve"> patinada da Tapada do Montinho. </w:t>
      </w:r>
      <w:r w:rsidR="00A34B7A" w:rsidRPr="0028513F">
        <w:tab/>
      </w:r>
      <w:r w:rsidR="00A34B7A" w:rsidRPr="0028513F">
        <w:tab/>
      </w:r>
      <w:r w:rsidR="00A34B7A" w:rsidRPr="0028513F">
        <w:tab/>
      </w:r>
      <w:r w:rsidR="00A34B7A">
        <w:tab/>
      </w:r>
      <w:r w:rsidR="00A34B7A">
        <w:tab/>
      </w:r>
      <w:r w:rsidR="00A34B7A">
        <w:tab/>
      </w:r>
      <w:r w:rsidR="00A34B7A">
        <w:tab/>
      </w:r>
      <w:r w:rsidR="00A34B7A">
        <w:tab/>
      </w:r>
      <w:r w:rsidR="00A34B7A">
        <w:tab/>
      </w:r>
      <w:r w:rsidR="00A34B7A">
        <w:tab/>
        <w:t xml:space="preserve">     178</w:t>
      </w:r>
    </w:p>
    <w:p w:rsidR="00A34B7A" w:rsidRPr="0028513F" w:rsidRDefault="00A34B7A" w:rsidP="00E86ADD">
      <w:pPr>
        <w:spacing w:line="360" w:lineRule="auto"/>
        <w:jc w:val="both"/>
      </w:pPr>
      <w:r w:rsidRPr="0028513F">
        <w:rPr>
          <w:b/>
        </w:rPr>
        <w:lastRenderedPageBreak/>
        <w:t>Gráfico 6.3.12</w:t>
      </w:r>
      <w:r w:rsidRPr="0028513F">
        <w:t xml:space="preserve">- Relação largura/espessura dos núcleos da </w:t>
      </w:r>
      <w:r>
        <w:t>série</w:t>
      </w:r>
      <w:r w:rsidRPr="0028513F">
        <w:t xml:space="preserve"> patinada da Tapada do Montinho.  </w:t>
      </w:r>
      <w:r w:rsidRPr="0028513F">
        <w:tab/>
      </w:r>
      <w:r w:rsidRPr="0028513F">
        <w:tab/>
      </w:r>
      <w:r w:rsidRPr="0028513F">
        <w:tab/>
      </w:r>
      <w:r>
        <w:tab/>
      </w:r>
      <w:r>
        <w:tab/>
      </w:r>
      <w:r>
        <w:tab/>
      </w:r>
      <w:r>
        <w:tab/>
      </w:r>
      <w:r>
        <w:tab/>
      </w:r>
      <w:r>
        <w:tab/>
      </w:r>
      <w:r>
        <w:tab/>
        <w:t xml:space="preserve">     179</w:t>
      </w:r>
    </w:p>
    <w:p w:rsidR="00A34B7A" w:rsidRPr="0028513F" w:rsidRDefault="00A34B7A" w:rsidP="00E86ADD">
      <w:pPr>
        <w:spacing w:line="360" w:lineRule="auto"/>
        <w:jc w:val="both"/>
      </w:pPr>
      <w:r w:rsidRPr="0028513F">
        <w:rPr>
          <w:b/>
        </w:rPr>
        <w:t>Gráfico 6.3.13</w:t>
      </w:r>
      <w:r w:rsidRPr="0028513F">
        <w:t xml:space="preserve">- Relação comprimento/espessura das lascas registada na </w:t>
      </w:r>
      <w:r>
        <w:t>série</w:t>
      </w:r>
      <w:r w:rsidRPr="0028513F">
        <w:t xml:space="preserve"> patinada da Tapada do Montinho.</w:t>
      </w:r>
      <w:r w:rsidRPr="0028513F">
        <w:tab/>
      </w:r>
      <w:r w:rsidRPr="0028513F">
        <w:tab/>
      </w:r>
      <w:r w:rsidRPr="0028513F">
        <w:tab/>
      </w:r>
      <w:r>
        <w:tab/>
      </w:r>
      <w:r>
        <w:tab/>
      </w:r>
      <w:r>
        <w:tab/>
      </w:r>
      <w:r>
        <w:tab/>
      </w:r>
      <w:r>
        <w:tab/>
        <w:t xml:space="preserve">     179</w:t>
      </w:r>
    </w:p>
    <w:p w:rsidR="00A34B7A" w:rsidRPr="0028513F" w:rsidRDefault="00A34B7A" w:rsidP="00E86ADD">
      <w:pPr>
        <w:spacing w:line="360" w:lineRule="auto"/>
        <w:jc w:val="both"/>
      </w:pPr>
      <w:r w:rsidRPr="0028513F">
        <w:rPr>
          <w:b/>
        </w:rPr>
        <w:t>Gráfico 6.3.14</w:t>
      </w:r>
      <w:r w:rsidRPr="0028513F">
        <w:t xml:space="preserve">- Origem da matéria-prima presente na </w:t>
      </w:r>
      <w:r>
        <w:t>série</w:t>
      </w:r>
      <w:r w:rsidRPr="0028513F">
        <w:t xml:space="preserve"> fresca da Tapada do Montinho.   </w:t>
      </w:r>
      <w:r w:rsidRPr="0028513F">
        <w:tab/>
      </w:r>
      <w:r w:rsidRPr="0028513F">
        <w:tab/>
      </w:r>
      <w:r w:rsidRPr="0028513F">
        <w:tab/>
      </w:r>
      <w:r w:rsidRPr="0028513F">
        <w:tab/>
      </w:r>
      <w:r w:rsidRPr="0028513F">
        <w:tab/>
      </w:r>
      <w:r w:rsidRPr="0028513F">
        <w:tab/>
      </w:r>
      <w:r>
        <w:tab/>
      </w:r>
      <w:r>
        <w:tab/>
      </w:r>
      <w:r>
        <w:tab/>
      </w:r>
      <w:r>
        <w:tab/>
        <w:t xml:space="preserve">     182</w:t>
      </w:r>
    </w:p>
    <w:p w:rsidR="00A34B7A" w:rsidRPr="0028513F" w:rsidRDefault="00A34B7A" w:rsidP="00E86ADD">
      <w:pPr>
        <w:spacing w:line="360" w:lineRule="auto"/>
        <w:jc w:val="both"/>
      </w:pPr>
      <w:r w:rsidRPr="0028513F">
        <w:rPr>
          <w:b/>
        </w:rPr>
        <w:t>Gráfico 6.3.15</w:t>
      </w:r>
      <w:r w:rsidRPr="0028513F">
        <w:t xml:space="preserve">- Proveniência da matéria-prima presente na </w:t>
      </w:r>
      <w:r>
        <w:t>série</w:t>
      </w:r>
      <w:r w:rsidRPr="0028513F">
        <w:t xml:space="preserve"> fresca da Tapada do Montinho. </w:t>
      </w:r>
      <w:r w:rsidRPr="0028513F">
        <w:tab/>
      </w:r>
      <w:r w:rsidRPr="0028513F">
        <w:tab/>
      </w:r>
      <w:r w:rsidRPr="0028513F">
        <w:tab/>
      </w:r>
      <w:r w:rsidRPr="0028513F">
        <w:tab/>
      </w:r>
      <w:r w:rsidRPr="0028513F">
        <w:tab/>
      </w:r>
      <w:r w:rsidRPr="0028513F">
        <w:tab/>
      </w:r>
      <w:r>
        <w:tab/>
      </w:r>
      <w:r>
        <w:tab/>
      </w:r>
      <w:r>
        <w:tab/>
      </w:r>
      <w:r>
        <w:tab/>
        <w:t xml:space="preserve">     183</w:t>
      </w:r>
    </w:p>
    <w:p w:rsidR="00A34B7A" w:rsidRPr="0028513F" w:rsidRDefault="00A34B7A" w:rsidP="00E86ADD">
      <w:pPr>
        <w:spacing w:line="360" w:lineRule="auto"/>
        <w:jc w:val="both"/>
      </w:pPr>
      <w:r w:rsidRPr="0028513F">
        <w:rPr>
          <w:b/>
        </w:rPr>
        <w:t>Gráfico 6.3.16</w:t>
      </w:r>
      <w:r w:rsidRPr="0028513F">
        <w:t xml:space="preserve">- Tipo de suporte utilizado na </w:t>
      </w:r>
      <w:r>
        <w:t>série</w:t>
      </w:r>
      <w:r w:rsidRPr="0028513F">
        <w:t xml:space="preserve"> fresca da Tapada do </w:t>
      </w:r>
      <w:proofErr w:type="gramStart"/>
      <w:r w:rsidRPr="0028513F">
        <w:t>Montinho.</w:t>
      </w:r>
      <w:r>
        <w:t xml:space="preserve">    </w:t>
      </w:r>
      <w:proofErr w:type="gramEnd"/>
      <w:r>
        <w:t>183</w:t>
      </w:r>
    </w:p>
    <w:p w:rsidR="00A34B7A" w:rsidRPr="0028513F" w:rsidRDefault="00A34B7A" w:rsidP="00E86ADD">
      <w:pPr>
        <w:spacing w:line="360" w:lineRule="auto"/>
        <w:jc w:val="both"/>
      </w:pPr>
      <w:r w:rsidRPr="0028513F">
        <w:rPr>
          <w:b/>
        </w:rPr>
        <w:t>Gráfico 6.3.17</w:t>
      </w:r>
      <w:r w:rsidRPr="0028513F">
        <w:t xml:space="preserve">- Tipo de percutor utilizado na </w:t>
      </w:r>
      <w:r>
        <w:t>série</w:t>
      </w:r>
      <w:r w:rsidRPr="0028513F">
        <w:t xml:space="preserve"> patinada da Tapada do Montinho.</w:t>
      </w:r>
      <w:r w:rsidRPr="0028513F">
        <w:tab/>
      </w:r>
      <w:r>
        <w:tab/>
      </w:r>
      <w:r>
        <w:tab/>
      </w:r>
      <w:r>
        <w:tab/>
      </w:r>
      <w:r>
        <w:tab/>
      </w:r>
      <w:r>
        <w:tab/>
      </w:r>
      <w:r>
        <w:tab/>
      </w:r>
      <w:r>
        <w:tab/>
      </w:r>
      <w:r>
        <w:tab/>
      </w:r>
      <w:r>
        <w:tab/>
      </w:r>
      <w:r>
        <w:tab/>
      </w:r>
      <w:r>
        <w:tab/>
        <w:t xml:space="preserve">     184</w:t>
      </w:r>
    </w:p>
    <w:p w:rsidR="00A34B7A" w:rsidRPr="0028513F" w:rsidRDefault="00A34B7A" w:rsidP="00E86ADD">
      <w:pPr>
        <w:spacing w:line="360" w:lineRule="auto"/>
        <w:jc w:val="both"/>
      </w:pPr>
      <w:r w:rsidRPr="0028513F">
        <w:rPr>
          <w:b/>
        </w:rPr>
        <w:t>Gráfico 6.3.18</w:t>
      </w:r>
      <w:r w:rsidRPr="0028513F">
        <w:t xml:space="preserve">- Percentagem, por categorias, da indústria lítica da </w:t>
      </w:r>
      <w:r>
        <w:t>série</w:t>
      </w:r>
      <w:r w:rsidRPr="0028513F">
        <w:t xml:space="preserve"> fresca da Tapada do Montinho.</w:t>
      </w:r>
      <w:r w:rsidRPr="0028513F">
        <w:tab/>
      </w:r>
      <w:r w:rsidRPr="0028513F">
        <w:tab/>
      </w:r>
      <w:r>
        <w:tab/>
      </w:r>
      <w:r>
        <w:tab/>
      </w:r>
      <w:r>
        <w:tab/>
      </w:r>
      <w:r>
        <w:tab/>
      </w:r>
      <w:r>
        <w:tab/>
      </w:r>
      <w:r>
        <w:tab/>
      </w:r>
      <w:r>
        <w:tab/>
        <w:t xml:space="preserve">     185</w:t>
      </w:r>
    </w:p>
    <w:p w:rsidR="00A34B7A" w:rsidRPr="0028513F" w:rsidRDefault="00A34B7A" w:rsidP="00E86ADD">
      <w:pPr>
        <w:spacing w:line="360" w:lineRule="auto"/>
        <w:jc w:val="both"/>
      </w:pPr>
      <w:r w:rsidRPr="0028513F">
        <w:rPr>
          <w:b/>
        </w:rPr>
        <w:t>Gráfico 6.3.19</w:t>
      </w:r>
      <w:r w:rsidRPr="0028513F">
        <w:t xml:space="preserve">- Relação comprimento/largura das lascas registada na </w:t>
      </w:r>
      <w:r>
        <w:t>série</w:t>
      </w:r>
      <w:r w:rsidRPr="0028513F">
        <w:t xml:space="preserve"> fresca da Tapada do Montinho. </w:t>
      </w:r>
      <w:r>
        <w:tab/>
      </w:r>
      <w:r>
        <w:tab/>
      </w:r>
      <w:r>
        <w:tab/>
      </w:r>
      <w:r>
        <w:tab/>
      </w:r>
      <w:r>
        <w:tab/>
      </w:r>
      <w:r>
        <w:tab/>
      </w:r>
      <w:r>
        <w:tab/>
      </w:r>
      <w:r>
        <w:tab/>
        <w:t xml:space="preserve">     186</w:t>
      </w:r>
    </w:p>
    <w:p w:rsidR="00A34B7A" w:rsidRPr="0028513F" w:rsidRDefault="00A34B7A" w:rsidP="00E86ADD">
      <w:pPr>
        <w:spacing w:line="360" w:lineRule="auto"/>
        <w:jc w:val="both"/>
      </w:pPr>
      <w:r w:rsidRPr="0028513F">
        <w:rPr>
          <w:b/>
        </w:rPr>
        <w:t>Gráfico 6.3.20</w:t>
      </w:r>
      <w:r w:rsidRPr="0028513F">
        <w:t xml:space="preserve">- Relação comprimento/espessura das lascas registada na </w:t>
      </w:r>
      <w:r>
        <w:t>série</w:t>
      </w:r>
      <w:r w:rsidRPr="0028513F">
        <w:t xml:space="preserve"> fresca da Tapada do Montinho.  </w:t>
      </w:r>
      <w:r>
        <w:tab/>
      </w:r>
      <w:r>
        <w:tab/>
      </w:r>
      <w:r>
        <w:tab/>
      </w:r>
      <w:r>
        <w:tab/>
      </w:r>
      <w:r>
        <w:tab/>
      </w:r>
      <w:r>
        <w:tab/>
      </w:r>
      <w:r>
        <w:tab/>
      </w:r>
      <w:r>
        <w:tab/>
        <w:t xml:space="preserve">     187</w:t>
      </w:r>
    </w:p>
    <w:p w:rsidR="00A34B7A" w:rsidRPr="0028513F" w:rsidRDefault="00A34B7A" w:rsidP="00E86ADD">
      <w:pPr>
        <w:spacing w:line="360" w:lineRule="auto"/>
        <w:jc w:val="both"/>
      </w:pPr>
      <w:r w:rsidRPr="0028513F">
        <w:rPr>
          <w:b/>
        </w:rPr>
        <w:t>Gráfico 6.3.21</w:t>
      </w:r>
      <w:r w:rsidRPr="0028513F">
        <w:t xml:space="preserve">- Relação comprimento/largura das lascas registada na </w:t>
      </w:r>
      <w:r>
        <w:t>série</w:t>
      </w:r>
      <w:r w:rsidRPr="0028513F">
        <w:t xml:space="preserve"> fresca da Tapada do Montinho.  </w:t>
      </w:r>
      <w:r>
        <w:tab/>
      </w:r>
      <w:r>
        <w:tab/>
      </w:r>
      <w:r>
        <w:tab/>
      </w:r>
      <w:r>
        <w:tab/>
      </w:r>
      <w:r>
        <w:tab/>
      </w:r>
      <w:r>
        <w:tab/>
      </w:r>
      <w:r>
        <w:tab/>
      </w:r>
      <w:r>
        <w:tab/>
        <w:t xml:space="preserve">     188</w:t>
      </w:r>
    </w:p>
    <w:p w:rsidR="00A34B7A" w:rsidRPr="0028513F" w:rsidRDefault="00A34B7A" w:rsidP="00E86ADD">
      <w:pPr>
        <w:spacing w:line="360" w:lineRule="auto"/>
        <w:jc w:val="both"/>
      </w:pPr>
      <w:r w:rsidRPr="0028513F">
        <w:rPr>
          <w:b/>
        </w:rPr>
        <w:t>Gráfico 6.3.22</w:t>
      </w:r>
      <w:r w:rsidRPr="0028513F">
        <w:t>- Número de negativos presente</w:t>
      </w:r>
      <w:r>
        <w:t>s</w:t>
      </w:r>
      <w:r w:rsidRPr="0028513F">
        <w:t xml:space="preserve"> na face dorsal das lascas da </w:t>
      </w:r>
      <w:r>
        <w:t>série</w:t>
      </w:r>
      <w:r w:rsidRPr="0028513F">
        <w:t xml:space="preserve"> fresca da Tapada do Montinho.  </w:t>
      </w:r>
      <w:r>
        <w:tab/>
      </w:r>
      <w:r>
        <w:tab/>
      </w:r>
      <w:r>
        <w:tab/>
      </w:r>
      <w:r>
        <w:tab/>
      </w:r>
      <w:r>
        <w:tab/>
      </w:r>
      <w:r>
        <w:tab/>
      </w:r>
      <w:r>
        <w:tab/>
      </w:r>
      <w:r>
        <w:tab/>
        <w:t xml:space="preserve">     </w:t>
      </w:r>
      <w:r w:rsidRPr="0028513F">
        <w:t>1</w:t>
      </w:r>
      <w:r>
        <w:t>88</w:t>
      </w:r>
    </w:p>
    <w:p w:rsidR="00A34B7A" w:rsidRPr="0028513F" w:rsidRDefault="00A34B7A" w:rsidP="00E86ADD">
      <w:pPr>
        <w:spacing w:line="360" w:lineRule="auto"/>
        <w:jc w:val="both"/>
      </w:pPr>
      <w:r w:rsidRPr="0028513F">
        <w:rPr>
          <w:b/>
        </w:rPr>
        <w:t>Gráfico 6.3.23</w:t>
      </w:r>
      <w:r w:rsidRPr="0028513F">
        <w:t xml:space="preserve">- Orientação dos levantamentos na </w:t>
      </w:r>
      <w:r>
        <w:t>série</w:t>
      </w:r>
      <w:r w:rsidRPr="0028513F">
        <w:t xml:space="preserve"> fresca da Tapada do Montinho.</w:t>
      </w:r>
      <w:r>
        <w:tab/>
      </w:r>
      <w:r>
        <w:tab/>
      </w:r>
      <w:r>
        <w:tab/>
      </w:r>
      <w:r>
        <w:tab/>
      </w:r>
      <w:r>
        <w:tab/>
      </w:r>
      <w:r>
        <w:tab/>
      </w:r>
      <w:r>
        <w:tab/>
      </w:r>
      <w:r>
        <w:tab/>
      </w:r>
      <w:r>
        <w:tab/>
      </w:r>
      <w:r>
        <w:tab/>
      </w:r>
      <w:r>
        <w:tab/>
        <w:t xml:space="preserve">                 189</w:t>
      </w:r>
    </w:p>
    <w:p w:rsidR="00A34B7A" w:rsidRPr="0028513F" w:rsidRDefault="00A34B7A" w:rsidP="00E86ADD">
      <w:pPr>
        <w:spacing w:line="360" w:lineRule="auto"/>
        <w:jc w:val="both"/>
      </w:pPr>
      <w:r w:rsidRPr="0028513F">
        <w:rPr>
          <w:b/>
        </w:rPr>
        <w:t>Gráfico 6.3.24</w:t>
      </w:r>
      <w:r w:rsidRPr="0028513F">
        <w:t xml:space="preserve">- Perfil do talão </w:t>
      </w:r>
      <w:r>
        <w:t>série</w:t>
      </w:r>
      <w:r w:rsidRPr="0028513F">
        <w:t xml:space="preserve"> fresca da Tapada do Montinho. </w:t>
      </w:r>
      <w:r>
        <w:tab/>
      </w:r>
      <w:r>
        <w:tab/>
        <w:t xml:space="preserve">     190</w:t>
      </w:r>
    </w:p>
    <w:p w:rsidR="00A34B7A" w:rsidRPr="0028513F" w:rsidRDefault="00A34B7A" w:rsidP="00E86ADD">
      <w:pPr>
        <w:spacing w:line="360" w:lineRule="auto"/>
        <w:jc w:val="both"/>
      </w:pPr>
      <w:r w:rsidRPr="0028513F">
        <w:rPr>
          <w:b/>
        </w:rPr>
        <w:t>Gráfico 6.3.25</w:t>
      </w:r>
      <w:r w:rsidRPr="0028513F">
        <w:t xml:space="preserve">- Morfologia do talão na </w:t>
      </w:r>
      <w:r>
        <w:t>série</w:t>
      </w:r>
      <w:r w:rsidRPr="0028513F">
        <w:t xml:space="preserve"> fresca da Tapada do </w:t>
      </w:r>
      <w:proofErr w:type="gramStart"/>
      <w:r w:rsidRPr="0028513F">
        <w:t xml:space="preserve">Montinho. </w:t>
      </w:r>
      <w:r>
        <w:t xml:space="preserve">           </w:t>
      </w:r>
      <w:proofErr w:type="gramEnd"/>
      <w:r>
        <w:t>190</w:t>
      </w:r>
    </w:p>
    <w:p w:rsidR="00A34B7A" w:rsidRPr="0028513F" w:rsidRDefault="00A34B7A" w:rsidP="00E86ADD">
      <w:pPr>
        <w:spacing w:line="360" w:lineRule="auto"/>
        <w:jc w:val="both"/>
      </w:pPr>
      <w:r w:rsidRPr="0028513F">
        <w:rPr>
          <w:b/>
        </w:rPr>
        <w:t>Gráfico 6.3.26</w:t>
      </w:r>
      <w:r w:rsidRPr="0028513F">
        <w:t xml:space="preserve"> – Razão comprimento/largura dos talões da </w:t>
      </w:r>
      <w:r>
        <w:t>série</w:t>
      </w:r>
      <w:r w:rsidRPr="0028513F">
        <w:t xml:space="preserve"> fresca da Tapada do Montinho. </w:t>
      </w:r>
      <w:r w:rsidRPr="0028513F">
        <w:tab/>
      </w:r>
      <w:r w:rsidRPr="0028513F">
        <w:tab/>
      </w:r>
      <w:r w:rsidRPr="0028513F">
        <w:tab/>
      </w:r>
      <w:r w:rsidRPr="0028513F">
        <w:tab/>
      </w:r>
      <w:r w:rsidRPr="0028513F">
        <w:tab/>
      </w:r>
      <w:r w:rsidRPr="0028513F">
        <w:tab/>
      </w:r>
      <w:r w:rsidRPr="0028513F">
        <w:tab/>
      </w:r>
      <w:r>
        <w:tab/>
      </w:r>
      <w:r>
        <w:tab/>
      </w:r>
      <w:r>
        <w:tab/>
        <w:t xml:space="preserve">     191</w:t>
      </w:r>
    </w:p>
    <w:p w:rsidR="00A34B7A" w:rsidRPr="0028513F" w:rsidRDefault="00A34B7A" w:rsidP="00E86ADD">
      <w:pPr>
        <w:spacing w:line="360" w:lineRule="auto"/>
        <w:jc w:val="both"/>
      </w:pPr>
      <w:r w:rsidRPr="0028513F">
        <w:rPr>
          <w:b/>
        </w:rPr>
        <w:t>Gráfico 6.3.27</w:t>
      </w:r>
      <w:r w:rsidRPr="0028513F">
        <w:t xml:space="preserve">- Presença de córtex na </w:t>
      </w:r>
      <w:r>
        <w:t>série</w:t>
      </w:r>
      <w:r w:rsidRPr="0028513F">
        <w:t xml:space="preserve"> fresca da Tapada do Montinho.</w:t>
      </w:r>
      <w:r w:rsidRPr="0028513F">
        <w:tab/>
      </w:r>
      <w:r>
        <w:t xml:space="preserve">     192</w:t>
      </w:r>
    </w:p>
    <w:p w:rsidR="00A34B7A" w:rsidRPr="0028513F" w:rsidRDefault="00A34B7A" w:rsidP="00E86ADD">
      <w:pPr>
        <w:spacing w:line="360" w:lineRule="auto"/>
        <w:jc w:val="both"/>
      </w:pPr>
      <w:r w:rsidRPr="0028513F">
        <w:rPr>
          <w:b/>
        </w:rPr>
        <w:t>Gráfico 6.3.28</w:t>
      </w:r>
      <w:r w:rsidRPr="0028513F">
        <w:t xml:space="preserve">- Número de levantamentos nos núcleos da </w:t>
      </w:r>
      <w:r>
        <w:t>série</w:t>
      </w:r>
      <w:r w:rsidRPr="0028513F">
        <w:t xml:space="preserve"> fresca da Tapada do Montinho.</w:t>
      </w:r>
      <w:r w:rsidRPr="0028513F">
        <w:tab/>
      </w:r>
      <w:r w:rsidRPr="0028513F">
        <w:tab/>
      </w:r>
      <w:r w:rsidRPr="0028513F">
        <w:tab/>
      </w:r>
      <w:r w:rsidRPr="0028513F">
        <w:tab/>
      </w:r>
      <w:r w:rsidRPr="0028513F">
        <w:tab/>
      </w:r>
      <w:r>
        <w:tab/>
      </w:r>
      <w:r>
        <w:tab/>
      </w:r>
      <w:r>
        <w:tab/>
      </w:r>
      <w:r>
        <w:tab/>
        <w:t xml:space="preserve">                 192</w:t>
      </w:r>
    </w:p>
    <w:p w:rsidR="00A34B7A" w:rsidRPr="0028513F" w:rsidRDefault="00A34B7A" w:rsidP="00E86ADD">
      <w:pPr>
        <w:spacing w:line="360" w:lineRule="auto"/>
        <w:jc w:val="both"/>
      </w:pPr>
      <w:r w:rsidRPr="0028513F">
        <w:rPr>
          <w:b/>
        </w:rPr>
        <w:t>Gráfico 6.3.29</w:t>
      </w:r>
      <w:r w:rsidRPr="0028513F">
        <w:t xml:space="preserve">- Razão comprimento/largura dos núcleos da </w:t>
      </w:r>
      <w:r>
        <w:t>série</w:t>
      </w:r>
      <w:r w:rsidRPr="0028513F">
        <w:t xml:space="preserve"> fresca da Tapada do Montinho.</w:t>
      </w:r>
      <w:r w:rsidRPr="0028513F">
        <w:tab/>
      </w:r>
      <w:r w:rsidRPr="0028513F">
        <w:tab/>
      </w:r>
      <w:r w:rsidRPr="0028513F">
        <w:tab/>
      </w:r>
      <w:r w:rsidRPr="0028513F">
        <w:tab/>
      </w:r>
      <w:r w:rsidRPr="0028513F">
        <w:tab/>
      </w:r>
      <w:r w:rsidRPr="0028513F">
        <w:tab/>
      </w:r>
      <w:r w:rsidRPr="0028513F">
        <w:tab/>
      </w:r>
      <w:r>
        <w:tab/>
      </w:r>
      <w:r>
        <w:tab/>
      </w:r>
      <w:r>
        <w:tab/>
        <w:t xml:space="preserve">     </w:t>
      </w:r>
      <w:r w:rsidRPr="0028513F">
        <w:t>19</w:t>
      </w:r>
      <w:r>
        <w:t>3</w:t>
      </w:r>
    </w:p>
    <w:p w:rsidR="00A34B7A" w:rsidRPr="0028513F" w:rsidRDefault="00EA3774" w:rsidP="00E86ADD">
      <w:pPr>
        <w:spacing w:line="360" w:lineRule="auto"/>
        <w:jc w:val="both"/>
      </w:pPr>
      <w:r w:rsidRPr="00EA3774">
        <w:rPr>
          <w:b/>
          <w:noProof/>
        </w:rPr>
        <w:pict>
          <v:shape id="_x0000_s1734" type="#_x0000_t202" style="position:absolute;left:0;text-align:left;margin-left:401.95pt;margin-top:67.1pt;width:41.05pt;height:32.65pt;z-index:251871232;mso-width-relative:margin;mso-height-relative:margin" stroked="f">
            <v:textbox style="mso-next-textbox:#_x0000_s1734">
              <w:txbxContent>
                <w:p w:rsidR="00B34B0F" w:rsidRDefault="00B34B0F" w:rsidP="00E86ADD"/>
              </w:txbxContent>
            </v:textbox>
          </v:shape>
        </w:pict>
      </w:r>
      <w:r w:rsidR="00A34B7A" w:rsidRPr="0028513F">
        <w:rPr>
          <w:b/>
        </w:rPr>
        <w:t>Gráfico 6.3.30</w:t>
      </w:r>
      <w:r w:rsidR="00A34B7A" w:rsidRPr="0028513F">
        <w:t xml:space="preserve">- Razão largura/espessura dos núcleos da </w:t>
      </w:r>
      <w:r w:rsidR="00A34B7A">
        <w:t>série</w:t>
      </w:r>
      <w:r w:rsidR="00A34B7A" w:rsidRPr="0028513F">
        <w:t xml:space="preserve"> fresca da Tapada do Montinho.</w:t>
      </w:r>
      <w:r w:rsidR="00A34B7A" w:rsidRPr="0028513F">
        <w:tab/>
      </w:r>
      <w:r w:rsidR="00A34B7A" w:rsidRPr="0028513F">
        <w:tab/>
      </w:r>
      <w:r w:rsidR="00A34B7A" w:rsidRPr="0028513F">
        <w:tab/>
      </w:r>
      <w:r w:rsidR="00A34B7A" w:rsidRPr="0028513F">
        <w:tab/>
      </w:r>
      <w:r w:rsidR="00A34B7A" w:rsidRPr="0028513F">
        <w:tab/>
      </w:r>
      <w:r w:rsidR="00A34B7A" w:rsidRPr="0028513F">
        <w:tab/>
      </w:r>
      <w:r w:rsidR="00A34B7A">
        <w:tab/>
      </w:r>
      <w:r w:rsidR="00A34B7A">
        <w:tab/>
      </w:r>
      <w:r w:rsidR="00A34B7A">
        <w:tab/>
      </w:r>
      <w:r w:rsidR="00A34B7A">
        <w:tab/>
        <w:t xml:space="preserve">     194</w:t>
      </w:r>
    </w:p>
    <w:p w:rsidR="00A34B7A" w:rsidRPr="0028513F" w:rsidRDefault="00A34B7A" w:rsidP="00E86ADD">
      <w:pPr>
        <w:spacing w:line="360" w:lineRule="auto"/>
        <w:jc w:val="both"/>
      </w:pPr>
      <w:r w:rsidRPr="0028513F">
        <w:rPr>
          <w:b/>
        </w:rPr>
        <w:lastRenderedPageBreak/>
        <w:t>Gráfico 6.3.31</w:t>
      </w:r>
      <w:r w:rsidRPr="0028513F">
        <w:t xml:space="preserve">- Razão comprimento/espessura dos núcleos da </w:t>
      </w:r>
      <w:r>
        <w:t>série</w:t>
      </w:r>
      <w:r w:rsidRPr="0028513F">
        <w:t xml:space="preserve"> fresca da Tapada do Montinho.</w:t>
      </w:r>
      <w:r w:rsidRPr="0028513F">
        <w:tab/>
      </w:r>
      <w:r w:rsidRPr="0028513F">
        <w:tab/>
      </w:r>
      <w:r w:rsidRPr="0028513F">
        <w:tab/>
      </w:r>
      <w:r w:rsidRPr="0028513F">
        <w:tab/>
      </w:r>
      <w:r w:rsidRPr="0028513F">
        <w:tab/>
      </w:r>
      <w:r w:rsidRPr="0028513F">
        <w:tab/>
      </w:r>
      <w:r>
        <w:tab/>
      </w:r>
      <w:r>
        <w:tab/>
      </w:r>
      <w:r>
        <w:tab/>
      </w:r>
      <w:r>
        <w:tab/>
        <w:t xml:space="preserve">     194</w:t>
      </w:r>
    </w:p>
    <w:p w:rsidR="00A34B7A" w:rsidRPr="0028513F" w:rsidRDefault="00A34B7A" w:rsidP="00E86ADD">
      <w:pPr>
        <w:spacing w:line="360" w:lineRule="auto"/>
        <w:jc w:val="both"/>
      </w:pPr>
      <w:r w:rsidRPr="0028513F">
        <w:rPr>
          <w:b/>
        </w:rPr>
        <w:t>Gráfico 7.1</w:t>
      </w:r>
      <w:r w:rsidRPr="0028513F">
        <w:t xml:space="preserve">- Tipo de matéria-prima utilizada em cada sítio, em </w:t>
      </w:r>
      <w:proofErr w:type="gramStart"/>
      <w:r w:rsidRPr="0028513F">
        <w:t xml:space="preserve">percentagem.   </w:t>
      </w:r>
      <w:r>
        <w:t xml:space="preserve">        </w:t>
      </w:r>
      <w:proofErr w:type="gramEnd"/>
      <w:r>
        <w:t>212</w:t>
      </w:r>
    </w:p>
    <w:p w:rsidR="00A34B7A" w:rsidRPr="0028513F" w:rsidRDefault="00A34B7A" w:rsidP="00E86ADD">
      <w:pPr>
        <w:spacing w:line="360" w:lineRule="auto"/>
        <w:jc w:val="both"/>
      </w:pPr>
      <w:r w:rsidRPr="0028513F">
        <w:rPr>
          <w:b/>
        </w:rPr>
        <w:t>Gráfico 7.2</w:t>
      </w:r>
      <w:r w:rsidRPr="0028513F">
        <w:t>- Tipo de suporte utilizada em cada sítio, em percentagem.</w:t>
      </w:r>
      <w:r w:rsidRPr="0028513F">
        <w:tab/>
      </w:r>
      <w:r>
        <w:t xml:space="preserve">                 214</w:t>
      </w:r>
    </w:p>
    <w:p w:rsidR="00A34B7A" w:rsidRPr="0028513F" w:rsidRDefault="00A34B7A" w:rsidP="00E86ADD">
      <w:pPr>
        <w:spacing w:line="360" w:lineRule="auto"/>
        <w:jc w:val="both"/>
      </w:pPr>
      <w:r w:rsidRPr="0028513F">
        <w:rPr>
          <w:b/>
        </w:rPr>
        <w:t>Gráfico 7.3</w:t>
      </w:r>
      <w:r w:rsidRPr="0028513F">
        <w:t xml:space="preserve">- Origem da matéria-prima utilizada em cada sítio, em </w:t>
      </w:r>
      <w:proofErr w:type="gramStart"/>
      <w:r w:rsidRPr="0028513F">
        <w:t xml:space="preserve">percentagem. </w:t>
      </w:r>
      <w:r>
        <w:t xml:space="preserve">      </w:t>
      </w:r>
      <w:proofErr w:type="gramEnd"/>
      <w:r>
        <w:t>214</w:t>
      </w:r>
    </w:p>
    <w:p w:rsidR="00A34B7A" w:rsidRPr="0028513F" w:rsidRDefault="00A34B7A" w:rsidP="00E86ADD">
      <w:pPr>
        <w:spacing w:line="360" w:lineRule="auto"/>
        <w:jc w:val="both"/>
      </w:pPr>
      <w:r w:rsidRPr="0028513F">
        <w:rPr>
          <w:b/>
        </w:rPr>
        <w:t>Gráfico 7.4</w:t>
      </w:r>
      <w:r w:rsidRPr="0028513F">
        <w:t>- Estado da indústria lítica recolhida em cada sítio, em percentagem.</w:t>
      </w:r>
      <w:r w:rsidRPr="0028513F">
        <w:tab/>
      </w:r>
      <w:r>
        <w:t xml:space="preserve">     216</w:t>
      </w:r>
    </w:p>
    <w:p w:rsidR="00A34B7A" w:rsidRPr="0028513F" w:rsidRDefault="00A34B7A" w:rsidP="00E86ADD">
      <w:pPr>
        <w:spacing w:line="360" w:lineRule="auto"/>
        <w:jc w:val="both"/>
      </w:pPr>
      <w:r w:rsidRPr="0028513F">
        <w:rPr>
          <w:b/>
        </w:rPr>
        <w:t>Gráfico 7.5</w:t>
      </w:r>
      <w:r w:rsidRPr="0028513F">
        <w:t>- Tipo de percutor utilizado em cada sítio, em percentagem.</w:t>
      </w:r>
      <w:r w:rsidRPr="0028513F">
        <w:tab/>
      </w:r>
      <w:r>
        <w:t xml:space="preserve">                 217</w:t>
      </w:r>
    </w:p>
    <w:p w:rsidR="00A34B7A" w:rsidRPr="0028513F" w:rsidRDefault="00A34B7A" w:rsidP="00E86ADD">
      <w:pPr>
        <w:spacing w:line="360" w:lineRule="auto"/>
        <w:jc w:val="both"/>
      </w:pPr>
      <w:r w:rsidRPr="0028513F">
        <w:rPr>
          <w:b/>
        </w:rPr>
        <w:t>Gráfico 7.6</w:t>
      </w:r>
      <w:r w:rsidRPr="0028513F">
        <w:t>- Categorias da indústria lítica recolhida em cada sítio, em percentagem.</w:t>
      </w:r>
      <w:r>
        <w:t xml:space="preserve"> 218</w:t>
      </w:r>
    </w:p>
    <w:p w:rsidR="00A34B7A" w:rsidRPr="0028513F" w:rsidRDefault="00A34B7A" w:rsidP="00E86ADD">
      <w:pPr>
        <w:spacing w:line="360" w:lineRule="auto"/>
        <w:jc w:val="both"/>
      </w:pPr>
      <w:r w:rsidRPr="0028513F">
        <w:rPr>
          <w:b/>
        </w:rPr>
        <w:t>Gráfico 7.7</w:t>
      </w:r>
      <w:r w:rsidRPr="0028513F">
        <w:t xml:space="preserve">- Relação comprimento/largura das lascas recolhidas em cada </w:t>
      </w:r>
      <w:proofErr w:type="gramStart"/>
      <w:r w:rsidRPr="0028513F">
        <w:t xml:space="preserve">sítio. </w:t>
      </w:r>
      <w:r>
        <w:t xml:space="preserve">        </w:t>
      </w:r>
      <w:proofErr w:type="gramEnd"/>
      <w:r>
        <w:t>219</w:t>
      </w:r>
    </w:p>
    <w:p w:rsidR="00A34B7A" w:rsidRPr="0028513F" w:rsidRDefault="00A34B7A" w:rsidP="00E86ADD">
      <w:pPr>
        <w:spacing w:line="360" w:lineRule="auto"/>
        <w:jc w:val="both"/>
      </w:pPr>
      <w:r w:rsidRPr="0028513F">
        <w:rPr>
          <w:b/>
        </w:rPr>
        <w:t>Gráfico 7.8</w:t>
      </w:r>
      <w:r>
        <w:t xml:space="preserve">- </w:t>
      </w:r>
      <w:r w:rsidRPr="0028513F">
        <w:t>Número de negativos identificados na face dorsal das lascas recolhidas em cada sítio.</w:t>
      </w:r>
      <w:r w:rsidRPr="0028513F">
        <w:tab/>
      </w:r>
      <w:r w:rsidRPr="0028513F">
        <w:tab/>
      </w:r>
      <w:r w:rsidRPr="0028513F">
        <w:tab/>
      </w:r>
      <w:r w:rsidRPr="0028513F">
        <w:tab/>
      </w:r>
      <w:r>
        <w:tab/>
      </w:r>
      <w:r>
        <w:tab/>
      </w:r>
      <w:r>
        <w:tab/>
      </w:r>
      <w:r>
        <w:tab/>
      </w:r>
      <w:r>
        <w:tab/>
      </w:r>
      <w:r>
        <w:tab/>
        <w:t xml:space="preserve">     220</w:t>
      </w:r>
    </w:p>
    <w:p w:rsidR="00A34B7A" w:rsidRPr="0028513F" w:rsidRDefault="00A34B7A" w:rsidP="00E86ADD">
      <w:pPr>
        <w:spacing w:line="360" w:lineRule="auto"/>
        <w:jc w:val="both"/>
      </w:pPr>
      <w:r w:rsidRPr="0028513F">
        <w:rPr>
          <w:b/>
        </w:rPr>
        <w:t>Gráfico 7.9</w:t>
      </w:r>
      <w:r w:rsidRPr="0028513F">
        <w:t>- Relação comprimento/largura dos talões das lascas recolhidas em cada sítio.</w:t>
      </w:r>
      <w:r w:rsidRPr="0028513F">
        <w:tab/>
      </w:r>
      <w:r w:rsidRPr="0028513F">
        <w:tab/>
      </w:r>
      <w:r w:rsidRPr="0028513F">
        <w:tab/>
      </w:r>
      <w:r w:rsidRPr="0028513F">
        <w:tab/>
      </w:r>
      <w:r w:rsidRPr="0028513F">
        <w:tab/>
      </w:r>
      <w:r>
        <w:tab/>
      </w:r>
      <w:r>
        <w:tab/>
      </w:r>
      <w:r>
        <w:tab/>
      </w:r>
      <w:r>
        <w:tab/>
      </w:r>
      <w:r>
        <w:tab/>
      </w:r>
      <w:r>
        <w:tab/>
        <w:t xml:space="preserve">     221</w:t>
      </w:r>
    </w:p>
    <w:p w:rsidR="00A34B7A" w:rsidRPr="0028513F" w:rsidRDefault="00A34B7A" w:rsidP="00E86ADD">
      <w:pPr>
        <w:spacing w:line="360" w:lineRule="auto"/>
        <w:jc w:val="both"/>
      </w:pPr>
      <w:r w:rsidRPr="0028513F">
        <w:rPr>
          <w:b/>
        </w:rPr>
        <w:t>Gráfico 7.10</w:t>
      </w:r>
      <w:r w:rsidRPr="0028513F">
        <w:t>- Perfil dos talões das lascas recolhidas em cada sítio.</w:t>
      </w:r>
      <w:r w:rsidRPr="0028513F">
        <w:tab/>
      </w:r>
      <w:r w:rsidRPr="0028513F">
        <w:tab/>
      </w:r>
      <w:r>
        <w:t xml:space="preserve">     222</w:t>
      </w:r>
    </w:p>
    <w:p w:rsidR="00A34B7A" w:rsidRPr="0028513F" w:rsidRDefault="00A34B7A" w:rsidP="00E86ADD">
      <w:pPr>
        <w:spacing w:line="360" w:lineRule="auto"/>
        <w:jc w:val="both"/>
      </w:pPr>
      <w:r w:rsidRPr="0028513F">
        <w:rPr>
          <w:b/>
        </w:rPr>
        <w:t>Gráfico 7.11</w:t>
      </w:r>
      <w:r w:rsidRPr="0028513F">
        <w:t>- Morfologia dos talões das lascas recolhidas em cada sítio.</w:t>
      </w:r>
      <w:r w:rsidRPr="0028513F">
        <w:tab/>
      </w:r>
      <w:r w:rsidRPr="0028513F">
        <w:tab/>
      </w:r>
      <w:r>
        <w:t xml:space="preserve">     223</w:t>
      </w:r>
    </w:p>
    <w:p w:rsidR="00A34B7A" w:rsidRPr="0028513F" w:rsidRDefault="00A34B7A" w:rsidP="00E86ADD">
      <w:pPr>
        <w:spacing w:line="360" w:lineRule="auto"/>
        <w:jc w:val="both"/>
      </w:pPr>
      <w:r w:rsidRPr="0028513F">
        <w:rPr>
          <w:b/>
        </w:rPr>
        <w:t>Gráfico 7.12</w:t>
      </w:r>
      <w:r w:rsidRPr="0028513F">
        <w:t>- Presença de cortex na indústria lítica recolhida em cada sítio.</w:t>
      </w:r>
      <w:r w:rsidRPr="0028513F">
        <w:tab/>
      </w:r>
      <w:r>
        <w:t xml:space="preserve">     224</w:t>
      </w:r>
    </w:p>
    <w:p w:rsidR="00A34B7A" w:rsidRPr="0028513F" w:rsidRDefault="00A34B7A" w:rsidP="00E86ADD">
      <w:pPr>
        <w:spacing w:line="360" w:lineRule="auto"/>
        <w:jc w:val="both"/>
      </w:pPr>
      <w:r w:rsidRPr="0028513F">
        <w:rPr>
          <w:b/>
        </w:rPr>
        <w:t>Gráfico 7.13</w:t>
      </w:r>
      <w:r w:rsidRPr="0028513F">
        <w:t xml:space="preserve">- Relação comprimento/largura dos núcleos recolhidas em cada </w:t>
      </w:r>
      <w:proofErr w:type="gramStart"/>
      <w:r w:rsidRPr="0028513F">
        <w:t xml:space="preserve">sítio. </w:t>
      </w:r>
      <w:r>
        <w:t xml:space="preserve">   </w:t>
      </w:r>
      <w:proofErr w:type="gramEnd"/>
      <w:r>
        <w:t>225</w:t>
      </w:r>
    </w:p>
    <w:p w:rsidR="00A34B7A" w:rsidRPr="0028513F" w:rsidRDefault="00A34B7A" w:rsidP="00E86ADD">
      <w:pPr>
        <w:spacing w:line="360" w:lineRule="auto"/>
        <w:jc w:val="both"/>
      </w:pPr>
      <w:r w:rsidRPr="0028513F">
        <w:rPr>
          <w:b/>
        </w:rPr>
        <w:t>Gráfico 7.14</w:t>
      </w:r>
      <w:r w:rsidRPr="0028513F">
        <w:t>- Número de negativos de levantamentos dos núcleos recolhidas em cada sítio.</w:t>
      </w:r>
      <w:r w:rsidRPr="0028513F">
        <w:tab/>
      </w:r>
      <w:r w:rsidRPr="0028513F">
        <w:tab/>
      </w:r>
      <w:r w:rsidRPr="0028513F">
        <w:tab/>
      </w:r>
      <w:r w:rsidRPr="0028513F">
        <w:tab/>
      </w:r>
      <w:r w:rsidRPr="0028513F">
        <w:tab/>
      </w:r>
      <w:r w:rsidRPr="0028513F">
        <w:tab/>
      </w:r>
      <w:r w:rsidRPr="0028513F">
        <w:tab/>
      </w:r>
      <w:r>
        <w:tab/>
      </w:r>
      <w:r>
        <w:tab/>
      </w:r>
      <w:r>
        <w:tab/>
        <w:t xml:space="preserve">  </w:t>
      </w:r>
      <w:r>
        <w:tab/>
        <w:t xml:space="preserve">     225</w:t>
      </w:r>
    </w:p>
    <w:p w:rsidR="00A34B7A" w:rsidRPr="0028513F" w:rsidRDefault="00A34B7A" w:rsidP="00E86ADD">
      <w:pPr>
        <w:spacing w:line="360" w:lineRule="auto"/>
        <w:jc w:val="both"/>
      </w:pPr>
      <w:r w:rsidRPr="0028513F">
        <w:rPr>
          <w:b/>
        </w:rPr>
        <w:t>Gráfico 7.15</w:t>
      </w:r>
      <w:r w:rsidRPr="0028513F">
        <w:t>- Percentagem de alteração secundária intencional nas colecções líticas dos Pegos do Tejo 2, Azinhal e Tapada do Montinho em relação ao total do conjunto das lascas.</w:t>
      </w:r>
      <w:r w:rsidRPr="0028513F">
        <w:tab/>
      </w:r>
      <w:r w:rsidRPr="0028513F">
        <w:tab/>
      </w:r>
      <w:r w:rsidRPr="0028513F">
        <w:tab/>
      </w:r>
      <w:r w:rsidRPr="0028513F">
        <w:tab/>
      </w:r>
      <w:r>
        <w:tab/>
      </w:r>
      <w:r>
        <w:tab/>
      </w:r>
      <w:r>
        <w:tab/>
      </w:r>
      <w:r>
        <w:tab/>
      </w:r>
      <w:r>
        <w:tab/>
      </w:r>
      <w:r>
        <w:tab/>
      </w:r>
      <w:r>
        <w:tab/>
        <w:t xml:space="preserve">     227</w:t>
      </w:r>
    </w:p>
    <w:p w:rsidR="00A34B7A" w:rsidRDefault="00A34B7A" w:rsidP="00E86ADD">
      <w:pPr>
        <w:spacing w:line="360" w:lineRule="auto"/>
        <w:jc w:val="both"/>
      </w:pPr>
    </w:p>
    <w:p w:rsidR="00A34B7A" w:rsidRDefault="00A34B7A" w:rsidP="00E86ADD">
      <w:pPr>
        <w:spacing w:line="360" w:lineRule="auto"/>
        <w:jc w:val="both"/>
      </w:pPr>
    </w:p>
    <w:p w:rsidR="00A34B7A" w:rsidRPr="0028513F" w:rsidRDefault="00A34B7A" w:rsidP="00E86ADD">
      <w:pPr>
        <w:spacing w:line="360" w:lineRule="auto"/>
        <w:jc w:val="both"/>
      </w:pPr>
    </w:p>
    <w:p w:rsidR="00A34B7A" w:rsidRPr="0069146A" w:rsidRDefault="00A34B7A" w:rsidP="00E86ADD">
      <w:pPr>
        <w:jc w:val="both"/>
        <w:rPr>
          <w:b/>
          <w:sz w:val="28"/>
          <w:szCs w:val="28"/>
        </w:rPr>
      </w:pPr>
      <w:r w:rsidRPr="0069146A">
        <w:rPr>
          <w:b/>
          <w:sz w:val="28"/>
          <w:szCs w:val="28"/>
        </w:rPr>
        <w:t>Índice fotográfico.</w:t>
      </w:r>
    </w:p>
    <w:p w:rsidR="00A34B7A" w:rsidRDefault="00A34B7A" w:rsidP="00E86ADD">
      <w:pPr>
        <w:spacing w:line="360" w:lineRule="auto"/>
        <w:jc w:val="both"/>
        <w:rPr>
          <w:b/>
        </w:rPr>
      </w:pPr>
    </w:p>
    <w:p w:rsidR="00A34B7A" w:rsidRDefault="00A34B7A" w:rsidP="00E86ADD">
      <w:pPr>
        <w:spacing w:line="360" w:lineRule="auto"/>
        <w:jc w:val="both"/>
        <w:rPr>
          <w:b/>
        </w:rPr>
      </w:pPr>
    </w:p>
    <w:p w:rsidR="00A34B7A" w:rsidRPr="0028513F" w:rsidRDefault="00A34B7A" w:rsidP="00E86ADD">
      <w:pPr>
        <w:spacing w:line="360" w:lineRule="auto"/>
        <w:jc w:val="both"/>
      </w:pPr>
      <w:r>
        <w:rPr>
          <w:b/>
        </w:rPr>
        <w:t>Foto</w:t>
      </w:r>
      <w:r w:rsidRPr="0028513F">
        <w:rPr>
          <w:b/>
        </w:rPr>
        <w:t xml:space="preserve"> 2.1</w:t>
      </w:r>
      <w:r w:rsidRPr="0028513F">
        <w:t xml:space="preserve">- Vista do Tejo a jusante das Portas de Ródão. À direita na imagem, a Bacia do Arneiro.       </w:t>
      </w:r>
      <w:r>
        <w:tab/>
      </w:r>
      <w:r>
        <w:tab/>
      </w:r>
      <w:r>
        <w:tab/>
      </w:r>
      <w:r>
        <w:tab/>
      </w:r>
      <w:r>
        <w:tab/>
      </w:r>
      <w:r>
        <w:tab/>
      </w:r>
      <w:r>
        <w:tab/>
      </w:r>
      <w:r>
        <w:tab/>
      </w:r>
      <w:r>
        <w:tab/>
      </w:r>
      <w:r w:rsidRPr="0028513F">
        <w:t xml:space="preserve">  </w:t>
      </w:r>
      <w:r>
        <w:tab/>
        <w:t xml:space="preserve">       </w:t>
      </w:r>
      <w:r w:rsidRPr="0028513F">
        <w:t>24</w:t>
      </w:r>
    </w:p>
    <w:p w:rsidR="00A34B7A" w:rsidRPr="0028513F" w:rsidRDefault="00A34B7A" w:rsidP="00E86ADD">
      <w:pPr>
        <w:spacing w:line="360" w:lineRule="auto"/>
        <w:jc w:val="both"/>
      </w:pPr>
      <w:r>
        <w:rPr>
          <w:b/>
        </w:rPr>
        <w:t xml:space="preserve">Foto </w:t>
      </w:r>
      <w:r w:rsidRPr="0028513F">
        <w:rPr>
          <w:b/>
        </w:rPr>
        <w:t>5.1</w:t>
      </w:r>
      <w:r w:rsidRPr="0028513F">
        <w:t>- Aspecto de um momento de prospecções gerais do terreno.</w:t>
      </w:r>
      <w:r w:rsidRPr="0028513F">
        <w:tab/>
      </w:r>
      <w:r>
        <w:t xml:space="preserve">                   79</w:t>
      </w:r>
    </w:p>
    <w:p w:rsidR="00A34B7A" w:rsidRPr="0028513F" w:rsidRDefault="00A34B7A" w:rsidP="00E86ADD">
      <w:pPr>
        <w:spacing w:line="360" w:lineRule="auto"/>
        <w:jc w:val="both"/>
      </w:pPr>
      <w:r>
        <w:rPr>
          <w:b/>
        </w:rPr>
        <w:t xml:space="preserve">Foto </w:t>
      </w:r>
      <w:r w:rsidRPr="0028513F">
        <w:rPr>
          <w:b/>
        </w:rPr>
        <w:t>5.2</w:t>
      </w:r>
      <w:r w:rsidRPr="0028513F">
        <w:t xml:space="preserve">- Vista geral da estação dos Pegos do Tejo 2 no topo do T4. </w:t>
      </w:r>
      <w:r w:rsidRPr="0028513F">
        <w:tab/>
      </w:r>
      <w:r>
        <w:t xml:space="preserve">                   </w:t>
      </w:r>
      <w:r w:rsidRPr="0028513F">
        <w:t>9</w:t>
      </w:r>
      <w:r>
        <w:t>2</w:t>
      </w:r>
    </w:p>
    <w:p w:rsidR="00A34B7A" w:rsidRPr="0028513F" w:rsidRDefault="00EA3774" w:rsidP="00E86ADD">
      <w:pPr>
        <w:spacing w:line="360" w:lineRule="auto"/>
        <w:jc w:val="both"/>
      </w:pPr>
      <w:r w:rsidRPr="00EA3774">
        <w:rPr>
          <w:b/>
          <w:noProof/>
        </w:rPr>
        <w:pict>
          <v:shape id="_x0000_s1735" type="#_x0000_t202" style="position:absolute;left:0;text-align:left;margin-left:403.55pt;margin-top:75.9pt;width:41.05pt;height:32.65pt;z-index:251872256;mso-width-relative:margin;mso-height-relative:margin" stroked="f">
            <v:textbox style="mso-next-textbox:#_x0000_s1735">
              <w:txbxContent>
                <w:p w:rsidR="00B34B0F" w:rsidRDefault="00B34B0F" w:rsidP="00E86ADD"/>
              </w:txbxContent>
            </v:textbox>
          </v:shape>
        </w:pict>
      </w:r>
      <w:r w:rsidR="00A34B7A">
        <w:rPr>
          <w:b/>
        </w:rPr>
        <w:t>Foto</w:t>
      </w:r>
      <w:r w:rsidR="00A34B7A" w:rsidRPr="0028513F">
        <w:rPr>
          <w:b/>
        </w:rPr>
        <w:t xml:space="preserve"> 5.3</w:t>
      </w:r>
      <w:r w:rsidR="00A34B7A" w:rsidRPr="0028513F">
        <w:t>- Pormenor da estação dos Pegos d</w:t>
      </w:r>
      <w:r w:rsidR="00A34B7A">
        <w:t>o Tejo 2, sendo visível a quadrí</w:t>
      </w:r>
      <w:r w:rsidR="00A34B7A" w:rsidRPr="0028513F">
        <w:t xml:space="preserve">cula implantada. </w:t>
      </w:r>
      <w:r w:rsidR="00A34B7A" w:rsidRPr="0028513F">
        <w:tab/>
      </w:r>
      <w:r w:rsidR="00A34B7A" w:rsidRPr="0028513F">
        <w:tab/>
      </w:r>
      <w:r w:rsidR="00A34B7A" w:rsidRPr="0028513F">
        <w:tab/>
      </w:r>
      <w:r w:rsidR="00A34B7A">
        <w:tab/>
      </w:r>
      <w:r w:rsidR="00A34B7A">
        <w:tab/>
      </w:r>
      <w:r w:rsidR="00A34B7A">
        <w:tab/>
      </w:r>
      <w:r w:rsidR="00A34B7A">
        <w:tab/>
      </w:r>
      <w:r w:rsidR="00A34B7A">
        <w:tab/>
      </w:r>
      <w:r w:rsidR="00A34B7A">
        <w:tab/>
      </w:r>
      <w:r w:rsidR="00A34B7A">
        <w:tab/>
        <w:t xml:space="preserve">       92</w:t>
      </w:r>
    </w:p>
    <w:p w:rsidR="00A34B7A" w:rsidRPr="0028513F" w:rsidRDefault="00A34B7A" w:rsidP="00E86ADD">
      <w:pPr>
        <w:spacing w:line="360" w:lineRule="auto"/>
        <w:jc w:val="both"/>
      </w:pPr>
      <w:r w:rsidRPr="0028513F">
        <w:rPr>
          <w:b/>
        </w:rPr>
        <w:lastRenderedPageBreak/>
        <w:t>Foto. 5.4-</w:t>
      </w:r>
      <w:r w:rsidRPr="0028513F">
        <w:t xml:space="preserve"> Aspecto geral da estação do Azinhal. </w:t>
      </w:r>
      <w:r w:rsidRPr="0028513F">
        <w:tab/>
      </w:r>
      <w:r w:rsidRPr="0028513F">
        <w:tab/>
      </w:r>
      <w:r>
        <w:tab/>
      </w:r>
      <w:r>
        <w:tab/>
      </w:r>
      <w:r>
        <w:tab/>
        <w:t xml:space="preserve">       94</w:t>
      </w:r>
    </w:p>
    <w:p w:rsidR="00A34B7A" w:rsidRPr="0028513F" w:rsidRDefault="00A34B7A" w:rsidP="00E86ADD">
      <w:pPr>
        <w:spacing w:line="360" w:lineRule="auto"/>
        <w:jc w:val="both"/>
        <w:rPr>
          <w:b/>
        </w:rPr>
      </w:pPr>
      <w:r w:rsidRPr="0028513F">
        <w:rPr>
          <w:b/>
        </w:rPr>
        <w:t>Foto. 5.5</w:t>
      </w:r>
      <w:r w:rsidRPr="0028513F">
        <w:t>- Aspecto geral da plataforma 1da estação da Tapada do Montinho</w:t>
      </w:r>
      <w:r w:rsidRPr="0028513F">
        <w:rPr>
          <w:b/>
        </w:rPr>
        <w:t>.</w:t>
      </w:r>
      <w:r w:rsidRPr="0028513F">
        <w:rPr>
          <w:b/>
        </w:rPr>
        <w:tab/>
      </w:r>
      <w:r>
        <w:rPr>
          <w:b/>
        </w:rPr>
        <w:t xml:space="preserve">       </w:t>
      </w:r>
      <w:r>
        <w:t>97</w:t>
      </w:r>
    </w:p>
    <w:p w:rsidR="00A34B7A" w:rsidRPr="0028513F" w:rsidRDefault="00A34B7A" w:rsidP="00E86ADD">
      <w:pPr>
        <w:spacing w:line="360" w:lineRule="auto"/>
        <w:jc w:val="both"/>
      </w:pPr>
      <w:r w:rsidRPr="0028513F">
        <w:rPr>
          <w:b/>
        </w:rPr>
        <w:t>Foto 6.1.1</w:t>
      </w:r>
      <w:r w:rsidRPr="0028513F">
        <w:t xml:space="preserve">- Trabalhos de recolha da amostra para datação no sítio Pegos do Tejo </w:t>
      </w:r>
      <w:proofErr w:type="gramStart"/>
      <w:r w:rsidR="00E86ADD" w:rsidRPr="0028513F">
        <w:t>2.</w:t>
      </w:r>
      <w:r w:rsidR="00E86ADD">
        <w:t xml:space="preserve">  </w:t>
      </w:r>
      <w:proofErr w:type="gramEnd"/>
      <w:r>
        <w:t>101</w:t>
      </w:r>
    </w:p>
    <w:p w:rsidR="00A34B7A" w:rsidRPr="0028513F" w:rsidRDefault="00A34B7A" w:rsidP="00E86ADD">
      <w:pPr>
        <w:spacing w:line="360" w:lineRule="auto"/>
        <w:jc w:val="both"/>
      </w:pPr>
      <w:r w:rsidRPr="0028513F">
        <w:rPr>
          <w:b/>
        </w:rPr>
        <w:t>Foto 6.1.2</w:t>
      </w:r>
      <w:r w:rsidRPr="0028513F">
        <w:t>- Vista geral do topo do nível arqueológico.</w:t>
      </w:r>
      <w:r w:rsidRPr="0028513F">
        <w:tab/>
      </w:r>
      <w:r w:rsidRPr="0028513F">
        <w:tab/>
      </w:r>
      <w:r>
        <w:tab/>
      </w:r>
      <w:r>
        <w:tab/>
        <w:t xml:space="preserve">     102</w:t>
      </w:r>
    </w:p>
    <w:p w:rsidR="00A34B7A" w:rsidRPr="0028513F" w:rsidRDefault="00A34B7A" w:rsidP="00E86ADD">
      <w:pPr>
        <w:spacing w:line="360" w:lineRule="auto"/>
        <w:jc w:val="both"/>
      </w:pPr>
      <w:r w:rsidRPr="0028513F">
        <w:rPr>
          <w:b/>
        </w:rPr>
        <w:t>Foto 6.1.3</w:t>
      </w:r>
      <w:r w:rsidRPr="0028513F">
        <w:t xml:space="preserve"> – Pegos do Tejo 2. Vista de pormenor da parte superior da lareira.</w:t>
      </w:r>
      <w:r w:rsidRPr="0028513F">
        <w:tab/>
      </w:r>
      <w:r>
        <w:t xml:space="preserve">     103</w:t>
      </w:r>
    </w:p>
    <w:p w:rsidR="00A34B7A" w:rsidRPr="0028513F" w:rsidRDefault="00A34B7A" w:rsidP="00E86ADD">
      <w:pPr>
        <w:spacing w:line="360" w:lineRule="auto"/>
        <w:jc w:val="both"/>
      </w:pPr>
      <w:r w:rsidRPr="0028513F">
        <w:rPr>
          <w:b/>
        </w:rPr>
        <w:t>Foto 6.1.4</w:t>
      </w:r>
      <w:r w:rsidRPr="0028513F">
        <w:t xml:space="preserve"> – Pegos do Tejo 2- Base da lareira identificada nos quadrados L3/L2.</w:t>
      </w:r>
      <w:r w:rsidRPr="0028513F">
        <w:tab/>
      </w:r>
      <w:r>
        <w:t xml:space="preserve">     </w:t>
      </w:r>
      <w:r w:rsidRPr="0028513F">
        <w:t>105</w:t>
      </w:r>
    </w:p>
    <w:p w:rsidR="00A34B7A" w:rsidRPr="0028513F" w:rsidRDefault="00A34B7A" w:rsidP="00E86ADD">
      <w:pPr>
        <w:spacing w:line="360" w:lineRule="auto"/>
        <w:jc w:val="both"/>
      </w:pPr>
      <w:r w:rsidRPr="0028513F">
        <w:rPr>
          <w:b/>
        </w:rPr>
        <w:t>Foto 6.1.5</w:t>
      </w:r>
      <w:r w:rsidRPr="0028513F">
        <w:t>- - Pegos do Tejo 2. Vista geral e de pormenor da localização dos buracos de poste.</w:t>
      </w:r>
      <w:r w:rsidRPr="0028513F">
        <w:tab/>
      </w:r>
      <w:r w:rsidRPr="0028513F">
        <w:tab/>
      </w:r>
      <w:r w:rsidRPr="0028513F">
        <w:tab/>
      </w:r>
      <w:r w:rsidRPr="0028513F">
        <w:tab/>
      </w:r>
      <w:r w:rsidRPr="0028513F">
        <w:tab/>
      </w:r>
      <w:r w:rsidRPr="0028513F">
        <w:tab/>
      </w:r>
      <w:r w:rsidRPr="0028513F">
        <w:tab/>
      </w:r>
      <w:r w:rsidRPr="0028513F">
        <w:tab/>
      </w:r>
      <w:r>
        <w:tab/>
      </w:r>
      <w:r>
        <w:tab/>
      </w:r>
      <w:r>
        <w:tab/>
        <w:t xml:space="preserve">     105</w:t>
      </w:r>
    </w:p>
    <w:p w:rsidR="00A34B7A" w:rsidRPr="0028513F" w:rsidRDefault="00A34B7A" w:rsidP="00E86ADD">
      <w:pPr>
        <w:spacing w:line="360" w:lineRule="auto"/>
        <w:jc w:val="both"/>
      </w:pPr>
      <w:r w:rsidRPr="0028513F">
        <w:rPr>
          <w:b/>
        </w:rPr>
        <w:t>Foto 6.1.6</w:t>
      </w:r>
      <w:r w:rsidRPr="0028513F">
        <w:t>- Pormenor do biface em rocha microcristalina recolhido nos Pegos do Tejo 2.</w:t>
      </w:r>
      <w:r w:rsidRPr="0028513F">
        <w:tab/>
      </w:r>
      <w:r w:rsidRPr="0028513F">
        <w:tab/>
      </w:r>
      <w:r w:rsidRPr="0028513F">
        <w:tab/>
      </w:r>
      <w:r w:rsidRPr="0028513F">
        <w:tab/>
      </w:r>
      <w:r w:rsidRPr="0028513F">
        <w:tab/>
      </w:r>
      <w:r w:rsidRPr="0028513F">
        <w:tab/>
      </w:r>
      <w:r w:rsidRPr="0028513F">
        <w:tab/>
      </w:r>
      <w:r w:rsidRPr="0028513F">
        <w:tab/>
      </w:r>
      <w:r>
        <w:tab/>
      </w:r>
      <w:r>
        <w:tab/>
      </w:r>
      <w:r>
        <w:tab/>
        <w:t xml:space="preserve">     112</w:t>
      </w:r>
    </w:p>
    <w:p w:rsidR="00A34B7A" w:rsidRPr="0028513F" w:rsidRDefault="00A34B7A" w:rsidP="00E86ADD">
      <w:pPr>
        <w:spacing w:line="360" w:lineRule="auto"/>
        <w:jc w:val="both"/>
      </w:pPr>
      <w:r w:rsidRPr="0028513F">
        <w:rPr>
          <w:b/>
        </w:rPr>
        <w:t xml:space="preserve">Foto 6.1.7- </w:t>
      </w:r>
      <w:r w:rsidRPr="0028513F">
        <w:t xml:space="preserve">Vista geral dos nove percutores recolhidos na </w:t>
      </w:r>
      <w:r>
        <w:t>série</w:t>
      </w:r>
      <w:r w:rsidRPr="0028513F">
        <w:t xml:space="preserve"> dos Pegos do Tejo 2.</w:t>
      </w:r>
      <w:r>
        <w:tab/>
      </w:r>
      <w:r>
        <w:tab/>
      </w:r>
      <w:r>
        <w:tab/>
      </w:r>
      <w:r>
        <w:tab/>
      </w:r>
      <w:r>
        <w:tab/>
      </w:r>
      <w:r>
        <w:tab/>
      </w:r>
      <w:r>
        <w:tab/>
        <w:t xml:space="preserve">             </w:t>
      </w:r>
      <w:r>
        <w:tab/>
      </w:r>
      <w:r>
        <w:tab/>
        <w:t xml:space="preserve">   </w:t>
      </w:r>
      <w:r>
        <w:tab/>
      </w:r>
      <w:r>
        <w:tab/>
        <w:t xml:space="preserve">     114</w:t>
      </w:r>
    </w:p>
    <w:p w:rsidR="00A34B7A" w:rsidRPr="0028513F" w:rsidRDefault="00A34B7A" w:rsidP="00E86ADD">
      <w:pPr>
        <w:spacing w:line="360" w:lineRule="auto"/>
        <w:jc w:val="both"/>
      </w:pPr>
      <w:r w:rsidRPr="0028513F">
        <w:rPr>
          <w:b/>
        </w:rPr>
        <w:t>Foto 6.2.1</w:t>
      </w:r>
      <w:r w:rsidRPr="0028513F">
        <w:t>- Pormenor do corte estratigráfico na sondagem L5.</w:t>
      </w:r>
      <w:r w:rsidRPr="0028513F">
        <w:tab/>
      </w:r>
      <w:r w:rsidRPr="0028513F">
        <w:tab/>
      </w:r>
      <w:r>
        <w:tab/>
        <w:t xml:space="preserve">     135</w:t>
      </w:r>
    </w:p>
    <w:p w:rsidR="00A34B7A" w:rsidRPr="0028513F" w:rsidRDefault="00A34B7A" w:rsidP="00E86ADD">
      <w:pPr>
        <w:spacing w:line="360" w:lineRule="auto"/>
        <w:jc w:val="both"/>
      </w:pPr>
      <w:r w:rsidRPr="0028513F">
        <w:rPr>
          <w:b/>
        </w:rPr>
        <w:t>Foto 6.2.2</w:t>
      </w:r>
      <w:r w:rsidRPr="0028513F">
        <w:t xml:space="preserve"> – Trabalhos de recolha da amostra para datação no sítio Azinhal.</w:t>
      </w:r>
      <w:r w:rsidRPr="0028513F">
        <w:tab/>
      </w:r>
      <w:r>
        <w:t xml:space="preserve">     139</w:t>
      </w:r>
    </w:p>
    <w:p w:rsidR="00A34B7A" w:rsidRPr="0028513F" w:rsidRDefault="00A34B7A" w:rsidP="00E86ADD">
      <w:pPr>
        <w:spacing w:line="360" w:lineRule="auto"/>
        <w:jc w:val="both"/>
      </w:pPr>
      <w:r w:rsidRPr="0028513F">
        <w:rPr>
          <w:b/>
        </w:rPr>
        <w:t xml:space="preserve">Foto 6.3.1- </w:t>
      </w:r>
      <w:r>
        <w:t>Fragmento de fili</w:t>
      </w:r>
      <w:r w:rsidRPr="0028513F">
        <w:t xml:space="preserve">to em forma de lágrima. </w:t>
      </w:r>
      <w:r w:rsidRPr="0028513F">
        <w:tab/>
      </w:r>
      <w:r w:rsidRPr="0028513F">
        <w:tab/>
      </w:r>
      <w:r w:rsidRPr="0028513F">
        <w:tab/>
      </w:r>
      <w:r w:rsidRPr="0028513F">
        <w:tab/>
      </w:r>
      <w:r>
        <w:t xml:space="preserve">     169</w:t>
      </w:r>
    </w:p>
    <w:p w:rsidR="00A34B7A" w:rsidRPr="0028513F" w:rsidRDefault="00A34B7A" w:rsidP="00E86ADD">
      <w:pPr>
        <w:spacing w:line="360" w:lineRule="auto"/>
        <w:jc w:val="both"/>
      </w:pPr>
      <w:r w:rsidRPr="0028513F">
        <w:rPr>
          <w:b/>
        </w:rPr>
        <w:t xml:space="preserve">Foto 6.3.2- </w:t>
      </w:r>
      <w:r w:rsidRPr="0028513F">
        <w:t xml:space="preserve">Fragmento de quartzito com estreitamento no segundo terço distal realizado com recurso a levantamentos. </w:t>
      </w:r>
      <w:r w:rsidRPr="0028513F">
        <w:tab/>
      </w:r>
      <w:r w:rsidRPr="0028513F">
        <w:tab/>
      </w:r>
      <w:r w:rsidRPr="0028513F">
        <w:tab/>
      </w:r>
      <w:r>
        <w:t xml:space="preserve">                                                    170</w:t>
      </w:r>
    </w:p>
    <w:p w:rsidR="00A34B7A" w:rsidRPr="0028513F" w:rsidRDefault="00A34B7A" w:rsidP="00E86ADD">
      <w:pPr>
        <w:spacing w:line="360" w:lineRule="auto"/>
        <w:jc w:val="both"/>
      </w:pPr>
      <w:r w:rsidRPr="0028513F">
        <w:rPr>
          <w:b/>
        </w:rPr>
        <w:t xml:space="preserve">Foto 6.3.3- </w:t>
      </w:r>
      <w:r w:rsidRPr="0028513F">
        <w:t>Fragmentos de óxidos de ferro recolhidos na estação da Tapada do Montinho.</w:t>
      </w:r>
      <w:r w:rsidRPr="0028513F">
        <w:tab/>
      </w:r>
      <w:r w:rsidRPr="0028513F">
        <w:tab/>
      </w:r>
      <w:r w:rsidRPr="0028513F">
        <w:tab/>
      </w:r>
      <w:r w:rsidRPr="0028513F">
        <w:tab/>
      </w:r>
      <w:r>
        <w:tab/>
      </w:r>
      <w:r>
        <w:tab/>
      </w:r>
      <w:r>
        <w:tab/>
      </w:r>
      <w:r>
        <w:tab/>
      </w:r>
      <w:r>
        <w:tab/>
      </w:r>
      <w:r>
        <w:tab/>
        <w:t xml:space="preserve">     171</w:t>
      </w:r>
    </w:p>
    <w:p w:rsidR="00A34B7A" w:rsidRPr="0028513F" w:rsidRDefault="00A34B7A" w:rsidP="00E86ADD">
      <w:pPr>
        <w:spacing w:line="360" w:lineRule="auto"/>
        <w:jc w:val="both"/>
      </w:pPr>
      <w:r w:rsidRPr="0028513F">
        <w:rPr>
          <w:b/>
        </w:rPr>
        <w:t xml:space="preserve">Foto 6.3.4- </w:t>
      </w:r>
      <w:r w:rsidRPr="0028513F">
        <w:t xml:space="preserve">Vista geral dos três percutores recolhidos na </w:t>
      </w:r>
      <w:r>
        <w:t>série</w:t>
      </w:r>
      <w:r w:rsidRPr="0028513F">
        <w:t xml:space="preserve"> fresca da Tapada do Montinho. </w:t>
      </w:r>
      <w:r w:rsidRPr="0028513F">
        <w:tab/>
      </w:r>
      <w:r w:rsidRPr="0028513F">
        <w:tab/>
      </w:r>
      <w:r w:rsidRPr="0028513F">
        <w:tab/>
      </w:r>
      <w:r w:rsidRPr="0028513F">
        <w:tab/>
      </w:r>
      <w:r>
        <w:tab/>
      </w:r>
      <w:r>
        <w:tab/>
      </w:r>
      <w:r>
        <w:tab/>
      </w:r>
      <w:r>
        <w:tab/>
      </w:r>
      <w:r>
        <w:tab/>
      </w:r>
      <w:r>
        <w:tab/>
        <w:t xml:space="preserve">     185</w:t>
      </w:r>
    </w:p>
    <w:p w:rsidR="00A34B7A" w:rsidRPr="0028513F" w:rsidRDefault="00A34B7A" w:rsidP="00E86ADD">
      <w:pPr>
        <w:spacing w:line="360" w:lineRule="auto"/>
        <w:jc w:val="both"/>
        <w:rPr>
          <w:b/>
        </w:rPr>
      </w:pPr>
      <w:r w:rsidRPr="0028513F">
        <w:rPr>
          <w:b/>
        </w:rPr>
        <w:t xml:space="preserve">Foto 6.3.5- </w:t>
      </w:r>
      <w:r w:rsidRPr="0028513F">
        <w:t>Vista lateral e superior da “raspadeira” tipo Quina recolhida da Tapada do Montinho.</w:t>
      </w:r>
      <w:r w:rsidRPr="0028513F">
        <w:tab/>
      </w:r>
      <w:r w:rsidRPr="0028513F">
        <w:tab/>
      </w:r>
      <w:r w:rsidRPr="0028513F">
        <w:tab/>
      </w:r>
      <w:r w:rsidRPr="0028513F">
        <w:tab/>
      </w:r>
      <w:r w:rsidRPr="0028513F">
        <w:tab/>
      </w:r>
      <w:r w:rsidRPr="0028513F">
        <w:tab/>
      </w:r>
      <w:r w:rsidRPr="0028513F">
        <w:tab/>
      </w:r>
      <w:r w:rsidRPr="0028513F">
        <w:tab/>
      </w:r>
      <w:r w:rsidRPr="0028513F">
        <w:tab/>
      </w:r>
      <w:r>
        <w:tab/>
        <w:t xml:space="preserve">     198</w:t>
      </w:r>
    </w:p>
    <w:p w:rsidR="00A34B7A" w:rsidRPr="0028513F" w:rsidRDefault="00A34B7A" w:rsidP="00E86ADD">
      <w:pPr>
        <w:spacing w:line="360" w:lineRule="auto"/>
        <w:jc w:val="both"/>
      </w:pPr>
      <w:r w:rsidRPr="0028513F">
        <w:rPr>
          <w:b/>
        </w:rPr>
        <w:t>Foto 7. 1</w:t>
      </w:r>
      <w:r w:rsidRPr="0028513F">
        <w:t xml:space="preserve"> – Tapada do Montinho: substância vítrea recolhida no sítio. </w:t>
      </w:r>
      <w:r w:rsidRPr="0028513F">
        <w:tab/>
      </w:r>
      <w:r w:rsidRPr="0028513F">
        <w:tab/>
      </w:r>
      <w:r>
        <w:t xml:space="preserve">     243</w:t>
      </w:r>
    </w:p>
    <w:p w:rsidR="00A34B7A" w:rsidRDefault="00A34B7A" w:rsidP="00E86ADD">
      <w:pPr>
        <w:spacing w:line="360" w:lineRule="auto"/>
        <w:jc w:val="both"/>
      </w:pPr>
    </w:p>
    <w:p w:rsidR="00A34B7A" w:rsidRPr="0028513F" w:rsidRDefault="00A34B7A" w:rsidP="00E86ADD">
      <w:pPr>
        <w:spacing w:line="360" w:lineRule="auto"/>
        <w:jc w:val="both"/>
      </w:pPr>
    </w:p>
    <w:p w:rsidR="00A34B7A" w:rsidRPr="0069146A" w:rsidRDefault="00A34B7A" w:rsidP="00E86ADD">
      <w:pPr>
        <w:spacing w:line="360" w:lineRule="auto"/>
        <w:jc w:val="both"/>
        <w:rPr>
          <w:b/>
          <w:sz w:val="28"/>
          <w:szCs w:val="28"/>
        </w:rPr>
      </w:pPr>
      <w:r w:rsidRPr="0069146A">
        <w:rPr>
          <w:b/>
          <w:sz w:val="28"/>
          <w:szCs w:val="28"/>
        </w:rPr>
        <w:t>Índice das tabelas</w:t>
      </w:r>
    </w:p>
    <w:p w:rsidR="00A34B7A" w:rsidRPr="0028513F" w:rsidRDefault="00A34B7A" w:rsidP="00E86ADD">
      <w:pPr>
        <w:spacing w:line="360" w:lineRule="auto"/>
        <w:jc w:val="both"/>
        <w:rPr>
          <w:b/>
        </w:rPr>
      </w:pPr>
    </w:p>
    <w:p w:rsidR="00A34B7A" w:rsidRPr="0028513F" w:rsidRDefault="00A34B7A" w:rsidP="00E86ADD">
      <w:pPr>
        <w:spacing w:line="360" w:lineRule="auto"/>
        <w:jc w:val="both"/>
        <w:rPr>
          <w:b/>
        </w:rPr>
      </w:pPr>
      <w:r w:rsidRPr="0028513F">
        <w:rPr>
          <w:b/>
        </w:rPr>
        <w:t>Tabela 4.1</w:t>
      </w:r>
      <w:r w:rsidRPr="0028513F">
        <w:t>- Relação das datações existentes para sítios do Paleolítico médio de Portugal.</w:t>
      </w:r>
      <w:r w:rsidRPr="0028513F">
        <w:tab/>
      </w:r>
      <w:r w:rsidRPr="0028513F">
        <w:tab/>
      </w:r>
      <w:r w:rsidRPr="0028513F">
        <w:tab/>
      </w:r>
      <w:r w:rsidRPr="0028513F">
        <w:tab/>
      </w:r>
      <w:r w:rsidRPr="0028513F">
        <w:tab/>
      </w:r>
      <w:r>
        <w:tab/>
      </w:r>
      <w:r>
        <w:tab/>
      </w:r>
      <w:r>
        <w:tab/>
      </w:r>
      <w:r>
        <w:tab/>
      </w:r>
      <w:r>
        <w:tab/>
        <w:t xml:space="preserve">       </w:t>
      </w:r>
      <w:r w:rsidRPr="0028513F">
        <w:t>68</w:t>
      </w:r>
    </w:p>
    <w:p w:rsidR="00A34B7A" w:rsidRPr="0028513F" w:rsidRDefault="00A34B7A" w:rsidP="00E86ADD">
      <w:pPr>
        <w:pStyle w:val="Avanodecorpodetexto"/>
        <w:spacing w:after="0" w:line="360" w:lineRule="auto"/>
        <w:ind w:left="0"/>
        <w:jc w:val="both"/>
      </w:pPr>
      <w:r>
        <w:rPr>
          <w:b/>
        </w:rPr>
        <w:t>Tabela 6.1.1</w:t>
      </w:r>
      <w:r w:rsidRPr="0028513F">
        <w:rPr>
          <w:b/>
        </w:rPr>
        <w:t xml:space="preserve">- </w:t>
      </w:r>
      <w:r w:rsidRPr="0028513F">
        <w:t>Pegos do Tejo 2.Número de registos levantados por quadrado, número de peças estudadas e percentagens parciais e totais.</w:t>
      </w:r>
      <w:r w:rsidRPr="0028513F">
        <w:tab/>
      </w:r>
      <w:r>
        <w:tab/>
      </w:r>
      <w:r>
        <w:tab/>
      </w:r>
      <w:r>
        <w:tab/>
      </w:r>
      <w:r>
        <w:tab/>
        <w:t xml:space="preserve">     109</w:t>
      </w:r>
    </w:p>
    <w:p w:rsidR="00A34B7A" w:rsidRPr="0028513F" w:rsidRDefault="00EA3774" w:rsidP="00E86ADD">
      <w:pPr>
        <w:spacing w:line="360" w:lineRule="auto"/>
        <w:jc w:val="both"/>
      </w:pPr>
      <w:r w:rsidRPr="00EA3774">
        <w:rPr>
          <w:b/>
          <w:noProof/>
        </w:rPr>
        <w:pict>
          <v:shape id="_x0000_s1736" type="#_x0000_t202" style="position:absolute;left:0;text-align:left;margin-left:403.6pt;margin-top:68.7pt;width:41.05pt;height:32.65pt;z-index:251873280;mso-width-relative:margin;mso-height-relative:margin" stroked="f">
            <v:textbox style="mso-next-textbox:#_x0000_s1736">
              <w:txbxContent>
                <w:p w:rsidR="00B34B0F" w:rsidRDefault="00B34B0F" w:rsidP="00E86ADD"/>
              </w:txbxContent>
            </v:textbox>
          </v:shape>
        </w:pict>
      </w:r>
      <w:r w:rsidR="00A34B7A" w:rsidRPr="0028513F">
        <w:rPr>
          <w:b/>
        </w:rPr>
        <w:t xml:space="preserve">Tabela 6.1.2- </w:t>
      </w:r>
      <w:r w:rsidR="00A34B7A" w:rsidRPr="0028513F">
        <w:t xml:space="preserve">Pegos do Tejo 2.Dados morfológicos dos percutores. </w:t>
      </w:r>
      <w:r w:rsidR="00A34B7A">
        <w:t xml:space="preserve">  </w:t>
      </w:r>
      <w:r w:rsidR="00A34B7A">
        <w:tab/>
      </w:r>
      <w:r w:rsidR="00A34B7A">
        <w:tab/>
        <w:t xml:space="preserve">     115</w:t>
      </w:r>
    </w:p>
    <w:p w:rsidR="00A34B7A" w:rsidRPr="0028513F" w:rsidRDefault="00A34B7A" w:rsidP="00E86ADD">
      <w:pPr>
        <w:spacing w:line="360" w:lineRule="auto"/>
        <w:jc w:val="both"/>
      </w:pPr>
      <w:r w:rsidRPr="0028513F">
        <w:rPr>
          <w:b/>
        </w:rPr>
        <w:lastRenderedPageBreak/>
        <w:t>Tabela 6.2.1</w:t>
      </w:r>
      <w:r w:rsidRPr="0028513F">
        <w:t>- Azinhal: número de peças recolhidas</w:t>
      </w:r>
      <w:proofErr w:type="gramStart"/>
      <w:r w:rsidRPr="0028513F">
        <w:t>,</w:t>
      </w:r>
      <w:proofErr w:type="gramEnd"/>
      <w:r w:rsidRPr="0028513F">
        <w:t xml:space="preserve"> peças estudadas e razão entre as duas.</w:t>
      </w:r>
      <w:r w:rsidRPr="0028513F">
        <w:tab/>
      </w:r>
      <w:r w:rsidRPr="0028513F">
        <w:tab/>
      </w:r>
      <w:r w:rsidRPr="0028513F">
        <w:tab/>
      </w:r>
      <w:r w:rsidRPr="0028513F">
        <w:tab/>
      </w:r>
      <w:r w:rsidRPr="0028513F">
        <w:tab/>
      </w:r>
      <w:r w:rsidRPr="0028513F">
        <w:tab/>
      </w:r>
      <w:r w:rsidRPr="0028513F">
        <w:tab/>
      </w:r>
      <w:r>
        <w:tab/>
      </w:r>
      <w:r>
        <w:tab/>
      </w:r>
      <w:r>
        <w:tab/>
      </w:r>
      <w:r>
        <w:tab/>
        <w:t xml:space="preserve">     140</w:t>
      </w:r>
    </w:p>
    <w:p w:rsidR="00A34B7A" w:rsidRPr="0028513F" w:rsidRDefault="00A34B7A" w:rsidP="00E86ADD">
      <w:pPr>
        <w:spacing w:line="360" w:lineRule="auto"/>
        <w:jc w:val="both"/>
      </w:pPr>
      <w:r w:rsidRPr="0028513F">
        <w:rPr>
          <w:b/>
        </w:rPr>
        <w:t xml:space="preserve">Tabela 6.3.1- </w:t>
      </w:r>
      <w:r w:rsidRPr="0028513F">
        <w:t>Tapada do Montinho.</w:t>
      </w:r>
      <w:r w:rsidRPr="0028513F">
        <w:rPr>
          <w:b/>
        </w:rPr>
        <w:t xml:space="preserve"> </w:t>
      </w:r>
      <w:r w:rsidRPr="0028513F">
        <w:t>Número de registos por quadrado e número de peças estudadas.</w:t>
      </w:r>
      <w:r w:rsidRPr="0028513F">
        <w:tab/>
      </w:r>
      <w:r>
        <w:tab/>
      </w:r>
      <w:r>
        <w:tab/>
      </w:r>
      <w:r>
        <w:tab/>
      </w:r>
      <w:r>
        <w:tab/>
      </w:r>
      <w:r>
        <w:tab/>
      </w:r>
      <w:r>
        <w:tab/>
      </w:r>
      <w:r>
        <w:tab/>
      </w:r>
      <w:r>
        <w:tab/>
        <w:t xml:space="preserve">     171</w:t>
      </w:r>
    </w:p>
    <w:p w:rsidR="00A34B7A" w:rsidRPr="0028513F" w:rsidRDefault="00A34B7A" w:rsidP="00E86ADD">
      <w:pPr>
        <w:spacing w:line="360" w:lineRule="auto"/>
        <w:jc w:val="both"/>
      </w:pPr>
      <w:r w:rsidRPr="0028513F">
        <w:rPr>
          <w:b/>
        </w:rPr>
        <w:t>Tabela 6.3.2</w:t>
      </w:r>
      <w:r w:rsidRPr="0028513F">
        <w:t>- Dados morfológicos dos percutores recolhidos na Tapada do Montinho.</w:t>
      </w:r>
      <w:r>
        <w:tab/>
      </w:r>
      <w:r>
        <w:tab/>
      </w:r>
      <w:r>
        <w:tab/>
      </w:r>
      <w:r>
        <w:tab/>
      </w:r>
      <w:r>
        <w:tab/>
      </w:r>
      <w:r>
        <w:tab/>
      </w:r>
      <w:r>
        <w:tab/>
      </w:r>
      <w:r>
        <w:tab/>
      </w:r>
      <w:r>
        <w:tab/>
      </w:r>
      <w:r>
        <w:tab/>
        <w:t xml:space="preserve">                             184</w:t>
      </w:r>
    </w:p>
    <w:p w:rsidR="00A34B7A" w:rsidRPr="0028513F" w:rsidRDefault="00A34B7A" w:rsidP="00E86ADD">
      <w:pPr>
        <w:spacing w:line="360" w:lineRule="auto"/>
        <w:jc w:val="both"/>
      </w:pPr>
      <w:r w:rsidRPr="0028513F">
        <w:rPr>
          <w:b/>
        </w:rPr>
        <w:t>Tabela 7.1</w:t>
      </w:r>
      <w:r w:rsidRPr="0028513F">
        <w:t xml:space="preserve">- Comparação dos percutores (peso) entre o sítio do Paleolítico médio inicial </w:t>
      </w:r>
      <w:proofErr w:type="gramStart"/>
      <w:r w:rsidRPr="0028513F">
        <w:t>de  Les</w:t>
      </w:r>
      <w:proofErr w:type="gramEnd"/>
      <w:r w:rsidRPr="0028513F">
        <w:t xml:space="preserve"> Bosses, região do Lot, França e Pegos do Tejo 2.     </w:t>
      </w:r>
      <w:r>
        <w:tab/>
      </w:r>
      <w:r>
        <w:tab/>
      </w:r>
      <w:r>
        <w:tab/>
        <w:t xml:space="preserve">     230</w:t>
      </w:r>
    </w:p>
    <w:p w:rsidR="00A34B7A" w:rsidRDefault="00A34B7A" w:rsidP="00E86ADD">
      <w:pPr>
        <w:spacing w:line="360" w:lineRule="auto"/>
        <w:jc w:val="both"/>
      </w:pPr>
    </w:p>
    <w:p w:rsidR="00A933B8" w:rsidRDefault="00A933B8"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632F9C" w:rsidRDefault="00632F9C" w:rsidP="00E86ADD">
      <w:pPr>
        <w:jc w:val="both"/>
      </w:pPr>
    </w:p>
    <w:p w:rsidR="00632F9C" w:rsidRDefault="00632F9C" w:rsidP="00E86ADD">
      <w:pPr>
        <w:jc w:val="both"/>
      </w:pPr>
    </w:p>
    <w:p w:rsidR="00632F9C" w:rsidRDefault="00632F9C" w:rsidP="00E86ADD">
      <w:pPr>
        <w:jc w:val="both"/>
      </w:pPr>
    </w:p>
    <w:p w:rsidR="00632F9C" w:rsidRDefault="00632F9C" w:rsidP="00E86ADD">
      <w:pPr>
        <w:jc w:val="both"/>
      </w:pPr>
    </w:p>
    <w:p w:rsidR="00632F9C" w:rsidRDefault="00632F9C"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rsidP="00E86ADD">
      <w:pPr>
        <w:jc w:val="both"/>
      </w:pPr>
    </w:p>
    <w:p w:rsidR="00A34B7A" w:rsidRDefault="00A34B7A"/>
    <w:p w:rsidR="00A34B7A" w:rsidRDefault="00A34B7A"/>
    <w:p w:rsidR="00A34B7A" w:rsidRDefault="00EA3774">
      <w:r>
        <w:rPr>
          <w:noProof/>
        </w:rPr>
        <w:pict>
          <v:shape id="_x0000_s1737" type="#_x0000_t202" style="position:absolute;margin-left:404.4pt;margin-top:45.6pt;width:41.05pt;height:32.65pt;z-index:251874304;mso-width-relative:margin;mso-height-relative:margin" stroked="f">
            <v:textbox style="mso-next-textbox:#_x0000_s1737">
              <w:txbxContent>
                <w:p w:rsidR="00B34B0F" w:rsidRDefault="00B34B0F" w:rsidP="00E86ADD"/>
              </w:txbxContent>
            </v:textbox>
          </v:shape>
        </w:pict>
      </w:r>
    </w:p>
    <w:p w:rsidR="00A34B7A" w:rsidRDefault="00A34B7A" w:rsidP="00A34B7A">
      <w:pPr>
        <w:spacing w:line="360" w:lineRule="auto"/>
        <w:jc w:val="both"/>
        <w:rPr>
          <w:sz w:val="28"/>
          <w:szCs w:val="28"/>
        </w:rPr>
      </w:pPr>
      <w:r w:rsidRPr="007452A8">
        <w:rPr>
          <w:b/>
          <w:sz w:val="28"/>
          <w:szCs w:val="28"/>
        </w:rPr>
        <w:lastRenderedPageBreak/>
        <w:t>Resumo</w:t>
      </w:r>
      <w:r>
        <w:rPr>
          <w:sz w:val="28"/>
          <w:szCs w:val="28"/>
        </w:rPr>
        <w:t>.</w:t>
      </w:r>
    </w:p>
    <w:p w:rsidR="00A34B7A" w:rsidRDefault="00A34B7A" w:rsidP="00A34B7A">
      <w:pPr>
        <w:spacing w:line="360" w:lineRule="auto"/>
        <w:jc w:val="both"/>
        <w:rPr>
          <w:sz w:val="28"/>
          <w:szCs w:val="28"/>
        </w:rPr>
      </w:pPr>
    </w:p>
    <w:p w:rsidR="00A34B7A" w:rsidRPr="00E40F4C" w:rsidRDefault="00A34B7A" w:rsidP="00A34B7A">
      <w:pPr>
        <w:spacing w:line="360" w:lineRule="auto"/>
        <w:ind w:firstLine="708"/>
        <w:jc w:val="both"/>
      </w:pPr>
      <w:r>
        <w:t>Neste trabalho são apresentados os resultados das escavações realizadas nos sítios Pegos do Tejo 2, Azinhal e Tapada do Montinho (Estremo nordeste alentejano, Portugal). As indústrias líticas recolhidas nestas três estações foram estudadas e inseridas num quadro cronoestratigráfico alicerçado em datações absolutas obtidas por OSL. Dessa investigação resulta um conjunto de dados inéditos, relevantes para o conhecimento do Paleolítico médio da região, do país e da Europa.</w:t>
      </w:r>
    </w:p>
    <w:p w:rsidR="00A34B7A" w:rsidRDefault="00A34B7A" w:rsidP="00A34B7A">
      <w:pPr>
        <w:spacing w:line="360" w:lineRule="auto"/>
        <w:ind w:firstLine="708"/>
        <w:jc w:val="both"/>
      </w:pPr>
      <w:r>
        <w:t xml:space="preserve">Na estação dos Pegos do Tejo 2, as datações obtidas indicam a existência de indústrias Moustierenses no Plistocénico médio final. Esta ocupação caracteriza-se, ainda, por ter apresentado prováveis estruturas de </w:t>
      </w:r>
      <w:r w:rsidRPr="00D05898">
        <w:rPr>
          <w:i/>
        </w:rPr>
        <w:t>habitat</w:t>
      </w:r>
      <w:r>
        <w:rPr>
          <w:i/>
        </w:rPr>
        <w:t>.</w:t>
      </w:r>
    </w:p>
    <w:p w:rsidR="00A34B7A" w:rsidRDefault="00A34B7A" w:rsidP="00A34B7A">
      <w:pPr>
        <w:spacing w:line="360" w:lineRule="auto"/>
        <w:ind w:firstLine="708"/>
        <w:jc w:val="both"/>
      </w:pPr>
      <w:r>
        <w:t>A estação do Azinhal permite confirmar a ocupação humana datada do Würm antigo na Bacia do Arneiro. Os factos apontam para uma longa presença de comunidades humanas durante o Paleolítico médio em Portugal. Nesta estação verifica-se um reaparecimento da presença da tecnologia bifacial, de tipo Micoquense, interpretado como um retorno a um método de talhe que foi abandonado e depois retomado. Neste sítio, na mesma situação de proximidade ao quartzito que as ocupações dos Pegos do Tejo 2 e Azinhal</w:t>
      </w:r>
      <w:proofErr w:type="gramStart"/>
      <w:r>
        <w:t>,</w:t>
      </w:r>
      <w:proofErr w:type="gramEnd"/>
      <w:r>
        <w:t xml:space="preserve"> utilizou-se outro tipo de rocha, o quartzo, em percentagens significativas</w:t>
      </w:r>
    </w:p>
    <w:p w:rsidR="00A34B7A" w:rsidRDefault="00A34B7A" w:rsidP="00A34B7A">
      <w:pPr>
        <w:spacing w:line="360" w:lineRule="auto"/>
        <w:ind w:firstLine="708"/>
        <w:jc w:val="both"/>
      </w:pPr>
      <w:r>
        <w:t xml:space="preserve">Os dados obtidos para as indústrias líticas produzidas ao longo do Paleolítico médio da Bacia do Arneiro indicam que o modelo de produção baseado na obtenção de lascas a partir de núcleos de tipo Levallois é comum aos três sítios estudados. Este é o modelo à volta do qual se vão adoptar soluções técnicas que visam a produção imediata dos suportes pretendidos. </w:t>
      </w:r>
    </w:p>
    <w:p w:rsidR="00A34B7A" w:rsidRDefault="00A34B7A" w:rsidP="00A34B7A">
      <w:pPr>
        <w:spacing w:line="360" w:lineRule="auto"/>
        <w:ind w:firstLine="708"/>
        <w:jc w:val="both"/>
      </w:pPr>
      <w:r>
        <w:t xml:space="preserve">Todavia, tendo em atenção os resultados da intervenção realizada na estação de Pegos do Tejo 2, na Bacia do Arneiro verifica-se que no final do Plistocénico médio, outros vestígios revelam a aparição de novos comportamentos, num mesmo contexto geral de produção lítica. </w:t>
      </w:r>
    </w:p>
    <w:p w:rsidR="00A34B7A" w:rsidRPr="00701BBB" w:rsidRDefault="00A34B7A" w:rsidP="00A34B7A">
      <w:pPr>
        <w:spacing w:line="360" w:lineRule="auto"/>
        <w:jc w:val="both"/>
        <w:rPr>
          <w:sz w:val="28"/>
          <w:szCs w:val="28"/>
        </w:rPr>
      </w:pPr>
    </w:p>
    <w:p w:rsidR="00A34B7A" w:rsidRDefault="00A34B7A" w:rsidP="00A34B7A">
      <w:pPr>
        <w:rPr>
          <w:sz w:val="28"/>
          <w:szCs w:val="28"/>
        </w:rPr>
      </w:pPr>
    </w:p>
    <w:p w:rsidR="00A34B7A" w:rsidRDefault="00A34B7A" w:rsidP="00A34B7A">
      <w:pPr>
        <w:rPr>
          <w:sz w:val="28"/>
          <w:szCs w:val="28"/>
        </w:rPr>
      </w:pPr>
    </w:p>
    <w:p w:rsidR="00A34B7A" w:rsidRPr="00F946FD" w:rsidRDefault="00A34B7A" w:rsidP="00A34B7A">
      <w:pPr>
        <w:jc w:val="both"/>
        <w:rPr>
          <w:sz w:val="28"/>
          <w:szCs w:val="28"/>
        </w:rPr>
      </w:pPr>
      <w:r w:rsidRPr="00F946FD">
        <w:rPr>
          <w:b/>
          <w:sz w:val="28"/>
          <w:szCs w:val="28"/>
          <w:u w:val="single"/>
        </w:rPr>
        <w:t>Palavras-chave:</w:t>
      </w:r>
      <w:r w:rsidRPr="00F946FD">
        <w:t xml:space="preserve"> </w:t>
      </w:r>
      <w:r w:rsidRPr="00E1102E">
        <w:t>Paleolítico médio,</w:t>
      </w:r>
      <w:r>
        <w:t xml:space="preserve"> Moustierense, Estruturas habitacionais</w:t>
      </w:r>
      <w:r w:rsidRPr="00E1102E">
        <w:t xml:space="preserve">, </w:t>
      </w:r>
      <w:r>
        <w:t>Datações, Rio Tejo</w:t>
      </w:r>
      <w:r w:rsidRPr="00E1102E">
        <w:t>.</w:t>
      </w:r>
    </w:p>
    <w:p w:rsidR="00A34B7A" w:rsidRPr="00F946FD" w:rsidRDefault="00A34B7A" w:rsidP="00A34B7A">
      <w:pPr>
        <w:rPr>
          <w:sz w:val="28"/>
          <w:szCs w:val="28"/>
        </w:rPr>
      </w:pPr>
    </w:p>
    <w:p w:rsidR="00A34B7A" w:rsidRPr="00B37A49" w:rsidRDefault="00A34B7A" w:rsidP="00A34B7A">
      <w:pPr>
        <w:jc w:val="both"/>
        <w:rPr>
          <w:sz w:val="28"/>
          <w:szCs w:val="28"/>
          <w:lang w:val="en-GB"/>
        </w:rPr>
      </w:pPr>
      <w:r w:rsidRPr="00B37A49">
        <w:rPr>
          <w:b/>
          <w:sz w:val="28"/>
          <w:szCs w:val="28"/>
          <w:lang w:val="en-GB"/>
        </w:rPr>
        <w:lastRenderedPageBreak/>
        <w:t xml:space="preserve">The Portas de Ródão middle Palaeolithic, the left bank (Nisa, Portugal): a contribution for </w:t>
      </w:r>
      <w:r>
        <w:rPr>
          <w:b/>
          <w:sz w:val="28"/>
          <w:szCs w:val="28"/>
          <w:lang w:val="en-GB"/>
        </w:rPr>
        <w:t xml:space="preserve">its </w:t>
      </w:r>
      <w:r w:rsidRPr="00B37A49">
        <w:rPr>
          <w:b/>
          <w:sz w:val="28"/>
          <w:szCs w:val="28"/>
          <w:lang w:val="en-GB"/>
        </w:rPr>
        <w:t xml:space="preserve">cronostratigraphic characterization.  </w:t>
      </w:r>
    </w:p>
    <w:p w:rsidR="00A34B7A" w:rsidRPr="00B37A49" w:rsidRDefault="00A34B7A" w:rsidP="00A34B7A">
      <w:pPr>
        <w:jc w:val="right"/>
        <w:rPr>
          <w:rFonts w:ascii="Arial" w:hAnsi="Arial" w:cs="Arial"/>
          <w:b/>
          <w:lang w:val="en-GB"/>
        </w:rPr>
      </w:pPr>
      <w:r w:rsidRPr="00B37A49">
        <w:rPr>
          <w:rFonts w:ascii="Arial" w:hAnsi="Arial" w:cs="Arial"/>
          <w:b/>
          <w:lang w:val="en-GB"/>
        </w:rPr>
        <w:t xml:space="preserve"> </w:t>
      </w:r>
    </w:p>
    <w:p w:rsidR="00A34B7A" w:rsidRPr="00B37A49" w:rsidRDefault="00A34B7A" w:rsidP="00A34B7A">
      <w:pPr>
        <w:spacing w:line="360" w:lineRule="auto"/>
        <w:jc w:val="both"/>
        <w:rPr>
          <w:lang w:val="en-GB"/>
        </w:rPr>
      </w:pPr>
    </w:p>
    <w:p w:rsidR="00A34B7A" w:rsidRPr="00B37A49" w:rsidRDefault="00A34B7A" w:rsidP="00A34B7A">
      <w:pPr>
        <w:spacing w:line="360" w:lineRule="auto"/>
        <w:ind w:firstLine="708"/>
        <w:jc w:val="both"/>
        <w:rPr>
          <w:b/>
          <w:lang w:val="en-GB"/>
        </w:rPr>
      </w:pPr>
      <w:r w:rsidRPr="00B37A49">
        <w:rPr>
          <w:lang w:val="en-GB"/>
        </w:rPr>
        <w:t xml:space="preserve">This thesis presents results of the work done in the Pegos do Tejo 2, Azinhal and Tapada do Montinho middle Palaeolithic sites (Northeastern Alentejo, Portugal). A first analysis of the lithic industry and the relation with the chronological record allowed us to discuss the Middle Paleolithic occupations from about 150 </w:t>
      </w:r>
      <w:proofErr w:type="gramStart"/>
      <w:r w:rsidRPr="00B37A49">
        <w:rPr>
          <w:lang w:val="en-GB"/>
        </w:rPr>
        <w:t>Ky</w:t>
      </w:r>
      <w:proofErr w:type="gramEnd"/>
      <w:r w:rsidRPr="00B37A49">
        <w:rPr>
          <w:lang w:val="en-GB"/>
        </w:rPr>
        <w:t xml:space="preserve"> to 45 Ky.</w:t>
      </w:r>
      <w:r w:rsidRPr="00B37A49">
        <w:rPr>
          <w:b/>
          <w:lang w:val="en-GB"/>
        </w:rPr>
        <w:t xml:space="preserve"> </w:t>
      </w:r>
    </w:p>
    <w:p w:rsidR="00A34B7A" w:rsidRPr="00B37A49" w:rsidRDefault="00A34B7A" w:rsidP="00A34B7A">
      <w:pPr>
        <w:spacing w:line="360" w:lineRule="auto"/>
        <w:ind w:firstLine="708"/>
        <w:jc w:val="both"/>
        <w:rPr>
          <w:lang w:val="en-GB"/>
        </w:rPr>
      </w:pPr>
      <w:r w:rsidRPr="00B37A49">
        <w:rPr>
          <w:lang w:val="en-GB"/>
        </w:rPr>
        <w:t xml:space="preserve">From the results of the Pegos do Tejo 2 site, the existence of Mousterian industries during the Riss can be proved. The OSL dates obtained in this occupation show the presence of Mousterian industries in the Final of the Middle Pleistocene of Portugal. Remains of a residential area are identified and a structured hearth supports a controlled use of fire by man, in this site. </w:t>
      </w:r>
    </w:p>
    <w:p w:rsidR="00A34B7A" w:rsidRPr="00B37A49" w:rsidRDefault="00A34B7A" w:rsidP="00A34B7A">
      <w:pPr>
        <w:spacing w:line="360" w:lineRule="auto"/>
        <w:ind w:firstLine="708"/>
        <w:jc w:val="both"/>
        <w:rPr>
          <w:lang w:val="en-GB"/>
        </w:rPr>
      </w:pPr>
      <w:r w:rsidRPr="00B37A49">
        <w:rPr>
          <w:lang w:val="en-GB"/>
        </w:rPr>
        <w:t>A continued human presence is established, in this area, since the beginning of the Wurm glacial, as the Azinhal OSL datation confirm. The lithic industries in this site confirm the reappearance of handaxes, phenomena not o</w:t>
      </w:r>
      <w:r>
        <w:rPr>
          <w:lang w:val="en-GB"/>
        </w:rPr>
        <w:t xml:space="preserve">nly local but identified in other regions of the </w:t>
      </w:r>
      <w:r w:rsidRPr="00B37A49">
        <w:rPr>
          <w:lang w:val="en-GB"/>
        </w:rPr>
        <w:t>European continent, and the use of quartz not as a necessity but as an intentional selected rock.</w:t>
      </w:r>
    </w:p>
    <w:p w:rsidR="00A34B7A" w:rsidRPr="00B37A49" w:rsidRDefault="00A34B7A" w:rsidP="00A34B7A">
      <w:pPr>
        <w:spacing w:line="360" w:lineRule="auto"/>
        <w:ind w:firstLine="708"/>
        <w:jc w:val="both"/>
        <w:rPr>
          <w:lang w:val="en-GB"/>
        </w:rPr>
      </w:pPr>
      <w:r w:rsidRPr="00B37A49">
        <w:rPr>
          <w:lang w:val="en-GB"/>
        </w:rPr>
        <w:t>In the Tapada do Montinho site Kombewa and Quina knapping were used and leptolithization of the lithic industr</w:t>
      </w:r>
      <w:r>
        <w:rPr>
          <w:lang w:val="en-GB"/>
        </w:rPr>
        <w:t>y were observed at the final of the middle Palaeolithic.</w:t>
      </w:r>
    </w:p>
    <w:p w:rsidR="00A34B7A" w:rsidRPr="00B37A49" w:rsidRDefault="00A34B7A" w:rsidP="00A34B7A">
      <w:pPr>
        <w:spacing w:line="360" w:lineRule="auto"/>
        <w:ind w:firstLine="708"/>
        <w:jc w:val="both"/>
        <w:rPr>
          <w:lang w:val="en-GB"/>
        </w:rPr>
      </w:pPr>
      <w:r w:rsidRPr="00B37A49">
        <w:rPr>
          <w:lang w:val="en-GB"/>
        </w:rPr>
        <w:t xml:space="preserve">When an overview is made, about the lithic industries identified in these three sites of the Arneiro depression, a major guideline is observed. A central Levallois reduction system is common to all the occupations but surrounded by other technical solutions, that aim the immediate production of desired supports, without the time constraints of a full Levallois reduction system </w:t>
      </w:r>
      <w:r w:rsidRPr="00B37A49">
        <w:rPr>
          <w:i/>
          <w:lang w:val="en-GB"/>
        </w:rPr>
        <w:t>per si.</w:t>
      </w:r>
    </w:p>
    <w:p w:rsidR="00A34B7A" w:rsidRPr="00B37A49" w:rsidRDefault="00A34B7A" w:rsidP="00A34B7A">
      <w:pPr>
        <w:spacing w:line="360" w:lineRule="auto"/>
        <w:ind w:firstLine="708"/>
        <w:jc w:val="both"/>
        <w:rPr>
          <w:lang w:val="en-GB"/>
        </w:rPr>
      </w:pPr>
      <w:r w:rsidRPr="00B37A49">
        <w:rPr>
          <w:lang w:val="en-GB"/>
        </w:rPr>
        <w:t xml:space="preserve">The data presented in this work indicate that at the end of the Middle Pleistocene and further, new behaviours emerge and new ideas start to appear in the left bank of the Tagus River. </w:t>
      </w:r>
    </w:p>
    <w:p w:rsidR="00A34B7A" w:rsidRPr="00B37A49" w:rsidRDefault="00A34B7A" w:rsidP="00A34B7A">
      <w:pPr>
        <w:rPr>
          <w:sz w:val="28"/>
          <w:szCs w:val="28"/>
          <w:lang w:val="en-GB"/>
        </w:rPr>
      </w:pPr>
    </w:p>
    <w:p w:rsidR="00A34B7A" w:rsidRPr="00B37A49" w:rsidRDefault="00A34B7A" w:rsidP="00A34B7A">
      <w:pPr>
        <w:rPr>
          <w:sz w:val="28"/>
          <w:szCs w:val="28"/>
          <w:lang w:val="en-GB"/>
        </w:rPr>
      </w:pPr>
    </w:p>
    <w:p w:rsidR="00A34B7A" w:rsidRPr="00B37A49" w:rsidRDefault="00A34B7A" w:rsidP="00A34B7A">
      <w:pPr>
        <w:rPr>
          <w:b/>
          <w:u w:val="single"/>
          <w:lang w:val="en-GB"/>
        </w:rPr>
      </w:pPr>
    </w:p>
    <w:p w:rsidR="00A34B7A" w:rsidRPr="00B37A49" w:rsidRDefault="00A34B7A" w:rsidP="00A34B7A">
      <w:pPr>
        <w:rPr>
          <w:b/>
          <w:u w:val="single"/>
          <w:lang w:val="en-GB"/>
        </w:rPr>
      </w:pPr>
    </w:p>
    <w:p w:rsidR="00A34B7A" w:rsidRPr="00B37A49" w:rsidRDefault="00A34B7A" w:rsidP="00A34B7A">
      <w:pPr>
        <w:jc w:val="both"/>
        <w:rPr>
          <w:b/>
          <w:sz w:val="28"/>
          <w:szCs w:val="28"/>
          <w:lang w:val="en-GB"/>
        </w:rPr>
      </w:pPr>
      <w:r w:rsidRPr="00B37A49">
        <w:rPr>
          <w:b/>
          <w:u w:val="single"/>
          <w:lang w:val="en-GB"/>
        </w:rPr>
        <w:t>Keywords:</w:t>
      </w:r>
      <w:r w:rsidRPr="00B37A49">
        <w:rPr>
          <w:lang w:val="en-GB"/>
        </w:rPr>
        <w:t xml:space="preserve"> Middle Palaeolithic, Mousterian, Residential structures, </w:t>
      </w:r>
      <w:r>
        <w:rPr>
          <w:lang w:val="en-GB"/>
        </w:rPr>
        <w:t>OSL Datation</w:t>
      </w:r>
      <w:r w:rsidRPr="00B37A49">
        <w:rPr>
          <w:lang w:val="en-GB"/>
        </w:rPr>
        <w:t>,</w:t>
      </w:r>
      <w:r>
        <w:rPr>
          <w:b/>
          <w:sz w:val="28"/>
          <w:szCs w:val="28"/>
          <w:lang w:val="en-GB"/>
        </w:rPr>
        <w:t xml:space="preserve"> </w:t>
      </w:r>
      <w:r w:rsidRPr="00B37A49">
        <w:rPr>
          <w:lang w:val="en-GB"/>
        </w:rPr>
        <w:t>Tagus River.</w:t>
      </w:r>
    </w:p>
    <w:p w:rsidR="00A34B7A" w:rsidRPr="00B37A49" w:rsidRDefault="00A34B7A" w:rsidP="00A34B7A">
      <w:pPr>
        <w:jc w:val="both"/>
        <w:rPr>
          <w:b/>
          <w:sz w:val="28"/>
          <w:szCs w:val="28"/>
          <w:lang w:val="en-GB"/>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632F9C" w:rsidRDefault="00A34B7A" w:rsidP="00A34B7A">
      <w:pPr>
        <w:spacing w:line="360" w:lineRule="auto"/>
        <w:rPr>
          <w:b/>
          <w:u w:val="single"/>
          <w:lang w:val="en-US"/>
        </w:rPr>
      </w:pPr>
    </w:p>
    <w:p w:rsidR="00A34B7A" w:rsidRPr="002D4B57" w:rsidRDefault="00A34B7A" w:rsidP="00A34B7A">
      <w:pPr>
        <w:spacing w:line="360" w:lineRule="auto"/>
        <w:jc w:val="right"/>
        <w:rPr>
          <w:b/>
          <w:u w:val="single"/>
        </w:rPr>
      </w:pPr>
      <w:r>
        <w:rPr>
          <w:b/>
          <w:u w:val="single"/>
        </w:rPr>
        <w:t xml:space="preserve">I- </w:t>
      </w:r>
      <w:r w:rsidRPr="002D4B57">
        <w:rPr>
          <w:b/>
          <w:u w:val="single"/>
        </w:rPr>
        <w:t>INTRODUÇÃO</w:t>
      </w:r>
    </w:p>
    <w:p w:rsidR="00A34B7A" w:rsidRDefault="00A34B7A" w:rsidP="00A34B7A">
      <w:pPr>
        <w:spacing w:line="360" w:lineRule="auto"/>
        <w:jc w:val="both"/>
      </w:pPr>
    </w:p>
    <w:p w:rsidR="00A34B7A" w:rsidRDefault="00A34B7A" w:rsidP="00A34B7A">
      <w:pPr>
        <w:spacing w:line="360" w:lineRule="auto"/>
        <w:jc w:val="both"/>
      </w:pPr>
    </w:p>
    <w:p w:rsidR="00A34B7A" w:rsidRPr="00BA3F88" w:rsidRDefault="00A34B7A" w:rsidP="00A34B7A">
      <w:pPr>
        <w:spacing w:line="360" w:lineRule="auto"/>
        <w:jc w:val="both"/>
      </w:pPr>
    </w:p>
    <w:p w:rsidR="00A34B7A" w:rsidRDefault="00A34B7A" w:rsidP="00A34B7A">
      <w:pPr>
        <w:spacing w:line="360" w:lineRule="auto"/>
        <w:ind w:firstLine="708"/>
        <w:jc w:val="both"/>
      </w:pPr>
      <w:r>
        <w:lastRenderedPageBreak/>
        <w:t xml:space="preserve">Quando em Maio de 2003 se iniciaram, um pouco por acaso, as prospecções arqueológicas na Bacia do Arneiro-Nisa, nunca me passou pela cabeça que, passados dez anos, estaria a apresentar os resultados dessa investigação na forma de uma tese de Doutoramento. Em Maio de 2003 parcos eram os meus conhecimentos sobre este período do Paleolítico, um pouco melhores serão agora, como também sobre a realidade da riqueza paleolítica desta área do nordeste alentejano. </w:t>
      </w:r>
    </w:p>
    <w:p w:rsidR="00A34B7A" w:rsidRDefault="00A34B7A" w:rsidP="00A34B7A">
      <w:pPr>
        <w:spacing w:line="360" w:lineRule="auto"/>
        <w:ind w:firstLine="708"/>
        <w:jc w:val="both"/>
      </w:pPr>
      <w:r>
        <w:t xml:space="preserve">Quando me decidi a investigar o Paleolítico médio do Nordeste alentejano, mais especificamente às suas ocorrências registadas na zona do Arneiro – Nisa, junto ao Tejo, surgiu-me uma grande dúvida: o que é o Paleolítico médio? A única certeza sobre este período é que se situava entre o Paleolítico inferior e o Paleolítico superior. Devem-se considerar limites cronológicos como marcos para distinguir estes três períodos? Serão os marcos tecnológicos melhores indicadores de distinção? E existirá uma homogeneidade entre as indústrias atribuídas a este período por esta Europa fora? Ou pelo menos alguns traços comuns que as aglutine? As dúvidas são infinitamente maiores que as certezas, as lacunas são extensas, os dados científicos disponíveis, relativos a esta temática, no território português, escassos. </w:t>
      </w:r>
    </w:p>
    <w:p w:rsidR="00A34B7A" w:rsidRDefault="00A34B7A" w:rsidP="00A34B7A">
      <w:pPr>
        <w:spacing w:line="360" w:lineRule="auto"/>
        <w:ind w:firstLine="708"/>
        <w:jc w:val="both"/>
      </w:pPr>
      <w:r>
        <w:t>O número de sítios localizados durante os trabalhos de prospecção permitiram dissipar as primeiras dúvidas, os materiais arqueológicos recolhidos anunciavam-se auspiciosos. As primeiras sondagens escavadas nos terraços do Tejo e afluentes resultaram na identificação de três sítios que poderiam ser atribuídos, pelos artefactos encontrados, ao Paleolítico médio. Posteriores datações por OSL confirmaram essas atribuições.</w:t>
      </w:r>
    </w:p>
    <w:p w:rsidR="00A34B7A" w:rsidRDefault="00A34B7A" w:rsidP="00A34B7A">
      <w:pPr>
        <w:spacing w:line="360" w:lineRule="auto"/>
        <w:ind w:firstLine="708"/>
        <w:jc w:val="both"/>
      </w:pPr>
      <w:r>
        <w:t xml:space="preserve">È nesses três sítios, Pegos do Tejo 2, Azinhal e Tapada do Montinho, que se alicerça o trabalho agora apresentado. E o seu objectivo é a caracterização crono-estratigráfica das indústrias recolhidas nestas três estações de ar livre. </w:t>
      </w:r>
    </w:p>
    <w:p w:rsidR="00A34B7A" w:rsidRDefault="00A34B7A" w:rsidP="00A34B7A">
      <w:pPr>
        <w:spacing w:line="360" w:lineRule="auto"/>
        <w:ind w:firstLine="708"/>
        <w:jc w:val="both"/>
      </w:pPr>
      <w:r>
        <w:t>Com esse intuito principiou-se por estabelecer um quadro geológico e geomorfológico da zona onde se inserem as ocupações humanas focadas nesta tese. Esta breve síntese permite perceber melhor as características que poderiam ter sido fundamentais para a frequentação e implantação de comunidades neste território.</w:t>
      </w:r>
    </w:p>
    <w:p w:rsidR="00A34B7A" w:rsidRDefault="00A34B7A" w:rsidP="00A34B7A">
      <w:pPr>
        <w:spacing w:line="360" w:lineRule="auto"/>
        <w:ind w:firstLine="708"/>
        <w:jc w:val="both"/>
      </w:pPr>
      <w:r>
        <w:t>A longa diacronia dos sítios Pegos do Tejo 2, Azinhal e Tapada do Montinho, torna imprescindível ter em atenção todas as alterações climáticas que tiveram lugar durante um período tão alargado de tempo. A definição de uma sequência de acontecimentos paleoclimáticos será uma das tarefas que deverá ser levada a cabo, brevemente com junção de outros dados regionais.</w:t>
      </w:r>
    </w:p>
    <w:p w:rsidR="00A34B7A" w:rsidRDefault="00A34B7A" w:rsidP="00A34B7A">
      <w:pPr>
        <w:spacing w:line="360" w:lineRule="auto"/>
        <w:ind w:firstLine="708"/>
        <w:jc w:val="both"/>
      </w:pPr>
      <w:r>
        <w:lastRenderedPageBreak/>
        <w:t>Quando se decide estudar um determinado período convém iniciar a investigação com a recolha dos dados existentes sobre esse tema. É necessário proceder a um levantamento dos trabalhos realizados anteriormente por outros investigadores ao longo do tempo. Essa compilação tem que focar o historial das investigações a diversas escalas: mais larga, na Europa, a que se reduz ao contexto nacional e finalmente a síntese dos trabalhos realizados na região onde se insere o objecto deste estudo.</w:t>
      </w:r>
    </w:p>
    <w:p w:rsidR="00A34B7A" w:rsidRDefault="00A34B7A" w:rsidP="00A34B7A">
      <w:pPr>
        <w:spacing w:line="360" w:lineRule="auto"/>
        <w:ind w:firstLine="708"/>
        <w:jc w:val="both"/>
      </w:pPr>
      <w:r>
        <w:t>De seguida apresentam-se os protocolos seguidos para o estudo da área onde se inserem os sítios arqueológicos do Paleolítico médio e das metodologias de escavação seguidas em cada uma das estações intervencionadas. Apresentam-se também as metodologias desenvolvidas para o estudo da indústria lítica recolhida durante as escavações desses locais.</w:t>
      </w:r>
    </w:p>
    <w:p w:rsidR="00A34B7A" w:rsidRDefault="00A34B7A" w:rsidP="00A34B7A">
      <w:pPr>
        <w:spacing w:line="360" w:lineRule="auto"/>
        <w:ind w:firstLine="708"/>
        <w:jc w:val="both"/>
      </w:pPr>
      <w:r>
        <w:t xml:space="preserve">Os resultados do estudo da indústria lítica das ocupações humanas serão apresentados de seguida. Cada conjunto será analisado individualmente segundo os parâmetros definidos no capítulo anterior. </w:t>
      </w:r>
    </w:p>
    <w:p w:rsidR="00A34B7A" w:rsidRDefault="00A34B7A" w:rsidP="00A34B7A">
      <w:pPr>
        <w:spacing w:line="360" w:lineRule="auto"/>
        <w:ind w:firstLine="708"/>
        <w:jc w:val="both"/>
      </w:pPr>
      <w:r>
        <w:t xml:space="preserve">Finalmente, no capítulo relativo à discussão dos dados apresentados, será feita uma análise dos sítios em estudo em relação ao contexto geomorfológico onde se insere a Bacia do Arneiro. Será ainda feita uma tentativa de associação dos sítios aos períodos paleoclimáticos correspondentes. Cada sítio será alvo de uma observação dos resultados obtidos na análise anterior. Esses dados serão depois comparados com os dados existentes para outros sítios deste período em Portugal e do resto da Europa. O estudo inter-sítio constituirá outra vertente a ser desenvolvida nesta parte da tese. </w:t>
      </w:r>
    </w:p>
    <w:p w:rsidR="00A34B7A" w:rsidRDefault="00A34B7A" w:rsidP="00A34B7A">
      <w:pPr>
        <w:spacing w:line="360" w:lineRule="auto"/>
        <w:ind w:firstLine="708"/>
        <w:jc w:val="both"/>
      </w:pPr>
      <w:r>
        <w:t xml:space="preserve">Como resultado desta dissertação espera-se conseguir uma caracterização das três estações arqueológicas em estudo, quanto à sua posição cronológica e estratigráfica. Espera-se, ainda, conseguir uma definição das indústrias destas três ocupações plistocénicas quanto à sua composição litológica, tipológica e tecnológica. Espera-se que este trabalho seja mais um pequeno passo para o conhecimento do Paleolítico médio no território português e para, através dos resultados do registo arqueológico, o conhecimento dos comportamentos do </w:t>
      </w:r>
      <w:r w:rsidRPr="000C50D1">
        <w:rPr>
          <w:i/>
        </w:rPr>
        <w:t>Homo sapiens neanderthalensis</w:t>
      </w:r>
      <w:r>
        <w:rPr>
          <w:i/>
        </w:rPr>
        <w:t>.</w:t>
      </w:r>
    </w:p>
    <w:p w:rsidR="00A34B7A" w:rsidRDefault="00A34B7A" w:rsidP="00A34B7A">
      <w:pPr>
        <w:rPr>
          <w:b/>
          <w:u w:val="single"/>
        </w:rPr>
      </w:pPr>
    </w:p>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Pr="005C4740" w:rsidRDefault="00A34B7A" w:rsidP="00A34B7A">
      <w:pPr>
        <w:rPr>
          <w:b/>
          <w:u w:val="single"/>
        </w:rPr>
      </w:pPr>
    </w:p>
    <w:p w:rsidR="00A34B7A" w:rsidRPr="005C4740" w:rsidRDefault="00A34B7A" w:rsidP="00A34B7A">
      <w:pPr>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rPr>
          <w:b/>
        </w:rPr>
      </w:pPr>
    </w:p>
    <w:p w:rsidR="00A34B7A" w:rsidRDefault="00A34B7A" w:rsidP="00A34B7A">
      <w:pPr>
        <w:spacing w:line="360" w:lineRule="auto"/>
        <w:jc w:val="right"/>
        <w:rPr>
          <w:b/>
        </w:rPr>
      </w:pPr>
      <w:r>
        <w:rPr>
          <w:b/>
          <w:u w:val="single"/>
        </w:rPr>
        <w:t xml:space="preserve">II - </w:t>
      </w:r>
      <w:r w:rsidRPr="005C4740">
        <w:rPr>
          <w:b/>
          <w:u w:val="single"/>
        </w:rPr>
        <w:t>ASPECTOS GEOLÓGICOS, HIDROLÓGICOS, GEOGRÁFICOS E GEOMORFOLÓGICOS</w:t>
      </w:r>
    </w:p>
    <w:p w:rsidR="00A34B7A" w:rsidRDefault="00A34B7A" w:rsidP="00A34B7A">
      <w:pPr>
        <w:spacing w:line="360" w:lineRule="auto"/>
        <w:jc w:val="both"/>
        <w:rPr>
          <w:b/>
        </w:rPr>
      </w:pPr>
    </w:p>
    <w:p w:rsidR="00A34B7A" w:rsidRDefault="00A34B7A" w:rsidP="00A34B7A">
      <w:pPr>
        <w:spacing w:line="360" w:lineRule="auto"/>
        <w:jc w:val="both"/>
        <w:rPr>
          <w:b/>
        </w:rPr>
      </w:pPr>
    </w:p>
    <w:p w:rsidR="00F97B11" w:rsidRPr="005C4740" w:rsidRDefault="00F97B11" w:rsidP="00A34B7A">
      <w:pPr>
        <w:spacing w:line="360" w:lineRule="auto"/>
        <w:jc w:val="both"/>
        <w:rPr>
          <w:b/>
        </w:rPr>
      </w:pPr>
    </w:p>
    <w:p w:rsidR="00A34B7A" w:rsidRPr="005C4740" w:rsidRDefault="00A34B7A" w:rsidP="00A34B7A">
      <w:pPr>
        <w:spacing w:line="360" w:lineRule="auto"/>
        <w:jc w:val="both"/>
        <w:rPr>
          <w:b/>
        </w:rPr>
      </w:pPr>
      <w:r>
        <w:rPr>
          <w:b/>
        </w:rPr>
        <w:lastRenderedPageBreak/>
        <w:t xml:space="preserve">2.1 </w:t>
      </w:r>
      <w:r w:rsidRPr="005C4740">
        <w:rPr>
          <w:b/>
        </w:rPr>
        <w:t>Introdução</w:t>
      </w:r>
      <w:r w:rsidRPr="005C4740">
        <w:rPr>
          <w:b/>
        </w:rPr>
        <w:tab/>
      </w:r>
    </w:p>
    <w:p w:rsidR="00A34B7A" w:rsidRDefault="00A34B7A" w:rsidP="00A34B7A">
      <w:pPr>
        <w:spacing w:line="360" w:lineRule="auto"/>
        <w:ind w:firstLine="708"/>
        <w:jc w:val="both"/>
        <w:rPr>
          <w:bCs/>
        </w:rPr>
      </w:pPr>
    </w:p>
    <w:p w:rsidR="00A34B7A" w:rsidRDefault="00A34B7A" w:rsidP="00A34B7A">
      <w:pPr>
        <w:spacing w:line="360" w:lineRule="auto"/>
        <w:ind w:firstLine="708"/>
        <w:jc w:val="both"/>
        <w:rPr>
          <w:bCs/>
        </w:rPr>
      </w:pPr>
      <w:r w:rsidRPr="005C4740">
        <w:rPr>
          <w:bCs/>
        </w:rPr>
        <w:t>Não se pode iniciar qualquer estudo de investigação incidindo sobre o Paleolítico sem um trabalho preparatório de cariz geológico</w:t>
      </w:r>
      <w:r>
        <w:rPr>
          <w:bCs/>
        </w:rPr>
        <w:t>,</w:t>
      </w:r>
      <w:r w:rsidRPr="005C4740">
        <w:rPr>
          <w:bCs/>
        </w:rPr>
        <w:t xml:space="preserve"> hidrológico e geomorfológico. Este estudo, mesmo que superficial, permite traçar um quadro do território indispensável nomeadamente no que diz respeito a litologias, vias naturais de comunicação e habitats</w:t>
      </w:r>
      <w:r>
        <w:rPr>
          <w:bCs/>
        </w:rPr>
        <w:t xml:space="preserve"> das comunidades humanas pré-históricas</w:t>
      </w:r>
      <w:r w:rsidRPr="005C4740">
        <w:rPr>
          <w:bCs/>
        </w:rPr>
        <w:t>. Esta análise justifica-se pela necessidade de definir áreas que devid</w:t>
      </w:r>
      <w:r>
        <w:rPr>
          <w:bCs/>
        </w:rPr>
        <w:t>o à</w:t>
      </w:r>
      <w:r w:rsidRPr="005C4740">
        <w:rPr>
          <w:bCs/>
        </w:rPr>
        <w:t xml:space="preserve">s suas características geológicas, geomorfológicas e hídricas poderão ter exercido </w:t>
      </w:r>
      <w:r>
        <w:rPr>
          <w:bCs/>
        </w:rPr>
        <w:t>atra</w:t>
      </w:r>
      <w:r w:rsidRPr="005C4740">
        <w:rPr>
          <w:bCs/>
        </w:rPr>
        <w:t xml:space="preserve">ção sobre as primeiras comunidades de caçadores-recolectores que elegeram o Vale do Tejo </w:t>
      </w:r>
      <w:r>
        <w:rPr>
          <w:bCs/>
        </w:rPr>
        <w:t>e o Nordeste alentejano</w:t>
      </w:r>
      <w:r w:rsidRPr="005C4740">
        <w:rPr>
          <w:bCs/>
        </w:rPr>
        <w:t xml:space="preserve"> como habitats. </w:t>
      </w:r>
    </w:p>
    <w:p w:rsidR="00A34B7A" w:rsidRPr="005C4740" w:rsidRDefault="00A34B7A" w:rsidP="00A34B7A">
      <w:pPr>
        <w:spacing w:line="360" w:lineRule="auto"/>
        <w:ind w:firstLine="708"/>
        <w:jc w:val="both"/>
      </w:pPr>
    </w:p>
    <w:p w:rsidR="00A34B7A" w:rsidRPr="005C4740" w:rsidRDefault="00A34B7A" w:rsidP="00A34B7A">
      <w:pPr>
        <w:jc w:val="center"/>
        <w:rPr>
          <w:b/>
        </w:rPr>
      </w:pPr>
      <w:r>
        <w:rPr>
          <w:noProof/>
        </w:rPr>
        <w:drawing>
          <wp:inline distT="0" distB="0" distL="0" distR="0">
            <wp:extent cx="5391150" cy="3619500"/>
            <wp:effectExtent l="19050" t="0" r="0" b="0"/>
            <wp:docPr id="1" name="Imagem 1" descr="PanoramaArn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oramaArneiro"/>
                    <pic:cNvPicPr>
                      <a:picLocks noChangeAspect="1" noChangeArrowheads="1"/>
                    </pic:cNvPicPr>
                  </pic:nvPicPr>
                  <pic:blipFill>
                    <a:blip r:embed="rId10" cstate="print"/>
                    <a:srcRect/>
                    <a:stretch>
                      <a:fillRect/>
                    </a:stretch>
                  </pic:blipFill>
                  <pic:spPr bwMode="auto">
                    <a:xfrm>
                      <a:off x="0" y="0"/>
                      <a:ext cx="5391150" cy="3619500"/>
                    </a:xfrm>
                    <a:prstGeom prst="rect">
                      <a:avLst/>
                    </a:prstGeom>
                    <a:noFill/>
                    <a:ln w="9525">
                      <a:noFill/>
                      <a:miter lim="800000"/>
                      <a:headEnd/>
                      <a:tailEnd/>
                    </a:ln>
                  </pic:spPr>
                </pic:pic>
              </a:graphicData>
            </a:graphic>
          </wp:inline>
        </w:drawing>
      </w:r>
    </w:p>
    <w:p w:rsidR="00A34B7A" w:rsidRDefault="00EA3774" w:rsidP="00A34B7A">
      <w:pPr>
        <w:rPr>
          <w:b/>
        </w:rPr>
      </w:pPr>
      <w:r>
        <w:rPr>
          <w:b/>
          <w:noProof/>
          <w:lang w:eastAsia="en-US"/>
        </w:rPr>
        <w:pict>
          <v:shape id="_x0000_s1035" type="#_x0000_t202" style="position:absolute;margin-left:-4.05pt;margin-top:2.45pt;width:432.75pt;height:32.5pt;z-index:251672576;mso-height-percent:200;mso-height-percent:200;mso-width-relative:margin;mso-height-relative:margin" stroked="f">
            <v:textbox style="mso-fit-shape-to-text:t">
              <w:txbxContent>
                <w:p w:rsidR="00B34B0F" w:rsidRPr="00CA0B32" w:rsidRDefault="00B34B0F" w:rsidP="00A34B7A">
                  <w:pPr>
                    <w:jc w:val="both"/>
                    <w:rPr>
                      <w:sz w:val="22"/>
                      <w:szCs w:val="22"/>
                    </w:rPr>
                  </w:pPr>
                  <w:r w:rsidRPr="00CA0B32">
                    <w:rPr>
                      <w:sz w:val="22"/>
                      <w:szCs w:val="22"/>
                    </w:rPr>
                    <w:t>Foto</w:t>
                  </w:r>
                  <w:r>
                    <w:rPr>
                      <w:sz w:val="22"/>
                      <w:szCs w:val="22"/>
                    </w:rPr>
                    <w:t xml:space="preserve"> 2</w:t>
                  </w:r>
                  <w:r w:rsidRPr="00CA0B32">
                    <w:rPr>
                      <w:sz w:val="22"/>
                      <w:szCs w:val="22"/>
                    </w:rPr>
                    <w:t xml:space="preserve">.1- Vista do Tejo a jusante das Portas de Ródão. À direita na imagem, a Bacia do Arneiro. </w:t>
                  </w:r>
                </w:p>
              </w:txbxContent>
            </v:textbox>
          </v:shape>
        </w:pict>
      </w:r>
    </w:p>
    <w:p w:rsidR="00A34B7A" w:rsidRDefault="00A34B7A" w:rsidP="00A34B7A">
      <w:pPr>
        <w:rPr>
          <w:b/>
        </w:rPr>
      </w:pPr>
    </w:p>
    <w:p w:rsidR="00A34B7A" w:rsidRDefault="00A34B7A" w:rsidP="00A34B7A">
      <w:pPr>
        <w:rPr>
          <w:b/>
        </w:rPr>
      </w:pPr>
    </w:p>
    <w:p w:rsidR="00A34B7A" w:rsidRDefault="00A34B7A" w:rsidP="00A34B7A">
      <w:pPr>
        <w:rPr>
          <w:b/>
        </w:rPr>
      </w:pPr>
    </w:p>
    <w:p w:rsidR="00A34B7A" w:rsidRDefault="00A34B7A" w:rsidP="00A34B7A">
      <w:pPr>
        <w:rPr>
          <w:b/>
        </w:rPr>
      </w:pPr>
    </w:p>
    <w:p w:rsidR="00A34B7A" w:rsidRPr="005C4740" w:rsidRDefault="00A34B7A" w:rsidP="00A34B7A">
      <w:pPr>
        <w:rPr>
          <w:b/>
        </w:rPr>
      </w:pPr>
      <w:r>
        <w:rPr>
          <w:b/>
        </w:rPr>
        <w:t xml:space="preserve">2.2- </w:t>
      </w:r>
      <w:r w:rsidRPr="005C4740">
        <w:rPr>
          <w:b/>
        </w:rPr>
        <w:t xml:space="preserve">Caracterização Geológica </w:t>
      </w:r>
    </w:p>
    <w:p w:rsidR="00A34B7A" w:rsidRPr="005C4740" w:rsidRDefault="00A34B7A" w:rsidP="00A34B7A">
      <w:pPr>
        <w:spacing w:line="360" w:lineRule="auto"/>
        <w:ind w:firstLine="708"/>
        <w:jc w:val="both"/>
      </w:pPr>
    </w:p>
    <w:p w:rsidR="00A34B7A" w:rsidRPr="005C4740" w:rsidRDefault="00A34B7A" w:rsidP="00A34B7A">
      <w:pPr>
        <w:spacing w:line="360" w:lineRule="auto"/>
        <w:ind w:firstLine="708"/>
        <w:jc w:val="both"/>
      </w:pPr>
      <w:r w:rsidRPr="005C4740">
        <w:t xml:space="preserve">Em termos geológicos mais amplos a área estudada faz parte do complexo conhecido como </w:t>
      </w:r>
      <w:r w:rsidRPr="005C4740">
        <w:rPr>
          <w:i/>
        </w:rPr>
        <w:t xml:space="preserve">Zona de Ossa Morena. </w:t>
      </w:r>
      <w:r w:rsidRPr="005C4740">
        <w:t xml:space="preserve">A zona da Ossa Morena caracteriza-se por uma sequência que se inicia por um Precâmbrico polimetamórfico, seguido por um </w:t>
      </w:r>
      <w:r w:rsidRPr="005C4740">
        <w:lastRenderedPageBreak/>
        <w:t>Precâmbrico superior de afinidade Brioveriana, recoberto pelo conglomerado de base do Câmbrico que apresenta Fácies de Plataforma (Câmbrico inferior) seguido de uma espessa sequência Pelito quartzítica com intercalações de Espilitos. O Ordovícico apresenta-se com um fácies pelítica de águas mais profundas que o quartzito armoricano, o Silúrico é rico em rochas vulcânicas ácidas e básicas. O Devónico inferior e médio com Fácies de Plataforma está separado do “Flysch” do Devónico superior por uma importante discordância que denuncia a primeira fase de deformação hercínica</w:t>
      </w:r>
      <w:r>
        <w:t xml:space="preserve"> </w:t>
      </w:r>
      <w:r w:rsidRPr="005C4740">
        <w:t xml:space="preserve">(Ribeiro </w:t>
      </w:r>
      <w:r w:rsidRPr="00EA07D0">
        <w:rPr>
          <w:i/>
        </w:rPr>
        <w:t>et al</w:t>
      </w:r>
      <w:r w:rsidRPr="005C4740">
        <w:t>, 1965).</w:t>
      </w:r>
    </w:p>
    <w:p w:rsidR="00A34B7A" w:rsidRDefault="00A34B7A" w:rsidP="00A34B7A">
      <w:pPr>
        <w:spacing w:line="360" w:lineRule="auto"/>
        <w:ind w:firstLine="708"/>
        <w:jc w:val="both"/>
      </w:pPr>
      <w:r w:rsidRPr="005C4740">
        <w:t>O maior acontecimento tectónico da Península Ibérica foi a Orogenia Hercínica responsável pelas principais estruturas da região: cadeias de relevo com orientação NW-SE, dobrame</w:t>
      </w:r>
      <w:r>
        <w:t>ntos e várias fases de fra</w:t>
      </w:r>
      <w:r w:rsidRPr="005C4740">
        <w:t>tura</w:t>
      </w:r>
      <w:r>
        <w:t>ção</w:t>
      </w:r>
      <w:r w:rsidRPr="005C4740">
        <w:t xml:space="preserve"> com desligamentos, que se repetiram entre o Devónico e o Pérmico. Mais tarde no Mesozóico e mesmo no Cenozóico terão ocorrido novos rejogos. (ICN-PNSM</w:t>
      </w:r>
      <w:r>
        <w:t>, 2003</w:t>
      </w:r>
      <w:r w:rsidRPr="004E288A">
        <w:t>).</w:t>
      </w:r>
    </w:p>
    <w:p w:rsidR="00A34B7A" w:rsidRDefault="00A34B7A" w:rsidP="00A34B7A">
      <w:pPr>
        <w:spacing w:line="360" w:lineRule="auto"/>
        <w:ind w:firstLine="708"/>
        <w:jc w:val="both"/>
      </w:pPr>
    </w:p>
    <w:p w:rsidR="00A34B7A" w:rsidRDefault="00EA3774" w:rsidP="00A34B7A">
      <w:pPr>
        <w:spacing w:line="360" w:lineRule="auto"/>
      </w:pPr>
      <w:r>
        <w:rPr>
          <w:noProof/>
          <w:lang w:eastAsia="en-US"/>
        </w:rPr>
        <w:pict>
          <v:shape id="_x0000_s1036" type="#_x0000_t202" style="position:absolute;margin-left:-8.55pt;margin-top:314pt;width:452.25pt;height:113.25pt;z-index:251673600;mso-width-relative:margin;mso-height-relative:margin" stroked="f">
            <v:textbox>
              <w:txbxContent>
                <w:p w:rsidR="00B34B0F" w:rsidRPr="00CA0B32" w:rsidRDefault="00B34B0F" w:rsidP="00A34B7A">
                  <w:pPr>
                    <w:jc w:val="both"/>
                    <w:rPr>
                      <w:sz w:val="22"/>
                      <w:szCs w:val="22"/>
                    </w:rPr>
                  </w:pPr>
                  <w:r w:rsidRPr="00CA0B32">
                    <w:rPr>
                      <w:b/>
                      <w:sz w:val="22"/>
                      <w:szCs w:val="22"/>
                    </w:rPr>
                    <w:t xml:space="preserve">Figura 2.1 </w:t>
                  </w:r>
                  <w:r w:rsidRPr="00CA0B32">
                    <w:rPr>
                      <w:sz w:val="22"/>
                      <w:szCs w:val="22"/>
                    </w:rPr>
                    <w:t>- Extracto da área em estudo na Carta Geológica de Portugal, Serviços Ge</w:t>
                  </w:r>
                  <w:r>
                    <w:rPr>
                      <w:sz w:val="22"/>
                      <w:szCs w:val="22"/>
                    </w:rPr>
                    <w:t>ológicos de Portugal, Esc. 1: 5</w:t>
                  </w:r>
                  <w:r w:rsidRPr="00CA0B32">
                    <w:rPr>
                      <w:sz w:val="22"/>
                      <w:szCs w:val="22"/>
                    </w:rPr>
                    <w:t>00 000.</w:t>
                  </w:r>
                  <w:r>
                    <w:rPr>
                      <w:sz w:val="22"/>
                      <w:szCs w:val="22"/>
                    </w:rPr>
                    <w:t xml:space="preserve"> Principais acidentes e formações geológicas</w:t>
                  </w:r>
                  <w:proofErr w:type="gramStart"/>
                  <w:r>
                    <w:rPr>
                      <w:sz w:val="22"/>
                      <w:szCs w:val="22"/>
                    </w:rPr>
                    <w:t xml:space="preserve">:  </w:t>
                  </w:r>
                  <w:r w:rsidRPr="00CA0B32">
                    <w:rPr>
                      <w:sz w:val="22"/>
                      <w:szCs w:val="22"/>
                    </w:rPr>
                    <w:t xml:space="preserve"> </w:t>
                  </w:r>
                  <w:r w:rsidRPr="000F4B97">
                    <w:rPr>
                      <w:sz w:val="22"/>
                      <w:szCs w:val="22"/>
                    </w:rPr>
                    <w:t>_____</w:t>
                  </w:r>
                  <w:proofErr w:type="gramEnd"/>
                  <w:r w:rsidRPr="000F4B97">
                    <w:rPr>
                      <w:sz w:val="22"/>
                      <w:szCs w:val="22"/>
                    </w:rPr>
                    <w:t xml:space="preserve"> Falha; </w:t>
                  </w:r>
                  <w:r w:rsidRPr="000F4B97">
                    <w:rPr>
                      <w:sz w:val="22"/>
                      <w:szCs w:val="22"/>
                      <w:u w:val="single"/>
                    </w:rPr>
                    <w:t xml:space="preserve">▲ ▲ </w:t>
                  </w:r>
                  <w:r w:rsidRPr="000F4B97">
                    <w:rPr>
                      <w:sz w:val="22"/>
                      <w:szCs w:val="22"/>
                    </w:rPr>
                    <w:t xml:space="preserve">Cavalgamento; </w:t>
                  </w:r>
                  <w:r>
                    <w:rPr>
                      <w:noProof/>
                      <w:sz w:val="22"/>
                      <w:szCs w:val="22"/>
                    </w:rPr>
                    <w:drawing>
                      <wp:inline distT="0" distB="0" distL="0" distR="0">
                        <wp:extent cx="180975" cy="180975"/>
                        <wp:effectExtent l="19050" t="0" r="9525" b="0"/>
                        <wp:docPr id="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1"/>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0F4B97">
                    <w:rPr>
                      <w:sz w:val="22"/>
                      <w:szCs w:val="22"/>
                    </w:rPr>
                    <w:t xml:space="preserve"> Conglomerados de Sarzedas, Areias arcósicas de Silveirinha de Figos; </w:t>
                  </w:r>
                  <w:r>
                    <w:rPr>
                      <w:noProof/>
                      <w:sz w:val="22"/>
                      <w:szCs w:val="22"/>
                    </w:rPr>
                    <w:drawing>
                      <wp:inline distT="0" distB="0" distL="0" distR="0">
                        <wp:extent cx="161925" cy="180975"/>
                        <wp:effectExtent l="19050" t="0" r="9525" b="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2"/>
                                <a:srcRect/>
                                <a:stretch>
                                  <a:fillRect/>
                                </a:stretch>
                              </pic:blipFill>
                              <pic:spPr bwMode="auto">
                                <a:xfrm>
                                  <a:off x="0" y="0"/>
                                  <a:ext cx="161925" cy="180975"/>
                                </a:xfrm>
                                <a:prstGeom prst="rect">
                                  <a:avLst/>
                                </a:prstGeom>
                                <a:noFill/>
                                <a:ln w="9525">
                                  <a:noFill/>
                                  <a:miter lim="800000"/>
                                  <a:headEnd/>
                                  <a:tailEnd/>
                                </a:ln>
                              </pic:spPr>
                            </pic:pic>
                          </a:graphicData>
                        </a:graphic>
                      </wp:inline>
                    </w:drawing>
                  </w:r>
                  <w:r w:rsidRPr="000F4B97">
                    <w:rPr>
                      <w:sz w:val="22"/>
                      <w:szCs w:val="22"/>
                    </w:rPr>
                    <w:t xml:space="preserve"> Conglomerados arcósicos de Cabeço do Infante (Beira Baixa); </w:t>
                  </w:r>
                  <w:r>
                    <w:rPr>
                      <w:noProof/>
                      <w:sz w:val="22"/>
                      <w:szCs w:val="22"/>
                    </w:rPr>
                    <w:drawing>
                      <wp:inline distT="0" distB="0" distL="0" distR="0">
                        <wp:extent cx="171450" cy="180975"/>
                        <wp:effectExtent l="19050" t="0" r="0"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3"/>
                                <a:srcRect/>
                                <a:stretch>
                                  <a:fillRect/>
                                </a:stretch>
                              </pic:blipFill>
                              <pic:spPr bwMode="auto">
                                <a:xfrm>
                                  <a:off x="0" y="0"/>
                                  <a:ext cx="171450" cy="180975"/>
                                </a:xfrm>
                                <a:prstGeom prst="rect">
                                  <a:avLst/>
                                </a:prstGeom>
                                <a:noFill/>
                                <a:ln w="9525">
                                  <a:noFill/>
                                  <a:miter lim="800000"/>
                                  <a:headEnd/>
                                  <a:tailEnd/>
                                </a:ln>
                              </pic:spPr>
                            </pic:pic>
                          </a:graphicData>
                        </a:graphic>
                      </wp:inline>
                    </w:drawing>
                  </w:r>
                  <w:r w:rsidRPr="000F4B97">
                    <w:rPr>
                      <w:sz w:val="22"/>
                      <w:szCs w:val="22"/>
                    </w:rPr>
                    <w:t xml:space="preserve"> Formação de Perais: turbiditos; </w:t>
                  </w:r>
                  <w:r>
                    <w:rPr>
                      <w:noProof/>
                      <w:sz w:val="22"/>
                      <w:szCs w:val="22"/>
                    </w:rPr>
                    <w:drawing>
                      <wp:inline distT="0" distB="0" distL="0" distR="0">
                        <wp:extent cx="161925" cy="171450"/>
                        <wp:effectExtent l="1905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4"/>
                                <a:srcRect/>
                                <a:stretch>
                                  <a:fillRect/>
                                </a:stretch>
                              </pic:blipFill>
                              <pic:spPr bwMode="auto">
                                <a:xfrm>
                                  <a:off x="0" y="0"/>
                                  <a:ext cx="161925" cy="171450"/>
                                </a:xfrm>
                                <a:prstGeom prst="rect">
                                  <a:avLst/>
                                </a:prstGeom>
                                <a:noFill/>
                                <a:ln w="9525">
                                  <a:noFill/>
                                  <a:miter lim="800000"/>
                                  <a:headEnd/>
                                  <a:tailEnd/>
                                </a:ln>
                              </pic:spPr>
                            </pic:pic>
                          </a:graphicData>
                        </a:graphic>
                      </wp:inline>
                    </w:drawing>
                  </w:r>
                  <w:r w:rsidRPr="000F4B97">
                    <w:rPr>
                      <w:sz w:val="22"/>
                      <w:szCs w:val="22"/>
                    </w:rPr>
                    <w:t xml:space="preserve"> Formação de Malpica: turbiditos e conglomerados; </w:t>
                  </w:r>
                  <w:r>
                    <w:rPr>
                      <w:noProof/>
                      <w:sz w:val="22"/>
                      <w:szCs w:val="22"/>
                    </w:rPr>
                    <w:drawing>
                      <wp:inline distT="0" distB="0" distL="0" distR="0">
                        <wp:extent cx="161925" cy="171450"/>
                        <wp:effectExtent l="19050" t="0" r="9525"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5"/>
                                <a:srcRect/>
                                <a:stretch>
                                  <a:fillRect/>
                                </a:stretch>
                              </pic:blipFill>
                              <pic:spPr bwMode="auto">
                                <a:xfrm>
                                  <a:off x="0" y="0"/>
                                  <a:ext cx="161925" cy="171450"/>
                                </a:xfrm>
                                <a:prstGeom prst="rect">
                                  <a:avLst/>
                                </a:prstGeom>
                                <a:noFill/>
                                <a:ln w="9525">
                                  <a:noFill/>
                                  <a:miter lim="800000"/>
                                  <a:headEnd/>
                                  <a:tailEnd/>
                                </a:ln>
                              </pic:spPr>
                            </pic:pic>
                          </a:graphicData>
                        </a:graphic>
                      </wp:inline>
                    </w:drawing>
                  </w:r>
                  <w:r w:rsidRPr="000F4B97">
                    <w:rPr>
                      <w:sz w:val="22"/>
                      <w:szCs w:val="22"/>
                    </w:rPr>
                    <w:t xml:space="preserve">Formação do Quartzito Armoricano; </w:t>
                  </w:r>
                  <w:r>
                    <w:rPr>
                      <w:noProof/>
                      <w:sz w:val="22"/>
                      <w:szCs w:val="22"/>
                    </w:rPr>
                    <w:drawing>
                      <wp:inline distT="0" distB="0" distL="0" distR="0">
                        <wp:extent cx="180975" cy="180975"/>
                        <wp:effectExtent l="19050" t="0" r="9525" b="0"/>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6"/>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0F4B97">
                    <w:rPr>
                      <w:sz w:val="22"/>
                      <w:szCs w:val="22"/>
                    </w:rPr>
                    <w:t xml:space="preserve">Granitos biotíticos porfiroides; </w:t>
                  </w:r>
                  <w:r>
                    <w:rPr>
                      <w:noProof/>
                      <w:sz w:val="22"/>
                      <w:szCs w:val="22"/>
                    </w:rPr>
                    <w:drawing>
                      <wp:inline distT="0" distB="0" distL="0" distR="0">
                        <wp:extent cx="171450" cy="180975"/>
                        <wp:effectExtent l="19050" t="0" r="0" b="0"/>
                        <wp:docPr id="1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7"/>
                                <a:srcRect/>
                                <a:stretch>
                                  <a:fillRect/>
                                </a:stretch>
                              </pic:blipFill>
                              <pic:spPr bwMode="auto">
                                <a:xfrm>
                                  <a:off x="0" y="0"/>
                                  <a:ext cx="171450" cy="180975"/>
                                </a:xfrm>
                                <a:prstGeom prst="rect">
                                  <a:avLst/>
                                </a:prstGeom>
                                <a:noFill/>
                                <a:ln w="9525">
                                  <a:noFill/>
                                  <a:miter lim="800000"/>
                                  <a:headEnd/>
                                  <a:tailEnd/>
                                </a:ln>
                              </pic:spPr>
                            </pic:pic>
                          </a:graphicData>
                        </a:graphic>
                      </wp:inline>
                    </w:drawing>
                  </w:r>
                  <w:r w:rsidRPr="000F4B97">
                    <w:rPr>
                      <w:sz w:val="22"/>
                      <w:szCs w:val="22"/>
                    </w:rPr>
                    <w:t xml:space="preserve"> Ortognaisses e granitos; </w:t>
                  </w:r>
                  <w:r>
                    <w:rPr>
                      <w:noProof/>
                      <w:sz w:val="22"/>
                      <w:szCs w:val="22"/>
                    </w:rPr>
                    <w:drawing>
                      <wp:inline distT="0" distB="0" distL="0" distR="0">
                        <wp:extent cx="171450" cy="190500"/>
                        <wp:effectExtent l="19050" t="0" r="0" b="0"/>
                        <wp:docPr id="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8"/>
                                <a:srcRect/>
                                <a:stretch>
                                  <a:fillRect/>
                                </a:stretch>
                              </pic:blipFill>
                              <pic:spPr bwMode="auto">
                                <a:xfrm>
                                  <a:off x="0" y="0"/>
                                  <a:ext cx="171450" cy="190500"/>
                                </a:xfrm>
                                <a:prstGeom prst="rect">
                                  <a:avLst/>
                                </a:prstGeom>
                                <a:noFill/>
                                <a:ln w="9525">
                                  <a:noFill/>
                                  <a:miter lim="800000"/>
                                  <a:headEnd/>
                                  <a:tailEnd/>
                                </a:ln>
                              </pic:spPr>
                            </pic:pic>
                          </a:graphicData>
                        </a:graphic>
                      </wp:inline>
                    </w:drawing>
                  </w:r>
                  <w:r w:rsidRPr="000F4B97">
                    <w:rPr>
                      <w:sz w:val="22"/>
                      <w:szCs w:val="22"/>
                    </w:rPr>
                    <w:t xml:space="preserve"> Xistos Indiferenciados.</w:t>
                  </w:r>
                  <w:r w:rsidRPr="00CA0B32">
                    <w:rPr>
                      <w:sz w:val="22"/>
                      <w:szCs w:val="22"/>
                    </w:rPr>
                    <w:t xml:space="preserve"> (Retirado de http//www.lneg.pt</w:t>
                  </w:r>
                  <w:r>
                    <w:rPr>
                      <w:sz w:val="22"/>
                      <w:szCs w:val="22"/>
                    </w:rPr>
                    <w:t>/geoportal/mapas/índex.html</w:t>
                  </w:r>
                  <w:r w:rsidRPr="00CA0B32">
                    <w:rPr>
                      <w:sz w:val="22"/>
                      <w:szCs w:val="22"/>
                    </w:rPr>
                    <w:t>.)</w:t>
                  </w:r>
                </w:p>
                <w:p w:rsidR="00B34B0F" w:rsidRDefault="00B34B0F" w:rsidP="00A34B7A"/>
              </w:txbxContent>
            </v:textbox>
          </v:shape>
        </w:pict>
      </w:r>
      <w:r w:rsidR="00A34B7A">
        <w:rPr>
          <w:noProof/>
        </w:rPr>
        <w:drawing>
          <wp:inline distT="0" distB="0" distL="0" distR="0">
            <wp:extent cx="5610225" cy="3914775"/>
            <wp:effectExtent l="19050" t="0" r="9525" b="0"/>
            <wp:docPr id="2" name="Imagem 2" descr="Ge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lógico"/>
                    <pic:cNvPicPr>
                      <a:picLocks noChangeAspect="1" noChangeArrowheads="1"/>
                    </pic:cNvPicPr>
                  </pic:nvPicPr>
                  <pic:blipFill>
                    <a:blip r:embed="rId19" cstate="print"/>
                    <a:srcRect/>
                    <a:stretch>
                      <a:fillRect/>
                    </a:stretch>
                  </pic:blipFill>
                  <pic:spPr bwMode="auto">
                    <a:xfrm>
                      <a:off x="0" y="0"/>
                      <a:ext cx="5610225" cy="3914775"/>
                    </a:xfrm>
                    <a:prstGeom prst="rect">
                      <a:avLst/>
                    </a:prstGeom>
                    <a:noFill/>
                    <a:ln w="9525">
                      <a:noFill/>
                      <a:miter lim="800000"/>
                      <a:headEnd/>
                      <a:tailEnd/>
                    </a:ln>
                  </pic:spPr>
                </pic:pic>
              </a:graphicData>
            </a:graphic>
          </wp:inline>
        </w:drawing>
      </w:r>
    </w:p>
    <w:p w:rsidR="00A34B7A" w:rsidRDefault="00A34B7A" w:rsidP="00A34B7A">
      <w:pPr>
        <w:spacing w:line="360" w:lineRule="auto"/>
        <w:ind w:firstLine="708"/>
        <w:jc w:val="both"/>
      </w:pPr>
    </w:p>
    <w:p w:rsidR="00A34B7A" w:rsidRPr="005C4740"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Pr="005C4740" w:rsidRDefault="00A34B7A" w:rsidP="00A34B7A">
      <w:pPr>
        <w:spacing w:line="360" w:lineRule="auto"/>
        <w:ind w:firstLine="708"/>
        <w:jc w:val="both"/>
      </w:pPr>
      <w:r>
        <w:t>Nesta região a te</w:t>
      </w:r>
      <w:r w:rsidRPr="005C4740">
        <w:t>tónica foi determinante. Sofreu movimentos relacionados com deslocações de placas, nomeadamente por movimentos de cavalgamento ou afastamento dos diferentes blocos. Estes movimentos originaram geosinclinais (depressões) e geoanticlinais (elevações), conforme houve distensão ou compressão de placas. Em consequência destes movimentos formaram-se os granitos e os xistos. Posteriormente todas est</w:t>
      </w:r>
      <w:r>
        <w:t>as formações foram dobradas, te</w:t>
      </w:r>
      <w:r w:rsidRPr="005C4740">
        <w:t>tonizadas e metamorfizadas o que originou a sua fracturação e diaclasamento</w:t>
      </w:r>
      <w:r>
        <w:t xml:space="preserve"> </w:t>
      </w:r>
      <w:r w:rsidRPr="005C4740">
        <w:t>(Ribeiro et al, 1965).</w:t>
      </w:r>
    </w:p>
    <w:p w:rsidR="00A34B7A" w:rsidRPr="005C4740" w:rsidRDefault="00A34B7A" w:rsidP="00A34B7A">
      <w:pPr>
        <w:spacing w:line="360" w:lineRule="auto"/>
        <w:ind w:firstLine="360"/>
        <w:jc w:val="both"/>
      </w:pPr>
      <w:r w:rsidRPr="005C4740">
        <w:t xml:space="preserve">Relativamente ao aspecto geomorfológico o que mais se salienta na região é a </w:t>
      </w:r>
      <w:r>
        <w:t xml:space="preserve">sua relação com a </w:t>
      </w:r>
      <w:r w:rsidRPr="005C4740">
        <w:t xml:space="preserve">existência de rochas metasedimentares e graníticas (Ribeiro </w:t>
      </w:r>
      <w:r w:rsidRPr="00EA07D0">
        <w:rPr>
          <w:i/>
        </w:rPr>
        <w:t>et al</w:t>
      </w:r>
      <w:r w:rsidRPr="005C4740">
        <w:t>, 1965). A evolução paleogeográfica determinou, como sequência das orogenias que atingiram a região, a existência das seguintes unidades geológicas:</w:t>
      </w:r>
    </w:p>
    <w:p w:rsidR="00A34B7A" w:rsidRPr="005C4740" w:rsidRDefault="00A34B7A" w:rsidP="00A34B7A">
      <w:pPr>
        <w:spacing w:line="360" w:lineRule="auto"/>
        <w:jc w:val="both"/>
      </w:pPr>
    </w:p>
    <w:p w:rsidR="00A34B7A" w:rsidRPr="005C4740" w:rsidRDefault="00A34B7A" w:rsidP="00A34B7A">
      <w:pPr>
        <w:numPr>
          <w:ilvl w:val="0"/>
          <w:numId w:val="3"/>
        </w:numPr>
        <w:spacing w:line="360" w:lineRule="auto"/>
        <w:jc w:val="both"/>
        <w:rPr>
          <w:i/>
        </w:rPr>
      </w:pPr>
      <w:r w:rsidRPr="005C4740">
        <w:rPr>
          <w:i/>
        </w:rPr>
        <w:t>Depósitos modernos de cobertura</w:t>
      </w:r>
    </w:p>
    <w:p w:rsidR="00A34B7A" w:rsidRPr="005C4740" w:rsidRDefault="00A34B7A" w:rsidP="00A34B7A">
      <w:pPr>
        <w:spacing w:line="360" w:lineRule="auto"/>
        <w:jc w:val="both"/>
      </w:pPr>
    </w:p>
    <w:p w:rsidR="00A34B7A" w:rsidRPr="005C4740" w:rsidRDefault="00A34B7A" w:rsidP="00A34B7A">
      <w:pPr>
        <w:numPr>
          <w:ilvl w:val="0"/>
          <w:numId w:val="4"/>
        </w:numPr>
        <w:spacing w:line="360" w:lineRule="auto"/>
        <w:jc w:val="both"/>
      </w:pPr>
      <w:r>
        <w:t xml:space="preserve">Aluviões </w:t>
      </w:r>
      <w:proofErr w:type="gramStart"/>
      <w:r>
        <w:t>a</w:t>
      </w:r>
      <w:r w:rsidRPr="005C4740">
        <w:t>tuais</w:t>
      </w:r>
      <w:proofErr w:type="gramEnd"/>
      <w:r w:rsidRPr="005C4740">
        <w:t xml:space="preserve"> (cascalhos, areias, lodos).</w:t>
      </w:r>
    </w:p>
    <w:p w:rsidR="00A34B7A" w:rsidRPr="005C4740" w:rsidRDefault="00A34B7A" w:rsidP="00A34B7A">
      <w:pPr>
        <w:numPr>
          <w:ilvl w:val="0"/>
          <w:numId w:val="4"/>
        </w:numPr>
        <w:spacing w:line="360" w:lineRule="auto"/>
        <w:jc w:val="both"/>
      </w:pPr>
      <w:r w:rsidRPr="005C4740">
        <w:t>Depósitos de vertentes na proximidade das cristas quartzíticas.</w:t>
      </w:r>
    </w:p>
    <w:p w:rsidR="00A34B7A" w:rsidRPr="005C4740" w:rsidRDefault="00A34B7A" w:rsidP="00A34B7A">
      <w:pPr>
        <w:numPr>
          <w:ilvl w:val="0"/>
          <w:numId w:val="4"/>
        </w:numPr>
        <w:spacing w:line="360" w:lineRule="auto"/>
        <w:jc w:val="both"/>
      </w:pPr>
      <w:r w:rsidRPr="005C4740">
        <w:t>Cascalheiras com intercalações argilo-arenosas, escalonadas a diversas alturas, acima do leito do Tejo.</w:t>
      </w:r>
    </w:p>
    <w:p w:rsidR="00A34B7A" w:rsidRPr="005C4740" w:rsidRDefault="00A34B7A" w:rsidP="00A34B7A">
      <w:pPr>
        <w:numPr>
          <w:ilvl w:val="0"/>
          <w:numId w:val="4"/>
        </w:numPr>
        <w:spacing w:line="360" w:lineRule="auto"/>
        <w:jc w:val="both"/>
      </w:pPr>
      <w:r w:rsidRPr="005C4740">
        <w:t>Arcoses grosseiras, com intercalações finas (arcoses da Beira Baixa).</w:t>
      </w:r>
    </w:p>
    <w:p w:rsidR="00A34B7A" w:rsidRPr="005C4740" w:rsidRDefault="00A34B7A" w:rsidP="00A34B7A">
      <w:pPr>
        <w:spacing w:line="360" w:lineRule="auto"/>
        <w:ind w:left="360"/>
        <w:jc w:val="both"/>
        <w:rPr>
          <w:bCs/>
        </w:rPr>
      </w:pPr>
    </w:p>
    <w:p w:rsidR="00A34B7A" w:rsidRDefault="00A34B7A" w:rsidP="00A34B7A">
      <w:pPr>
        <w:numPr>
          <w:ilvl w:val="0"/>
          <w:numId w:val="3"/>
        </w:numPr>
        <w:spacing w:line="360" w:lineRule="auto"/>
        <w:jc w:val="both"/>
        <w:rPr>
          <w:bCs/>
          <w:i/>
        </w:rPr>
      </w:pPr>
      <w:r w:rsidRPr="005C4740">
        <w:rPr>
          <w:bCs/>
          <w:i/>
        </w:rPr>
        <w:t>Formações paleozóicas (Ordovícico)</w:t>
      </w:r>
    </w:p>
    <w:p w:rsidR="00A34B7A" w:rsidRPr="005C4740" w:rsidRDefault="00A34B7A" w:rsidP="00A34B7A">
      <w:pPr>
        <w:spacing w:line="360" w:lineRule="auto"/>
        <w:ind w:left="360"/>
        <w:jc w:val="both"/>
        <w:rPr>
          <w:bCs/>
        </w:rPr>
      </w:pPr>
    </w:p>
    <w:p w:rsidR="00A34B7A" w:rsidRPr="005C4740" w:rsidRDefault="00A34B7A" w:rsidP="00A34B7A">
      <w:pPr>
        <w:numPr>
          <w:ilvl w:val="0"/>
          <w:numId w:val="5"/>
        </w:numPr>
        <w:spacing w:line="360" w:lineRule="auto"/>
        <w:jc w:val="both"/>
        <w:rPr>
          <w:bCs/>
        </w:rPr>
      </w:pPr>
      <w:r w:rsidRPr="005C4740">
        <w:rPr>
          <w:bCs/>
        </w:rPr>
        <w:t>Xistos argilosos com fósseis (Lanvirniano-Landeiliano).</w:t>
      </w:r>
    </w:p>
    <w:p w:rsidR="00A34B7A" w:rsidRPr="005C4740" w:rsidRDefault="00A34B7A" w:rsidP="00A34B7A">
      <w:pPr>
        <w:numPr>
          <w:ilvl w:val="0"/>
          <w:numId w:val="5"/>
        </w:numPr>
        <w:spacing w:line="360" w:lineRule="auto"/>
        <w:jc w:val="both"/>
        <w:rPr>
          <w:bCs/>
        </w:rPr>
      </w:pPr>
      <w:r w:rsidRPr="005C4740">
        <w:rPr>
          <w:bCs/>
        </w:rPr>
        <w:t>Quartzitos com bilobites (Skidaviano).</w:t>
      </w:r>
    </w:p>
    <w:p w:rsidR="00A34B7A" w:rsidRDefault="00A34B7A" w:rsidP="00A34B7A">
      <w:pPr>
        <w:numPr>
          <w:ilvl w:val="0"/>
          <w:numId w:val="5"/>
        </w:numPr>
        <w:spacing w:line="360" w:lineRule="auto"/>
        <w:jc w:val="both"/>
        <w:rPr>
          <w:bCs/>
        </w:rPr>
      </w:pPr>
      <w:r w:rsidRPr="005C4740">
        <w:rPr>
          <w:bCs/>
        </w:rPr>
        <w:t>Conglomerados (Tremadociano).</w:t>
      </w:r>
    </w:p>
    <w:p w:rsidR="00A34B7A" w:rsidRPr="005C4740" w:rsidRDefault="00A34B7A" w:rsidP="00A34B7A">
      <w:pPr>
        <w:spacing w:line="360" w:lineRule="auto"/>
        <w:ind w:left="720"/>
        <w:jc w:val="both"/>
        <w:rPr>
          <w:bCs/>
        </w:rPr>
      </w:pPr>
    </w:p>
    <w:p w:rsidR="00A34B7A" w:rsidRPr="005C4740" w:rsidRDefault="00A34B7A" w:rsidP="00A34B7A">
      <w:pPr>
        <w:spacing w:line="360" w:lineRule="auto"/>
        <w:ind w:left="360"/>
        <w:jc w:val="both"/>
        <w:rPr>
          <w:bCs/>
        </w:rPr>
      </w:pPr>
    </w:p>
    <w:p w:rsidR="00A34B7A" w:rsidRDefault="00A34B7A" w:rsidP="00A34B7A">
      <w:pPr>
        <w:numPr>
          <w:ilvl w:val="0"/>
          <w:numId w:val="3"/>
        </w:numPr>
        <w:spacing w:line="360" w:lineRule="auto"/>
        <w:jc w:val="both"/>
        <w:rPr>
          <w:bCs/>
          <w:i/>
        </w:rPr>
      </w:pPr>
      <w:r w:rsidRPr="00E531A8">
        <w:rPr>
          <w:bCs/>
          <w:i/>
        </w:rPr>
        <w:t>Complexo xisto-grauváquico ante-ordivícico e séries metamórficas derivadas</w:t>
      </w:r>
    </w:p>
    <w:p w:rsidR="00A34B7A" w:rsidRPr="005C4740" w:rsidRDefault="00A34B7A" w:rsidP="00A34B7A">
      <w:pPr>
        <w:spacing w:line="360" w:lineRule="auto"/>
        <w:jc w:val="both"/>
        <w:rPr>
          <w:bCs/>
          <w:u w:val="single"/>
        </w:rPr>
      </w:pPr>
    </w:p>
    <w:p w:rsidR="00A34B7A" w:rsidRPr="005C4740" w:rsidRDefault="00A34B7A" w:rsidP="00A34B7A">
      <w:pPr>
        <w:numPr>
          <w:ilvl w:val="0"/>
          <w:numId w:val="6"/>
        </w:numPr>
        <w:spacing w:line="360" w:lineRule="auto"/>
        <w:jc w:val="both"/>
        <w:rPr>
          <w:bCs/>
        </w:rPr>
      </w:pPr>
      <w:r w:rsidRPr="005C4740">
        <w:rPr>
          <w:bCs/>
        </w:rPr>
        <w:t>Xistos e grauvaques.</w:t>
      </w:r>
    </w:p>
    <w:p w:rsidR="00A34B7A" w:rsidRPr="005C4740" w:rsidRDefault="00A34B7A" w:rsidP="00A34B7A">
      <w:pPr>
        <w:numPr>
          <w:ilvl w:val="0"/>
          <w:numId w:val="6"/>
        </w:numPr>
        <w:spacing w:line="360" w:lineRule="auto"/>
        <w:jc w:val="both"/>
        <w:rPr>
          <w:bCs/>
        </w:rPr>
      </w:pPr>
      <w:r w:rsidRPr="005C4740">
        <w:rPr>
          <w:bCs/>
        </w:rPr>
        <w:t>Xistos mosqueados.</w:t>
      </w:r>
    </w:p>
    <w:p w:rsidR="00A34B7A" w:rsidRPr="005C4740" w:rsidRDefault="00A34B7A" w:rsidP="00A34B7A">
      <w:pPr>
        <w:numPr>
          <w:ilvl w:val="0"/>
          <w:numId w:val="6"/>
        </w:numPr>
        <w:spacing w:line="360" w:lineRule="auto"/>
        <w:jc w:val="both"/>
        <w:rPr>
          <w:bCs/>
        </w:rPr>
      </w:pPr>
      <w:r w:rsidRPr="005C4740">
        <w:rPr>
          <w:bCs/>
        </w:rPr>
        <w:t>Corneanas.</w:t>
      </w:r>
    </w:p>
    <w:p w:rsidR="00A34B7A" w:rsidRDefault="00A34B7A" w:rsidP="00A34B7A">
      <w:pPr>
        <w:spacing w:line="360" w:lineRule="auto"/>
        <w:jc w:val="both"/>
        <w:rPr>
          <w:bCs/>
        </w:rPr>
      </w:pPr>
    </w:p>
    <w:p w:rsidR="00A34B7A" w:rsidRDefault="00A34B7A" w:rsidP="00A34B7A">
      <w:pPr>
        <w:spacing w:line="360" w:lineRule="auto"/>
        <w:jc w:val="both"/>
        <w:rPr>
          <w:bCs/>
        </w:rPr>
      </w:pPr>
    </w:p>
    <w:p w:rsidR="00A34B7A" w:rsidRPr="005C4740" w:rsidRDefault="00A34B7A" w:rsidP="00A34B7A">
      <w:pPr>
        <w:spacing w:line="360" w:lineRule="auto"/>
        <w:jc w:val="both"/>
        <w:rPr>
          <w:bCs/>
        </w:rPr>
      </w:pPr>
    </w:p>
    <w:p w:rsidR="00A34B7A" w:rsidRDefault="00A34B7A" w:rsidP="00A34B7A">
      <w:pPr>
        <w:numPr>
          <w:ilvl w:val="0"/>
          <w:numId w:val="3"/>
        </w:numPr>
        <w:spacing w:line="360" w:lineRule="auto"/>
        <w:jc w:val="both"/>
        <w:rPr>
          <w:bCs/>
          <w:i/>
        </w:rPr>
      </w:pPr>
      <w:r w:rsidRPr="00E531A8">
        <w:rPr>
          <w:bCs/>
          <w:i/>
        </w:rPr>
        <w:t xml:space="preserve"> Rochas eruptivas</w:t>
      </w:r>
    </w:p>
    <w:p w:rsidR="00A34B7A" w:rsidRPr="005C4740" w:rsidRDefault="00A34B7A" w:rsidP="00A34B7A">
      <w:pPr>
        <w:spacing w:line="360" w:lineRule="auto"/>
        <w:jc w:val="both"/>
        <w:rPr>
          <w:bCs/>
        </w:rPr>
      </w:pPr>
    </w:p>
    <w:p w:rsidR="00A34B7A" w:rsidRPr="005C4740" w:rsidRDefault="00A34B7A" w:rsidP="00A34B7A">
      <w:pPr>
        <w:numPr>
          <w:ilvl w:val="0"/>
          <w:numId w:val="7"/>
        </w:numPr>
        <w:spacing w:line="360" w:lineRule="auto"/>
        <w:jc w:val="both"/>
        <w:rPr>
          <w:bCs/>
        </w:rPr>
      </w:pPr>
      <w:r w:rsidRPr="005C4740">
        <w:rPr>
          <w:bCs/>
        </w:rPr>
        <w:t>Granito monzónitico.</w:t>
      </w:r>
    </w:p>
    <w:p w:rsidR="00A34B7A" w:rsidRPr="005C4740" w:rsidRDefault="00A34B7A" w:rsidP="00A34B7A">
      <w:pPr>
        <w:numPr>
          <w:ilvl w:val="0"/>
          <w:numId w:val="7"/>
        </w:numPr>
        <w:spacing w:line="360" w:lineRule="auto"/>
        <w:jc w:val="both"/>
        <w:rPr>
          <w:bCs/>
        </w:rPr>
      </w:pPr>
      <w:r w:rsidRPr="005C4740">
        <w:rPr>
          <w:bCs/>
        </w:rPr>
        <w:t>Microgranito.</w:t>
      </w:r>
    </w:p>
    <w:p w:rsidR="00A34B7A" w:rsidRPr="005C4740" w:rsidRDefault="00A34B7A" w:rsidP="00A34B7A">
      <w:pPr>
        <w:spacing w:line="360" w:lineRule="auto"/>
        <w:jc w:val="both"/>
        <w:rPr>
          <w:bCs/>
        </w:rPr>
      </w:pPr>
    </w:p>
    <w:p w:rsidR="00A34B7A" w:rsidRPr="00E531A8" w:rsidRDefault="00A34B7A" w:rsidP="00A34B7A">
      <w:pPr>
        <w:numPr>
          <w:ilvl w:val="0"/>
          <w:numId w:val="3"/>
        </w:numPr>
        <w:spacing w:line="360" w:lineRule="auto"/>
        <w:jc w:val="both"/>
        <w:rPr>
          <w:bCs/>
          <w:i/>
        </w:rPr>
      </w:pPr>
      <w:r w:rsidRPr="00E531A8">
        <w:rPr>
          <w:bCs/>
          <w:i/>
        </w:rPr>
        <w:t>Rochas filonianas.</w:t>
      </w:r>
    </w:p>
    <w:p w:rsidR="00A34B7A" w:rsidRPr="005C4740" w:rsidRDefault="00A34B7A" w:rsidP="00A34B7A">
      <w:pPr>
        <w:spacing w:line="360" w:lineRule="auto"/>
        <w:ind w:firstLine="360"/>
        <w:jc w:val="both"/>
        <w:rPr>
          <w:bCs/>
        </w:rPr>
      </w:pPr>
    </w:p>
    <w:p w:rsidR="00A34B7A" w:rsidRPr="005C4740" w:rsidRDefault="00A34B7A" w:rsidP="00A34B7A">
      <w:pPr>
        <w:numPr>
          <w:ilvl w:val="0"/>
          <w:numId w:val="8"/>
        </w:numPr>
        <w:spacing w:line="360" w:lineRule="auto"/>
        <w:jc w:val="both"/>
        <w:rPr>
          <w:bCs/>
        </w:rPr>
      </w:pPr>
      <w:r w:rsidRPr="005C4740">
        <w:rPr>
          <w:bCs/>
        </w:rPr>
        <w:t>Filões micrograníticos.</w:t>
      </w:r>
    </w:p>
    <w:p w:rsidR="00A34B7A" w:rsidRPr="005C4740" w:rsidRDefault="00A34B7A" w:rsidP="00A34B7A">
      <w:pPr>
        <w:numPr>
          <w:ilvl w:val="0"/>
          <w:numId w:val="8"/>
        </w:numPr>
        <w:spacing w:line="360" w:lineRule="auto"/>
        <w:jc w:val="both"/>
        <w:rPr>
          <w:bCs/>
        </w:rPr>
      </w:pPr>
      <w:r w:rsidRPr="005C4740">
        <w:rPr>
          <w:bCs/>
        </w:rPr>
        <w:t>Filões doleríticos.</w:t>
      </w:r>
    </w:p>
    <w:p w:rsidR="00A34B7A" w:rsidRPr="005C4740" w:rsidRDefault="00A34B7A" w:rsidP="00A34B7A">
      <w:pPr>
        <w:numPr>
          <w:ilvl w:val="0"/>
          <w:numId w:val="8"/>
        </w:numPr>
        <w:spacing w:line="360" w:lineRule="auto"/>
        <w:jc w:val="both"/>
        <w:rPr>
          <w:bCs/>
        </w:rPr>
      </w:pPr>
      <w:r w:rsidRPr="005C4740">
        <w:rPr>
          <w:bCs/>
        </w:rPr>
        <w:t>Filões quartzosos.</w:t>
      </w:r>
    </w:p>
    <w:p w:rsidR="00A34B7A" w:rsidRPr="005C4740" w:rsidRDefault="00A34B7A" w:rsidP="00A34B7A">
      <w:pPr>
        <w:spacing w:line="360" w:lineRule="auto"/>
        <w:jc w:val="both"/>
        <w:rPr>
          <w:bCs/>
          <w:u w:val="single"/>
        </w:rPr>
      </w:pPr>
    </w:p>
    <w:p w:rsidR="00A34B7A" w:rsidRPr="005C4740" w:rsidRDefault="00A34B7A" w:rsidP="00A34B7A">
      <w:pPr>
        <w:spacing w:line="360" w:lineRule="auto"/>
        <w:jc w:val="both"/>
        <w:rPr>
          <w:bCs/>
          <w:u w:val="single"/>
        </w:rPr>
      </w:pPr>
    </w:p>
    <w:p w:rsidR="00A34B7A" w:rsidRPr="005C4740" w:rsidRDefault="00A34B7A" w:rsidP="00A34B7A">
      <w:pPr>
        <w:spacing w:line="360" w:lineRule="auto"/>
        <w:ind w:firstLine="360"/>
        <w:jc w:val="both"/>
        <w:rPr>
          <w:i/>
        </w:rPr>
      </w:pPr>
      <w:r w:rsidRPr="005C4740">
        <w:rPr>
          <w:bCs/>
        </w:rPr>
        <w:t>Além destas unidades geológicas temos ainda a</w:t>
      </w:r>
      <w:r>
        <w:t>s rochas calcárias que tê</w:t>
      </w:r>
      <w:r w:rsidRPr="005C4740">
        <w:t>m origem no Devónico e Câmbrico. A mancha Devónica ocorre junto a S. Julião, Monte Sete e Vale de Aramenha. Os calcários do Devónico, que são os melhores representados no espaço da serra, mostram-se homogéneos e são dolomíticos.</w:t>
      </w:r>
    </w:p>
    <w:p w:rsidR="00A34B7A" w:rsidRDefault="00A34B7A" w:rsidP="00A34B7A">
      <w:pPr>
        <w:spacing w:line="360" w:lineRule="auto"/>
        <w:jc w:val="both"/>
        <w:rPr>
          <w:b/>
        </w:rPr>
      </w:pPr>
    </w:p>
    <w:p w:rsidR="00A34B7A" w:rsidRPr="005C4740" w:rsidRDefault="00A34B7A" w:rsidP="00A34B7A">
      <w:pPr>
        <w:spacing w:line="360" w:lineRule="auto"/>
        <w:jc w:val="both"/>
        <w:rPr>
          <w:b/>
        </w:rPr>
      </w:pPr>
    </w:p>
    <w:p w:rsidR="00A34B7A" w:rsidRDefault="00A34B7A" w:rsidP="00A34B7A">
      <w:pPr>
        <w:spacing w:line="360" w:lineRule="auto"/>
        <w:jc w:val="both"/>
        <w:rPr>
          <w:b/>
        </w:rPr>
      </w:pPr>
      <w:r>
        <w:rPr>
          <w:b/>
        </w:rPr>
        <w:t xml:space="preserve">2.3- </w:t>
      </w:r>
      <w:r w:rsidRPr="005C4740">
        <w:rPr>
          <w:b/>
        </w:rPr>
        <w:t>Caracterização geomorfológica</w:t>
      </w:r>
    </w:p>
    <w:p w:rsidR="00A34B7A" w:rsidRPr="00CA0B32" w:rsidRDefault="00A34B7A" w:rsidP="00A34B7A">
      <w:pPr>
        <w:spacing w:line="360" w:lineRule="auto"/>
        <w:jc w:val="both"/>
        <w:rPr>
          <w:b/>
        </w:rPr>
      </w:pPr>
    </w:p>
    <w:p w:rsidR="00A34B7A" w:rsidRPr="005C4740" w:rsidRDefault="00A34B7A" w:rsidP="00A34B7A">
      <w:pPr>
        <w:autoSpaceDE w:val="0"/>
        <w:autoSpaceDN w:val="0"/>
        <w:adjustRightInd w:val="0"/>
        <w:spacing w:line="360" w:lineRule="auto"/>
        <w:ind w:firstLine="708"/>
        <w:jc w:val="both"/>
      </w:pPr>
      <w:r w:rsidRPr="005C4740">
        <w:t>Na zona que nos interessa agora estudar mais pormenorizadamente existem f</w:t>
      </w:r>
      <w:r>
        <w:t>ormas associadas à te</w:t>
      </w:r>
      <w:r w:rsidRPr="005C4740">
        <w:t xml:space="preserve">tónica de grande importância para o assunto em estudo. A mais importante </w:t>
      </w:r>
      <w:r>
        <w:t>corresponde ao compartimento te</w:t>
      </w:r>
      <w:r w:rsidRPr="005C4740">
        <w:t xml:space="preserve">tónico de </w:t>
      </w:r>
      <w:r>
        <w:t xml:space="preserve">Vila Ruivas-Arneiro (Carvalho </w:t>
      </w:r>
      <w:r w:rsidRPr="00EA07D0">
        <w:rPr>
          <w:i/>
        </w:rPr>
        <w:t>et al</w:t>
      </w:r>
      <w:r w:rsidRPr="005C4740">
        <w:t xml:space="preserve"> 2006).</w:t>
      </w:r>
      <w:r w:rsidRPr="005C4740">
        <w:rPr>
          <w:b/>
        </w:rPr>
        <w:t xml:space="preserve"> </w:t>
      </w:r>
      <w:r w:rsidRPr="005C4740">
        <w:t>Trata-se de um pequeno compartimento tectónico, situado imediatamente a sudoeste das cristas quartzíticas e</w:t>
      </w:r>
      <w:r>
        <w:t>,</w:t>
      </w:r>
      <w:r w:rsidRPr="005C4740">
        <w:t xml:space="preserve"> paralelo a estas</w:t>
      </w:r>
      <w:r>
        <w:t>,</w:t>
      </w:r>
      <w:r w:rsidRPr="005C4740">
        <w:t xml:space="preserve"> foi definido no início como bacia de abatimento que conservava depósitos cenozoícos e de terraços (Ribeiro </w:t>
      </w:r>
      <w:r w:rsidRPr="00A549DE">
        <w:rPr>
          <w:i/>
        </w:rPr>
        <w:t>et al</w:t>
      </w:r>
      <w:r w:rsidRPr="005C4740">
        <w:t>, 1965). Teve origem num rejogo de prováveis falhas com direcções WNW-ESE e NWSE (Marti</w:t>
      </w:r>
      <w:r>
        <w:t>ns, 1999; Cunha &amp; Martins, 2000</w:t>
      </w:r>
      <w:r w:rsidRPr="005C4740">
        <w:t>). A exumação da escarpa de falha do Ponsul-Arneiro resultou da erosão diferencial entre os metassedimentos do soco e as formações sedimentares, mais brandas, combinada com algum desnivelamento tectónico ocorrido durante o Quaternário (Dias &amp; Cabral, 1989).</w:t>
      </w:r>
    </w:p>
    <w:p w:rsidR="00A34B7A" w:rsidRPr="005C4740" w:rsidRDefault="00A34B7A" w:rsidP="00A34B7A">
      <w:pPr>
        <w:autoSpaceDE w:val="0"/>
        <w:autoSpaceDN w:val="0"/>
        <w:adjustRightInd w:val="0"/>
        <w:spacing w:line="360" w:lineRule="auto"/>
        <w:ind w:firstLine="708"/>
        <w:jc w:val="both"/>
        <w:rPr>
          <w:b/>
        </w:rPr>
      </w:pPr>
      <w:r w:rsidRPr="005C4740">
        <w:lastRenderedPageBreak/>
        <w:t>Durante a etapa de incisão da rede hidrográfica este compartimento sofreu maior soerguimento que o alvéolo de Rodão, mas menos que o compartimento adjacente situado a jusante do atravessamento da falha do Ponsul-Arneiro, onde o Tejo apresenta um estreito vale praticam</w:t>
      </w:r>
      <w:r>
        <w:t xml:space="preserve">ente sem terraços (Cunha </w:t>
      </w:r>
      <w:r w:rsidRPr="00601938">
        <w:rPr>
          <w:i/>
        </w:rPr>
        <w:t>et al</w:t>
      </w:r>
      <w:r>
        <w:t xml:space="preserve"> </w:t>
      </w:r>
      <w:r w:rsidRPr="005C4740">
        <w:t xml:space="preserve">2005). A Falha do Ponsul constitui um elemento importante na caracterização da evolução do </w:t>
      </w:r>
      <w:r>
        <w:t xml:space="preserve">Rio </w:t>
      </w:r>
      <w:r w:rsidRPr="005C4740">
        <w:t xml:space="preserve">Tejo e representa a fronteira ocidental do seu primeiro troço em território português. É sobre </w:t>
      </w:r>
      <w:r>
        <w:t>a</w:t>
      </w:r>
      <w:r w:rsidRPr="005C4740">
        <w:t xml:space="preserve"> importância </w:t>
      </w:r>
      <w:r>
        <w:t xml:space="preserve">deste rio </w:t>
      </w:r>
      <w:r w:rsidRPr="005C4740">
        <w:t xml:space="preserve">para as ocupações humanas do Paleolítico Médio que iremos falar a seguir. </w:t>
      </w:r>
    </w:p>
    <w:p w:rsidR="00A34B7A" w:rsidRPr="005C4740" w:rsidRDefault="00A34B7A" w:rsidP="00A34B7A">
      <w:pPr>
        <w:autoSpaceDE w:val="0"/>
        <w:autoSpaceDN w:val="0"/>
        <w:adjustRightInd w:val="0"/>
        <w:spacing w:line="360" w:lineRule="auto"/>
        <w:ind w:firstLine="708"/>
        <w:jc w:val="both"/>
      </w:pPr>
      <w:r w:rsidRPr="005C4740">
        <w:t xml:space="preserve">O Tejo e </w:t>
      </w:r>
      <w:r>
        <w:t>os seus terraços tê</w:t>
      </w:r>
      <w:r w:rsidRPr="005C4740">
        <w:t>m sido amplamente estudados, estratigraficamente, sedimentologicamente e geomorfológicamente, pelo geólogo Pedro Proença Cunha, da Universidade de Coimbra, e pelo geógrafo António Martins, da Universidade de Évo</w:t>
      </w:r>
      <w:r>
        <w:t>ra. É</w:t>
      </w:r>
      <w:r w:rsidRPr="005C4740">
        <w:t xml:space="preserve"> da bibliografia destes dois autores, com os quais tive o privilégio de trabalhar, que foram retirados, maioritariamente, os dados necessários à breve síntese que de seguida se apresenta.</w:t>
      </w:r>
    </w:p>
    <w:p w:rsidR="00A34B7A" w:rsidRPr="000718BA" w:rsidRDefault="00A34B7A" w:rsidP="00A34B7A">
      <w:pPr>
        <w:autoSpaceDE w:val="0"/>
        <w:autoSpaceDN w:val="0"/>
        <w:adjustRightInd w:val="0"/>
        <w:spacing w:line="360" w:lineRule="auto"/>
        <w:ind w:firstLine="708"/>
        <w:jc w:val="both"/>
      </w:pPr>
      <w:r w:rsidRPr="005C4740">
        <w:t>O rio Tejo ass</w:t>
      </w:r>
      <w:r>
        <w:t>ume</w:t>
      </w:r>
      <w:r w:rsidRPr="005C4740">
        <w:t xml:space="preserve">-se como o maior rio da Península Ibérica, com uma bacia hidrográfica de cerca de 86 000 km². A maior parte do seu percurso desenvolve-se em Espanha entrando em Portugal num vale encaixado, cinzelado mais de 200m na superfície de </w:t>
      </w:r>
      <w:r>
        <w:t>a</w:t>
      </w:r>
      <w:r w:rsidRPr="005C4740">
        <w:t xml:space="preserve">planação (Proença </w:t>
      </w:r>
      <w:r>
        <w:t xml:space="preserve">Cunha </w:t>
      </w:r>
      <w:r w:rsidRPr="00CF6580">
        <w:rPr>
          <w:i/>
        </w:rPr>
        <w:t>et al</w:t>
      </w:r>
      <w:r w:rsidRPr="005C4740">
        <w:t>, 2005</w:t>
      </w:r>
      <w:r>
        <w:t>, 2008</w:t>
      </w:r>
      <w:r w:rsidRPr="005C4740">
        <w:t>). No seu percurso em Portugal o Tejo apresenta um número variável de terraços podendo chegar até seis. È nestes terraços que se anicham algumas ocupações paleolíticas. Estes conjuntos de terraços permitem retirar informações acerca da amplitude e da cronologia relativa das deslocações verticais. As datações dos terraços permitem estimar as taxas de incisão fluvial e ajudam na percepção da evolução</w:t>
      </w:r>
      <w:r>
        <w:t xml:space="preserve"> do Tejo no se</w:t>
      </w:r>
      <w:r w:rsidRPr="005C4740">
        <w:t>tor das Portas de Ródão através dos seus períodos de escavação e agr</w:t>
      </w:r>
      <w:r>
        <w:t>a</w:t>
      </w:r>
      <w:r w:rsidRPr="005C4740">
        <w:t xml:space="preserve">dação (Proença </w:t>
      </w:r>
      <w:r>
        <w:t xml:space="preserve">Cunha </w:t>
      </w:r>
      <w:r w:rsidRPr="0020428B">
        <w:rPr>
          <w:i/>
        </w:rPr>
        <w:t>et al</w:t>
      </w:r>
      <w:r w:rsidRPr="005C4740">
        <w:t>, 2005</w:t>
      </w:r>
      <w:r>
        <w:t>, 2008</w:t>
      </w:r>
      <w:r w:rsidRPr="005C4740">
        <w:t xml:space="preserve">). </w:t>
      </w:r>
    </w:p>
    <w:p w:rsidR="00A34B7A" w:rsidRDefault="00A34B7A" w:rsidP="00A34B7A">
      <w:pPr>
        <w:autoSpaceDE w:val="0"/>
        <w:autoSpaceDN w:val="0"/>
        <w:adjustRightInd w:val="0"/>
        <w:spacing w:line="360" w:lineRule="auto"/>
        <w:jc w:val="both"/>
      </w:pPr>
    </w:p>
    <w:p w:rsidR="00A34B7A" w:rsidRPr="005C4740" w:rsidRDefault="00A34B7A" w:rsidP="00A34B7A">
      <w:pPr>
        <w:autoSpaceDE w:val="0"/>
        <w:autoSpaceDN w:val="0"/>
        <w:adjustRightInd w:val="0"/>
        <w:spacing w:line="360" w:lineRule="auto"/>
        <w:jc w:val="both"/>
      </w:pPr>
    </w:p>
    <w:p w:rsidR="00A34B7A" w:rsidRPr="00E531A8" w:rsidRDefault="00A34B7A" w:rsidP="00A34B7A">
      <w:pPr>
        <w:autoSpaceDE w:val="0"/>
        <w:autoSpaceDN w:val="0"/>
        <w:adjustRightInd w:val="0"/>
        <w:spacing w:line="360" w:lineRule="auto"/>
        <w:jc w:val="both"/>
      </w:pPr>
      <w:r>
        <w:rPr>
          <w:b/>
        </w:rPr>
        <w:t xml:space="preserve">2.3.1- </w:t>
      </w:r>
      <w:r w:rsidRPr="00E531A8">
        <w:t xml:space="preserve">A superfície culminante da bacia Terciária do Baixo Tejo </w:t>
      </w:r>
    </w:p>
    <w:p w:rsidR="00A34B7A" w:rsidRPr="00A549DE" w:rsidRDefault="00A34B7A" w:rsidP="00A34B7A">
      <w:pPr>
        <w:autoSpaceDE w:val="0"/>
        <w:autoSpaceDN w:val="0"/>
        <w:adjustRightInd w:val="0"/>
        <w:spacing w:line="360" w:lineRule="auto"/>
        <w:jc w:val="both"/>
        <w:rPr>
          <w:b/>
        </w:rPr>
      </w:pPr>
    </w:p>
    <w:p w:rsidR="00A34B7A" w:rsidRPr="00CF6580" w:rsidRDefault="00A34B7A" w:rsidP="00A34B7A">
      <w:pPr>
        <w:spacing w:line="360" w:lineRule="auto"/>
        <w:ind w:firstLine="708"/>
        <w:jc w:val="both"/>
        <w:rPr>
          <w:color w:val="808080"/>
        </w:rPr>
      </w:pPr>
      <w:r w:rsidRPr="00CF6580">
        <w:t xml:space="preserve">A superfície culminante </w:t>
      </w:r>
      <w:r>
        <w:t xml:space="preserve">da bacia terciária do Baixo Tejo </w:t>
      </w:r>
      <w:r w:rsidRPr="00CF6580">
        <w:t xml:space="preserve">é a extensão portuguesa da </w:t>
      </w:r>
      <w:r w:rsidRPr="00CF6580">
        <w:rPr>
          <w:i/>
        </w:rPr>
        <w:t>Meseta Extremeña</w:t>
      </w:r>
      <w:r w:rsidRPr="00CF6580">
        <w:t xml:space="preserve"> que foi recoberta por arcoses paleogénicas. Após um longo período de sedimentação durante o terciário esta superfície culminante foi exposta e dissecada durante o período de incisão fluvial. Durante este estádio de incisão foram escavad</w:t>
      </w:r>
      <w:r>
        <w:t>o</w:t>
      </w:r>
      <w:r w:rsidRPr="00CF6580">
        <w:t>s profundos vales. Localmente</w:t>
      </w:r>
      <w:r>
        <w:t>,</w:t>
      </w:r>
      <w:r w:rsidRPr="00CF6580">
        <w:t xml:space="preserve"> nas depressões coma a de Rodão e Arneiro formaram-se sequências de terraços e depósitos sedimentares diversificados como </w:t>
      </w:r>
      <w:r w:rsidRPr="00CF6580">
        <w:lastRenderedPageBreak/>
        <w:t xml:space="preserve">depósitos aluviais, terraços, aluviões e depósitos de vertente. Estes depósitos de vertente são mais extensos na base das cristas quartzíticas (Cunha </w:t>
      </w:r>
      <w:r w:rsidRPr="00CF6580">
        <w:rPr>
          <w:i/>
        </w:rPr>
        <w:t>et al</w:t>
      </w:r>
      <w:r w:rsidRPr="00CF6580">
        <w:t xml:space="preserve"> 2012).</w:t>
      </w:r>
      <w:r w:rsidRPr="00802109">
        <w:rPr>
          <w:color w:val="808080"/>
        </w:rPr>
        <w:t xml:space="preserve"> </w:t>
      </w:r>
      <w:r w:rsidRPr="00802109">
        <w:t>Os depósitos da Formação de Falaguei</w:t>
      </w:r>
      <w:r w:rsidRPr="005C4740">
        <w:t xml:space="preserve">ra geralmente constituem planaltos ou morfologias em mesa, culminantes relativamente a outras formas de relevo geradas pelo encaixe da rede hidrográfica (Fig. </w:t>
      </w:r>
      <w:r>
        <w:t>2.2</w:t>
      </w:r>
      <w:r w:rsidRPr="005C4740">
        <w:t>). São relevos residuais com perfil trapezoidal, cujo topo corresponde à superfície sedimentar abandonada a quando do início da etapa de incisão fluvial. Encontram-se sempre a maior altitude do que os mais altos terraços fluviais, sendo apenas dominados topograficamente pelas cristas quartzíticas ou por co</w:t>
      </w:r>
      <w:r>
        <w:t>mpartimentos soerguidos pela te</w:t>
      </w:r>
      <w:r w:rsidRPr="005C4740">
        <w:t xml:space="preserve">tónica. A sua altitude, quase sempre acima dos 300 m, aumenta para Norte e com o afastamento do rio Tejo. Na região de Ródão os depósitos da Formação de Falagueira estão mal representados, pois a pequena espessura (6 m a 10 m) e a posição culminante no enchimento sedimentar não ajudaram à sua preservação durante a etapa de incisão fluvial. </w:t>
      </w:r>
    </w:p>
    <w:p w:rsidR="00A34B7A" w:rsidRPr="005C4740" w:rsidRDefault="00EA3774" w:rsidP="00A34B7A">
      <w:pPr>
        <w:spacing w:line="360" w:lineRule="auto"/>
        <w:jc w:val="both"/>
        <w:rPr>
          <w:color w:val="808080"/>
          <w:lang w:val="en-GB"/>
        </w:rPr>
      </w:pPr>
      <w:r w:rsidRPr="00EA3774">
        <w:rPr>
          <w:b/>
          <w:noProof/>
          <w:lang w:eastAsia="en-US"/>
        </w:rPr>
        <w:pict>
          <v:shape id="_x0000_s1037" type="#_x0000_t202" style="position:absolute;left:0;text-align:left;margin-left:-3.2pt;margin-top:346.7pt;width:440.15pt;height:122.1pt;z-index:251674624;mso-width-relative:margin;mso-height-relative:margin" stroked="f">
            <v:textbox style="mso-next-textbox:#_x0000_s1037">
              <w:txbxContent>
                <w:p w:rsidR="00B34B0F" w:rsidRPr="00F915A0" w:rsidRDefault="00B34B0F" w:rsidP="00A34B7A">
                  <w:pPr>
                    <w:autoSpaceDE w:val="0"/>
                    <w:autoSpaceDN w:val="0"/>
                    <w:adjustRightInd w:val="0"/>
                    <w:jc w:val="both"/>
                    <w:rPr>
                      <w:sz w:val="22"/>
                      <w:szCs w:val="22"/>
                    </w:rPr>
                  </w:pPr>
                  <w:r>
                    <w:rPr>
                      <w:b/>
                      <w:sz w:val="22"/>
                      <w:szCs w:val="22"/>
                    </w:rPr>
                    <w:t>Figura 2</w:t>
                  </w:r>
                  <w:r w:rsidRPr="00F915A0">
                    <w:rPr>
                      <w:b/>
                      <w:sz w:val="22"/>
                      <w:szCs w:val="22"/>
                    </w:rPr>
                    <w:t>.2</w:t>
                  </w:r>
                  <w:r w:rsidRPr="00F915A0">
                    <w:rPr>
                      <w:sz w:val="22"/>
                      <w:szCs w:val="22"/>
                    </w:rPr>
                    <w:t xml:space="preserve">: Mapa geomorfológico das depressões do Arneiro e de Rodão (retirado de: Proença-Cunha </w:t>
                  </w:r>
                  <w:r w:rsidRPr="0020428B">
                    <w:rPr>
                      <w:i/>
                      <w:sz w:val="22"/>
                      <w:szCs w:val="22"/>
                    </w:rPr>
                    <w:t xml:space="preserve">et al </w:t>
                  </w:r>
                  <w:r w:rsidRPr="00F915A0">
                    <w:rPr>
                      <w:sz w:val="22"/>
                      <w:szCs w:val="22"/>
                    </w:rPr>
                    <w:t>2012)</w:t>
                  </w:r>
                  <w:r>
                    <w:rPr>
                      <w:sz w:val="22"/>
                      <w:szCs w:val="22"/>
                    </w:rPr>
                    <w:t>:</w:t>
                  </w:r>
                  <w:r w:rsidRPr="00F915A0">
                    <w:rPr>
                      <w:sz w:val="22"/>
                      <w:szCs w:val="22"/>
                    </w:rPr>
                    <w:t xml:space="preserve"> 1- Relevo residual (Topo da Formação da Falagueira); 2- Terraço T1; 3- Nível erosivo N1; 4- Terraço T2; 5- Nível erosivo N2; 6- Terraço T3; 7- Nível erosivo N3; 8- Terraço T4; 9- Nível erosivo N4; 10- Terraço T5; 11- Nível erosivo N5; 12- Terraço T6; 13- Depósitos de vertente e aluviais; 14- Crista quartzítica; 15- Base da </w:t>
                  </w:r>
                  <w:r>
                    <w:rPr>
                      <w:sz w:val="22"/>
                      <w:szCs w:val="22"/>
                    </w:rPr>
                    <w:t>vertente</w:t>
                  </w:r>
                  <w:r w:rsidRPr="00F915A0">
                    <w:rPr>
                      <w:sz w:val="22"/>
                      <w:szCs w:val="22"/>
                    </w:rPr>
                    <w:t xml:space="preserve">; </w:t>
                  </w:r>
                  <w:r>
                    <w:rPr>
                      <w:sz w:val="22"/>
                      <w:szCs w:val="22"/>
                    </w:rPr>
                    <w:t>16- Desnível da vertente; 17- Ribeiras; 18- Escarpa de falha</w:t>
                  </w:r>
                  <w:proofErr w:type="gramStart"/>
                  <w:r>
                    <w:rPr>
                      <w:sz w:val="22"/>
                      <w:szCs w:val="22"/>
                    </w:rPr>
                    <w:t>;  19-</w:t>
                  </w:r>
                  <w:proofErr w:type="gramEnd"/>
                  <w:r>
                    <w:rPr>
                      <w:sz w:val="22"/>
                      <w:szCs w:val="22"/>
                    </w:rPr>
                    <w:t xml:space="preserve"> Falha e provável falha; 20- Altitude (m).</w:t>
                  </w:r>
                  <w:r w:rsidRPr="00A549DE">
                    <w:rPr>
                      <w:sz w:val="22"/>
                      <w:szCs w:val="22"/>
                    </w:rPr>
                    <w:t xml:space="preserve"> </w:t>
                  </w:r>
                  <w:r>
                    <w:rPr>
                      <w:sz w:val="22"/>
                      <w:szCs w:val="22"/>
                    </w:rPr>
                    <w:t>Sítios arqueológicos: MF- Monte do Famaco; CC- Caminho da Celulose; FE- Foz do Enxarrique; PT- Pegos do Tejo 2; AZ- Azinhal; CA- Castelejo; TM- Tapada do Montinho; VR- Vilas Ruivas.</w:t>
                  </w:r>
                </w:p>
                <w:p w:rsidR="00B34B0F" w:rsidRDefault="00B34B0F" w:rsidP="00A34B7A">
                  <w:pPr>
                    <w:autoSpaceDE w:val="0"/>
                    <w:autoSpaceDN w:val="0"/>
                    <w:adjustRightInd w:val="0"/>
                    <w:jc w:val="both"/>
                    <w:rPr>
                      <w:sz w:val="22"/>
                      <w:szCs w:val="22"/>
                    </w:rPr>
                  </w:pPr>
                </w:p>
                <w:p w:rsidR="00B34B0F" w:rsidRDefault="00B34B0F" w:rsidP="00A34B7A"/>
              </w:txbxContent>
            </v:textbox>
          </v:shape>
        </w:pict>
      </w:r>
      <w:r w:rsidR="00A34B7A">
        <w:rPr>
          <w:noProof/>
          <w:color w:val="808080"/>
        </w:rPr>
        <w:drawing>
          <wp:inline distT="0" distB="0" distL="0" distR="0">
            <wp:extent cx="5543550" cy="4438650"/>
            <wp:effectExtent l="1905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5543550" cy="4438650"/>
                    </a:xfrm>
                    <a:prstGeom prst="rect">
                      <a:avLst/>
                    </a:prstGeom>
                    <a:noFill/>
                    <a:ln w="9525">
                      <a:noFill/>
                      <a:miter lim="800000"/>
                      <a:headEnd/>
                      <a:tailEnd/>
                    </a:ln>
                  </pic:spPr>
                </pic:pic>
              </a:graphicData>
            </a:graphic>
          </wp:inline>
        </w:drawing>
      </w:r>
    </w:p>
    <w:p w:rsidR="00A34B7A" w:rsidRPr="005C4740" w:rsidRDefault="00A34B7A" w:rsidP="00A34B7A">
      <w:pPr>
        <w:autoSpaceDE w:val="0"/>
        <w:autoSpaceDN w:val="0"/>
        <w:adjustRightInd w:val="0"/>
        <w:spacing w:line="360" w:lineRule="auto"/>
        <w:jc w:val="both"/>
        <w:rPr>
          <w:b/>
        </w:rPr>
      </w:pPr>
    </w:p>
    <w:p w:rsidR="00A34B7A" w:rsidRDefault="00A34B7A" w:rsidP="00A34B7A">
      <w:pPr>
        <w:autoSpaceDE w:val="0"/>
        <w:autoSpaceDN w:val="0"/>
        <w:adjustRightInd w:val="0"/>
        <w:spacing w:line="360" w:lineRule="auto"/>
        <w:jc w:val="both"/>
        <w:rPr>
          <w:b/>
        </w:rPr>
      </w:pPr>
    </w:p>
    <w:p w:rsidR="00A34B7A" w:rsidRDefault="00A34B7A" w:rsidP="00A34B7A">
      <w:pPr>
        <w:autoSpaceDE w:val="0"/>
        <w:autoSpaceDN w:val="0"/>
        <w:adjustRightInd w:val="0"/>
        <w:spacing w:line="360" w:lineRule="auto"/>
        <w:jc w:val="both"/>
        <w:rPr>
          <w:b/>
        </w:rPr>
      </w:pPr>
    </w:p>
    <w:p w:rsidR="00A34B7A" w:rsidRDefault="00A34B7A" w:rsidP="00A34B7A">
      <w:pPr>
        <w:spacing w:line="360" w:lineRule="auto"/>
        <w:ind w:firstLine="708"/>
        <w:jc w:val="both"/>
        <w:rPr>
          <w:color w:val="808080"/>
        </w:rPr>
      </w:pPr>
      <w:r w:rsidRPr="005C4740">
        <w:lastRenderedPageBreak/>
        <w:t>No entanto, na área entre Perdigão e Fratel</w:t>
      </w:r>
      <w:r>
        <w:t>,</w:t>
      </w:r>
      <w:r w:rsidRPr="005C4740">
        <w:t xml:space="preserve"> existem alguns retalhos destes depósitos, em discordância sobre o soco metassedimentar, no interflúvio dos rios Tejo e </w:t>
      </w:r>
      <w:r w:rsidRPr="00CF6580">
        <w:t xml:space="preserve">Ocreza (Carvalho </w:t>
      </w:r>
      <w:r w:rsidRPr="00CF6580">
        <w:rPr>
          <w:i/>
        </w:rPr>
        <w:t>et al</w:t>
      </w:r>
      <w:r w:rsidRPr="00CF6580">
        <w:t>,</w:t>
      </w:r>
      <w:r>
        <w:t xml:space="preserve"> </w:t>
      </w:r>
      <w:r w:rsidRPr="00CF6580">
        <w:t>2006).</w:t>
      </w:r>
      <w:r w:rsidRPr="000718BA">
        <w:rPr>
          <w:color w:val="808080"/>
        </w:rPr>
        <w:t xml:space="preserve">  </w:t>
      </w:r>
    </w:p>
    <w:p w:rsidR="00A34B7A" w:rsidRDefault="00A34B7A" w:rsidP="00A34B7A">
      <w:pPr>
        <w:autoSpaceDE w:val="0"/>
        <w:autoSpaceDN w:val="0"/>
        <w:adjustRightInd w:val="0"/>
        <w:spacing w:line="360" w:lineRule="auto"/>
        <w:jc w:val="both"/>
        <w:rPr>
          <w:b/>
        </w:rPr>
      </w:pPr>
    </w:p>
    <w:p w:rsidR="00A34B7A" w:rsidRPr="005C4740" w:rsidRDefault="00A34B7A" w:rsidP="00A34B7A">
      <w:pPr>
        <w:autoSpaceDE w:val="0"/>
        <w:autoSpaceDN w:val="0"/>
        <w:adjustRightInd w:val="0"/>
        <w:spacing w:line="360" w:lineRule="auto"/>
        <w:jc w:val="both"/>
        <w:rPr>
          <w:b/>
        </w:rPr>
      </w:pPr>
    </w:p>
    <w:p w:rsidR="00A34B7A" w:rsidRPr="005C4740" w:rsidRDefault="00A34B7A" w:rsidP="00A34B7A">
      <w:pPr>
        <w:autoSpaceDE w:val="0"/>
        <w:autoSpaceDN w:val="0"/>
        <w:adjustRightInd w:val="0"/>
        <w:spacing w:line="360" w:lineRule="auto"/>
        <w:jc w:val="both"/>
        <w:rPr>
          <w:b/>
        </w:rPr>
      </w:pPr>
      <w:r>
        <w:rPr>
          <w:b/>
        </w:rPr>
        <w:t xml:space="preserve">2.3.2- </w:t>
      </w:r>
      <w:r w:rsidRPr="00E531A8">
        <w:t>Primeiro embutimento do Tejo: terraço T1 e nível erosivoN1</w:t>
      </w:r>
    </w:p>
    <w:p w:rsidR="00A34B7A" w:rsidRDefault="00A34B7A" w:rsidP="00A34B7A">
      <w:pPr>
        <w:autoSpaceDE w:val="0"/>
        <w:autoSpaceDN w:val="0"/>
        <w:adjustRightInd w:val="0"/>
        <w:spacing w:line="360" w:lineRule="auto"/>
        <w:jc w:val="both"/>
      </w:pPr>
    </w:p>
    <w:p w:rsidR="00A34B7A" w:rsidRPr="00A549DE" w:rsidRDefault="00A34B7A" w:rsidP="00A34B7A">
      <w:pPr>
        <w:autoSpaceDE w:val="0"/>
        <w:autoSpaceDN w:val="0"/>
        <w:adjustRightInd w:val="0"/>
        <w:spacing w:line="360" w:lineRule="auto"/>
        <w:ind w:firstLine="708"/>
        <w:jc w:val="both"/>
      </w:pPr>
      <w:r w:rsidRPr="005C4740">
        <w:t>O primeiro embutimento da rede hidrográfica,</w:t>
      </w:r>
      <w:r>
        <w:t xml:space="preserve"> a </w:t>
      </w:r>
      <w:r w:rsidRPr="005C4740">
        <w:t>partir da superfície culminante da Bacia Terciária do Baixo Tejo, gerou duas distintas morfologias fluviais: um extenso nível erosivo</w:t>
      </w:r>
      <w:r>
        <w:t xml:space="preserve"> </w:t>
      </w:r>
      <w:r w:rsidRPr="005C4740">
        <w:t>- N1 e um terraço sedimentar -T1. Na margem direita do Tejo, o te</w:t>
      </w:r>
      <w:r>
        <w:t>rraço mais alto (T1)</w:t>
      </w:r>
      <w:r w:rsidRPr="005C4740">
        <w:t xml:space="preserve"> posiciona-se pelos 183 a 200 m de altitude (desnivelado por falhas); em Monte do Pinhal, este terraço documenta 13 m de enchimento sedimentar </w:t>
      </w:r>
      <w:r>
        <w:t xml:space="preserve">partindo da </w:t>
      </w:r>
      <w:r w:rsidRPr="005C4740">
        <w:t>base</w:t>
      </w:r>
      <w:r>
        <w:t>,</w:t>
      </w:r>
      <w:r w:rsidRPr="005C4740">
        <w:t xml:space="preserve"> aos 183</w:t>
      </w:r>
      <w:r>
        <w:t xml:space="preserve"> m, até ao</w:t>
      </w:r>
      <w:r w:rsidRPr="005C4740">
        <w:t xml:space="preserve"> topo</w:t>
      </w:r>
      <w:r>
        <w:t>,</w:t>
      </w:r>
      <w:r w:rsidRPr="005C4740">
        <w:t xml:space="preserve"> aos 196</w:t>
      </w:r>
      <w:r>
        <w:t xml:space="preserve"> m</w:t>
      </w:r>
      <w:r w:rsidRPr="005C4740">
        <w:t xml:space="preserve"> </w:t>
      </w:r>
      <w:r w:rsidRPr="00CF6580">
        <w:t xml:space="preserve">(Carvalho </w:t>
      </w:r>
      <w:r w:rsidRPr="00CF6580">
        <w:rPr>
          <w:i/>
        </w:rPr>
        <w:t>et al</w:t>
      </w:r>
      <w:r w:rsidRPr="00CF6580">
        <w:t>,</w:t>
      </w:r>
      <w:r>
        <w:t xml:space="preserve"> </w:t>
      </w:r>
      <w:r w:rsidRPr="00CF6580">
        <w:t>2006).</w:t>
      </w:r>
      <w:r w:rsidRPr="005C4740">
        <w:t xml:space="preserve"> Corresponde a um conglomerado com blocos de quartzito</w:t>
      </w:r>
      <w:r>
        <w:t xml:space="preserve"> </w:t>
      </w:r>
      <w:r w:rsidRPr="00443EB4">
        <w:t>e quartzo leitoso, sub-arredondados a arredondados. A superfície erosiva N1, que é a continuação lateral do terraço T1 em direcção às margens do paleo-vale do Tejo, reconhece-se bem na área de Fratel, nome da localidade utilizada para a sua designaçã</w:t>
      </w:r>
      <w:r>
        <w:t>o formal (Cunha e Martins, 2000)</w:t>
      </w:r>
      <w:r w:rsidRPr="00443EB4">
        <w:t>. No compartimento abatido da falha do Ponsul</w:t>
      </w:r>
      <w:r>
        <w:t>,</w:t>
      </w:r>
      <w:r w:rsidRPr="00443EB4">
        <w:t xml:space="preserve"> o Nível de Fratel trunca parcialmente as brandas arcoses do Grupo da Beira Baixa, atingindo na restante área o substrato rochoso (Grupo das Beiras). Em Fratel, o embutimento da superfície</w:t>
      </w:r>
      <w:r>
        <w:t xml:space="preserve"> </w:t>
      </w:r>
      <w:r w:rsidRPr="00443EB4">
        <w:t>N1 relativamente ao topo da Formação de Falagueira é da ordem dos 25-30 m. O Nível de Fratel é equivalente ao Nível de Mora-Lamarosa identificado em áreas a jusante de Vila Velha de Ródão (Martins, 1999), verificando-se uma continuidade geomorfoló</w:t>
      </w:r>
      <w:r>
        <w:t>gica deste primeiro embutimento</w:t>
      </w:r>
      <w:r w:rsidRPr="00443EB4">
        <w:t>, ao longo do baixo Tejo,</w:t>
      </w:r>
      <w:r>
        <w:t xml:space="preserve"> embora desnivelado pela te</w:t>
      </w:r>
      <w:r w:rsidRPr="00443EB4">
        <w:t>tónica</w:t>
      </w:r>
      <w:r>
        <w:t>. N</w:t>
      </w:r>
      <w:r w:rsidRPr="00992EF4">
        <w:t>a</w:t>
      </w:r>
      <w:r>
        <w:t xml:space="preserve"> </w:t>
      </w:r>
      <w:r w:rsidRPr="00992EF4">
        <w:t>margem esquerda encontram-se resquícios deste terraço entre altitudes que vão dos 232 aos 254 m e at</w:t>
      </w:r>
      <w:r>
        <w:t xml:space="preserve">é aos 275 m em alguns locais (Proença-Cunha </w:t>
      </w:r>
      <w:r w:rsidRPr="00CF6580">
        <w:rPr>
          <w:i/>
        </w:rPr>
        <w:t>et al</w:t>
      </w:r>
      <w:r>
        <w:t xml:space="preserve"> 2012</w:t>
      </w:r>
      <w:r w:rsidRPr="005C4740">
        <w:t>)</w:t>
      </w:r>
      <w:r>
        <w:t>.</w:t>
      </w:r>
    </w:p>
    <w:p w:rsidR="00A34B7A" w:rsidRDefault="00A34B7A" w:rsidP="00A34B7A">
      <w:pPr>
        <w:autoSpaceDE w:val="0"/>
        <w:autoSpaceDN w:val="0"/>
        <w:adjustRightInd w:val="0"/>
        <w:spacing w:line="360" w:lineRule="auto"/>
        <w:jc w:val="both"/>
        <w:rPr>
          <w:b/>
        </w:rPr>
      </w:pPr>
    </w:p>
    <w:p w:rsidR="00A34B7A" w:rsidRPr="00992EF4" w:rsidRDefault="00A34B7A" w:rsidP="00A34B7A">
      <w:pPr>
        <w:autoSpaceDE w:val="0"/>
        <w:autoSpaceDN w:val="0"/>
        <w:adjustRightInd w:val="0"/>
        <w:spacing w:line="360" w:lineRule="auto"/>
        <w:jc w:val="both"/>
        <w:rPr>
          <w:b/>
        </w:rPr>
      </w:pPr>
    </w:p>
    <w:p w:rsidR="00A34B7A" w:rsidRPr="00E531A8" w:rsidRDefault="00A34B7A" w:rsidP="00A34B7A">
      <w:pPr>
        <w:autoSpaceDE w:val="0"/>
        <w:autoSpaceDN w:val="0"/>
        <w:adjustRightInd w:val="0"/>
        <w:spacing w:line="360" w:lineRule="auto"/>
        <w:jc w:val="both"/>
      </w:pPr>
      <w:r>
        <w:rPr>
          <w:b/>
        </w:rPr>
        <w:t xml:space="preserve">2.3.4- </w:t>
      </w:r>
      <w:r w:rsidRPr="00E531A8">
        <w:t xml:space="preserve">Segundo embutimento do Tejo: terraço T2 e nível erosivo N2 </w:t>
      </w:r>
    </w:p>
    <w:p w:rsidR="00A34B7A" w:rsidRPr="00443EB4" w:rsidRDefault="00A34B7A" w:rsidP="00A34B7A">
      <w:pPr>
        <w:autoSpaceDE w:val="0"/>
        <w:autoSpaceDN w:val="0"/>
        <w:adjustRightInd w:val="0"/>
        <w:spacing w:line="360" w:lineRule="auto"/>
        <w:jc w:val="both"/>
      </w:pPr>
    </w:p>
    <w:p w:rsidR="00A34B7A" w:rsidRPr="00443EB4" w:rsidRDefault="00A34B7A" w:rsidP="00A34B7A">
      <w:pPr>
        <w:autoSpaceDE w:val="0"/>
        <w:autoSpaceDN w:val="0"/>
        <w:adjustRightInd w:val="0"/>
        <w:spacing w:line="360" w:lineRule="auto"/>
        <w:ind w:firstLine="708"/>
        <w:jc w:val="both"/>
      </w:pPr>
      <w:r w:rsidRPr="00443EB4">
        <w:t>Resultante de um segundo embutimento da rede fluvial, encontra-se melhor desenvolvido na c</w:t>
      </w:r>
      <w:r>
        <w:t>onfluência da ribeira d</w:t>
      </w:r>
      <w:r w:rsidRPr="00443EB4">
        <w:t>o Açafal com o rio Tejo</w:t>
      </w:r>
      <w:r>
        <w:t>,</w:t>
      </w:r>
      <w:r w:rsidRPr="00443EB4">
        <w:t xml:space="preserve"> </w:t>
      </w:r>
      <w:r>
        <w:t>um terraço de acumulação sedimen</w:t>
      </w:r>
      <w:r w:rsidRPr="00443EB4">
        <w:t>tar, designado por Terraço de Monte da Charneca (T2). A</w:t>
      </w:r>
      <w:r>
        <w:t xml:space="preserve"> base do terraço situa-se aos 13</w:t>
      </w:r>
      <w:r w:rsidRPr="00443EB4">
        <w:t>0 m de altitude, pode</w:t>
      </w:r>
      <w:r>
        <w:t>ndo, a superfície atingir os 155</w:t>
      </w:r>
      <w:r w:rsidRPr="00443EB4">
        <w:t xml:space="preserve"> m. </w:t>
      </w:r>
      <w:r w:rsidRPr="00443EB4">
        <w:lastRenderedPageBreak/>
        <w:t xml:space="preserve">Relativamente ao Terraço do Monte do Pinhal, o segundo embutimento correspondeu a 43 m de encaixe nesta área, seguido de 10m de </w:t>
      </w:r>
      <w:r w:rsidRPr="00601938">
        <w:t>agradação.</w:t>
      </w:r>
      <w:r w:rsidRPr="00443EB4">
        <w:t xml:space="preserve"> Os depósitos do terraço T2 são conglomeráticos, com matriz vermelha areno-siltosa, observando-se que a composição dos </w:t>
      </w:r>
      <w:r>
        <w:t xml:space="preserve">clastos </w:t>
      </w:r>
      <w:proofErr w:type="gramStart"/>
      <w:r>
        <w:t>incluí</w:t>
      </w:r>
      <w:proofErr w:type="gramEnd"/>
      <w:r w:rsidRPr="00443EB4">
        <w:t xml:space="preserve"> quartzito e quartzo leitoso. Este terraço passa lateralmente a uma superfície erosiva (N2) com pouca expressão no concelho.</w:t>
      </w:r>
    </w:p>
    <w:p w:rsidR="00A34B7A" w:rsidRDefault="00A34B7A" w:rsidP="00A34B7A">
      <w:pPr>
        <w:autoSpaceDE w:val="0"/>
        <w:autoSpaceDN w:val="0"/>
        <w:adjustRightInd w:val="0"/>
        <w:spacing w:line="360" w:lineRule="auto"/>
        <w:jc w:val="both"/>
      </w:pPr>
    </w:p>
    <w:p w:rsidR="00A34B7A" w:rsidRPr="00443EB4" w:rsidRDefault="00A34B7A" w:rsidP="00A34B7A">
      <w:pPr>
        <w:autoSpaceDE w:val="0"/>
        <w:autoSpaceDN w:val="0"/>
        <w:adjustRightInd w:val="0"/>
        <w:spacing w:line="360" w:lineRule="auto"/>
        <w:jc w:val="both"/>
      </w:pPr>
    </w:p>
    <w:p w:rsidR="00A34B7A" w:rsidRPr="00443EB4" w:rsidRDefault="00A34B7A" w:rsidP="00A34B7A">
      <w:pPr>
        <w:autoSpaceDE w:val="0"/>
        <w:autoSpaceDN w:val="0"/>
        <w:adjustRightInd w:val="0"/>
        <w:spacing w:line="360" w:lineRule="auto"/>
        <w:jc w:val="both"/>
        <w:rPr>
          <w:b/>
        </w:rPr>
      </w:pPr>
      <w:r>
        <w:rPr>
          <w:b/>
        </w:rPr>
        <w:t xml:space="preserve">2.3.5- </w:t>
      </w:r>
      <w:r w:rsidRPr="00E531A8">
        <w:t>Terceiro embutimento do Tejo: terraço T3 e nível erosivo N3</w:t>
      </w:r>
    </w:p>
    <w:p w:rsidR="00A34B7A" w:rsidRPr="00443EB4" w:rsidRDefault="00A34B7A" w:rsidP="00A34B7A">
      <w:pPr>
        <w:autoSpaceDE w:val="0"/>
        <w:autoSpaceDN w:val="0"/>
        <w:adjustRightInd w:val="0"/>
        <w:spacing w:line="360" w:lineRule="auto"/>
        <w:jc w:val="both"/>
        <w:rPr>
          <w:b/>
        </w:rPr>
      </w:pPr>
    </w:p>
    <w:p w:rsidR="00A34B7A" w:rsidRPr="00443EB4" w:rsidRDefault="00A34B7A" w:rsidP="00A34B7A">
      <w:pPr>
        <w:autoSpaceDE w:val="0"/>
        <w:autoSpaceDN w:val="0"/>
        <w:adjustRightInd w:val="0"/>
        <w:spacing w:line="360" w:lineRule="auto"/>
        <w:ind w:firstLine="708"/>
        <w:jc w:val="both"/>
      </w:pPr>
      <w:r w:rsidRPr="00443EB4">
        <w:t>O terceiro embutimento fluvial está representado pelo terraço de Monte do Famaco (T3), bem desenvolvido na área da actual confluência da Ribeira do Açafal com o rio Tejo. Este nível de terraço representa um embutimento de 40 m relativamente à superfície do terraço anterior. Fazem parte do mesmo nível de terraço o patamar da Urbanização da Senhora da Alagada (sítio da Horta dos Olivais aos 110 m). Este terraço é conglomerático, apresentando 1 m de espessura máxima, maioritariamente com clastos de quartzito e quartzo leitoso. Na área de Monte de Famaco, a base do terraço e</w:t>
      </w:r>
      <w:r>
        <w:t>ncontra-se aos 118 m e o topo aos 124</w:t>
      </w:r>
      <w:r w:rsidRPr="00443EB4">
        <w:t xml:space="preserve"> m de altitude. Lateralmente liga-se geomorfologicamente a um nível erosivo (N3), observável ao longo de alguns cursos de água situados a oriente das cristas quartzíticas, tais como nas ribeira</w:t>
      </w:r>
      <w:r>
        <w:t>s</w:t>
      </w:r>
      <w:r w:rsidRPr="00443EB4">
        <w:t xml:space="preserve"> de Alfrívida, Lucriz, Ribeirão e Açafal.</w:t>
      </w:r>
      <w:r>
        <w:t xml:space="preserve"> No Arneiro, este terraço culmina a 121 m de altitude tendo uma espessura de 5 m. No Monte do Famaco apresenta uma altitude máxima de 116m com cerca de 10 m de espessura.</w:t>
      </w:r>
    </w:p>
    <w:p w:rsidR="00A34B7A" w:rsidRDefault="00A34B7A" w:rsidP="00A34B7A">
      <w:pPr>
        <w:autoSpaceDE w:val="0"/>
        <w:autoSpaceDN w:val="0"/>
        <w:adjustRightInd w:val="0"/>
        <w:spacing w:line="360" w:lineRule="auto"/>
        <w:jc w:val="both"/>
        <w:rPr>
          <w:b/>
        </w:rPr>
      </w:pPr>
    </w:p>
    <w:p w:rsidR="00A34B7A" w:rsidRDefault="00A34B7A" w:rsidP="00A34B7A">
      <w:pPr>
        <w:autoSpaceDE w:val="0"/>
        <w:autoSpaceDN w:val="0"/>
        <w:adjustRightInd w:val="0"/>
        <w:spacing w:line="360" w:lineRule="auto"/>
        <w:jc w:val="both"/>
        <w:rPr>
          <w:b/>
        </w:rPr>
      </w:pPr>
    </w:p>
    <w:p w:rsidR="00A34B7A" w:rsidRPr="00E531A8" w:rsidRDefault="00A34B7A" w:rsidP="00A34B7A">
      <w:pPr>
        <w:autoSpaceDE w:val="0"/>
        <w:autoSpaceDN w:val="0"/>
        <w:adjustRightInd w:val="0"/>
        <w:spacing w:line="360" w:lineRule="auto"/>
        <w:jc w:val="both"/>
      </w:pPr>
      <w:r>
        <w:rPr>
          <w:b/>
        </w:rPr>
        <w:t xml:space="preserve">2.3.6- </w:t>
      </w:r>
      <w:r w:rsidRPr="00E531A8">
        <w:t>Quarto e Quinto embutimento do Tejo: terraços T4 e T5</w:t>
      </w:r>
    </w:p>
    <w:p w:rsidR="00A34B7A" w:rsidRPr="00443EB4" w:rsidRDefault="00A34B7A" w:rsidP="00A34B7A">
      <w:pPr>
        <w:autoSpaceDE w:val="0"/>
        <w:autoSpaceDN w:val="0"/>
        <w:adjustRightInd w:val="0"/>
        <w:spacing w:line="360" w:lineRule="auto"/>
        <w:jc w:val="both"/>
      </w:pPr>
    </w:p>
    <w:p w:rsidR="00A34B7A" w:rsidRPr="0045281B" w:rsidRDefault="00A34B7A" w:rsidP="00A34B7A">
      <w:pPr>
        <w:spacing w:line="360" w:lineRule="auto"/>
        <w:ind w:firstLine="708"/>
        <w:jc w:val="both"/>
        <w:rPr>
          <w:color w:val="808080"/>
        </w:rPr>
      </w:pPr>
      <w:r w:rsidRPr="00443EB4">
        <w:t>Na margem direita do rio Tejo, junto à foz da ribeira do Açafal, documenta-se o Terraço da Ca</w:t>
      </w:r>
      <w:r>
        <w:t>pela da Senhora da Alagada (T4)</w:t>
      </w:r>
      <w:r w:rsidRPr="00443EB4">
        <w:t xml:space="preserve">, com superfície aos 93 m de altitude e constituído por arenitos finos e siltitos, bem como alguns horizontes com traços radiculares de </w:t>
      </w:r>
      <w:proofErr w:type="gramStart"/>
      <w:r w:rsidRPr="00443EB4">
        <w:t>herbáceas fósseis</w:t>
      </w:r>
      <w:proofErr w:type="gramEnd"/>
      <w:r w:rsidRPr="00443EB4">
        <w:t xml:space="preserve"> e concreções carbonatadas. O extenso patamar inferior, aos 82 m de altitude, corresponde ao </w:t>
      </w:r>
      <w:r>
        <w:t>Terraço de Foz do Enxarrique (T5</w:t>
      </w:r>
      <w:r w:rsidRPr="00443EB4">
        <w:t>), essencialmente constituído por arenitos finos sobre uma base conglomerática.</w:t>
      </w:r>
      <w:r w:rsidRPr="000718BA">
        <w:t xml:space="preserve"> Na confluência da Ribe</w:t>
      </w:r>
      <w:r>
        <w:t>ira do Açafal e da Ribeira do Enxarrique o T4 apresenta ce</w:t>
      </w:r>
      <w:r w:rsidRPr="000718BA">
        <w:t>rca de 10 m de espessura.</w:t>
      </w:r>
      <w:r w:rsidRPr="00443EB4">
        <w:t xml:space="preserve"> Imediatamente a jusante das Portas de Ródão, estes dois terraços </w:t>
      </w:r>
      <w:r w:rsidRPr="00443EB4">
        <w:lastRenderedPageBreak/>
        <w:t>inferiores do rio Tejo estão também representados, mas o terraço T4 posiciona-se a maior altitude. Na margem direita este terraço está registado junto à confluência da ribeira de Vilas Ruivas e</w:t>
      </w:r>
      <w:r>
        <w:t>,</w:t>
      </w:r>
      <w:r w:rsidRPr="00443EB4">
        <w:t xml:space="preserve"> na margem esquerda</w:t>
      </w:r>
      <w:r>
        <w:t>,</w:t>
      </w:r>
      <w:r w:rsidRPr="00443EB4">
        <w:t xml:space="preserve"> uma extensa parte foi explorada para a provável obtenção de ouro </w:t>
      </w:r>
      <w:r>
        <w:t>(Conhal do Arneiro). Nas imediações</w:t>
      </w:r>
      <w:r w:rsidRPr="0045281B">
        <w:t xml:space="preserve"> da foz do Açafal, o mais recente embutimento </w:t>
      </w:r>
      <w:r>
        <w:t xml:space="preserve">do Tejo está </w:t>
      </w:r>
      <w:r w:rsidRPr="0045281B">
        <w:t xml:space="preserve">cerca de 24 m </w:t>
      </w:r>
      <w:r>
        <w:t xml:space="preserve">mais abaixo, </w:t>
      </w:r>
      <w:r w:rsidRPr="0045281B">
        <w:t>em relação com</w:t>
      </w:r>
      <w:r>
        <w:t xml:space="preserve"> </w:t>
      </w:r>
      <w:r w:rsidRPr="0045281B">
        <w:t>o topo da superfície de</w:t>
      </w:r>
      <w:r>
        <w:t xml:space="preserve"> agradação da superfície do T4. </w:t>
      </w:r>
    </w:p>
    <w:p w:rsidR="00A34B7A" w:rsidRDefault="00A34B7A" w:rsidP="00A34B7A">
      <w:pPr>
        <w:autoSpaceDE w:val="0"/>
        <w:autoSpaceDN w:val="0"/>
        <w:adjustRightInd w:val="0"/>
        <w:spacing w:line="360" w:lineRule="auto"/>
        <w:jc w:val="both"/>
        <w:rPr>
          <w:color w:val="808080"/>
        </w:rPr>
      </w:pPr>
    </w:p>
    <w:p w:rsidR="00A34B7A" w:rsidRPr="0045281B" w:rsidRDefault="00A34B7A" w:rsidP="00A34B7A">
      <w:pPr>
        <w:autoSpaceDE w:val="0"/>
        <w:autoSpaceDN w:val="0"/>
        <w:adjustRightInd w:val="0"/>
        <w:spacing w:line="360" w:lineRule="auto"/>
        <w:jc w:val="both"/>
        <w:rPr>
          <w:color w:val="808080"/>
        </w:rPr>
      </w:pPr>
    </w:p>
    <w:p w:rsidR="00A34B7A" w:rsidRPr="00E531A8" w:rsidRDefault="00A34B7A" w:rsidP="00A34B7A">
      <w:pPr>
        <w:autoSpaceDE w:val="0"/>
        <w:autoSpaceDN w:val="0"/>
        <w:adjustRightInd w:val="0"/>
        <w:spacing w:line="360" w:lineRule="auto"/>
        <w:jc w:val="both"/>
      </w:pPr>
      <w:r>
        <w:rPr>
          <w:b/>
        </w:rPr>
        <w:t xml:space="preserve">2.3.7- </w:t>
      </w:r>
      <w:r w:rsidRPr="00E531A8">
        <w:t>Último embutimento do rio Tejo.</w:t>
      </w:r>
    </w:p>
    <w:p w:rsidR="00A34B7A" w:rsidRPr="00443EB4" w:rsidRDefault="00A34B7A" w:rsidP="00A34B7A">
      <w:pPr>
        <w:autoSpaceDE w:val="0"/>
        <w:autoSpaceDN w:val="0"/>
        <w:adjustRightInd w:val="0"/>
        <w:spacing w:line="360" w:lineRule="auto"/>
        <w:jc w:val="both"/>
      </w:pPr>
    </w:p>
    <w:p w:rsidR="00A34B7A" w:rsidRPr="00601938" w:rsidRDefault="00A34B7A" w:rsidP="00A34B7A">
      <w:pPr>
        <w:autoSpaceDE w:val="0"/>
        <w:autoSpaceDN w:val="0"/>
        <w:adjustRightInd w:val="0"/>
        <w:spacing w:line="360" w:lineRule="auto"/>
        <w:ind w:firstLine="708"/>
        <w:jc w:val="both"/>
        <w:rPr>
          <w:b/>
        </w:rPr>
      </w:pPr>
      <w:r w:rsidRPr="00443EB4">
        <w:t>A mais recente incisão do rio Tejo</w:t>
      </w:r>
      <w:r w:rsidRPr="00601938">
        <w:t>, correspondente ao estreito segmento do Vale,</w:t>
      </w:r>
      <w:r w:rsidRPr="00443EB4">
        <w:t xml:space="preserve"> foi responsável pela escavação, no </w:t>
      </w:r>
      <w:r>
        <w:t>soco hercínico</w:t>
      </w:r>
      <w:r w:rsidRPr="00443EB4">
        <w:t>. Junto a Vila Velha de Ródão</w:t>
      </w:r>
      <w:r>
        <w:t>, estima-se</w:t>
      </w:r>
      <w:r w:rsidRPr="00443EB4">
        <w:t xml:space="preserve"> que a base do vale se situe pelos 66 m de altitude, preenchida com 4 m de espessura média de aluviões (areões e areias cascalhentas). Um pouco por todo o concelho, mas com maior representatividade na </w:t>
      </w:r>
      <w:r>
        <w:t>parte a ocidente das cristas qua</w:t>
      </w:r>
      <w:r w:rsidRPr="00443EB4">
        <w:t>rtzíticas, observam-se vales encaixados resultantes da vigorosa erosão vertical por parte dos cursos de água. Esse</w:t>
      </w:r>
      <w:r>
        <w:t xml:space="preserve"> </w:t>
      </w:r>
      <w:r w:rsidRPr="00443EB4">
        <w:t xml:space="preserve">encaixe é mais acentuado fora </w:t>
      </w:r>
      <w:r>
        <w:t>da depressão tetónica de Ródão.</w: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Pr="00802109" w:rsidRDefault="00A34B7A" w:rsidP="00A34B7A">
      <w:pPr>
        <w:spacing w:line="360" w:lineRule="auto"/>
        <w:jc w:val="both"/>
        <w:rPr>
          <w:b/>
        </w:rPr>
      </w:pPr>
      <w:r w:rsidRPr="00802109">
        <w:rPr>
          <w:b/>
        </w:rPr>
        <w:t xml:space="preserve">2.4- </w:t>
      </w:r>
      <w:r w:rsidRPr="00E531A8">
        <w:t>O nordeste alentejano</w:t>
      </w:r>
    </w:p>
    <w:p w:rsidR="00A34B7A" w:rsidRDefault="00A34B7A" w:rsidP="00A34B7A">
      <w:pPr>
        <w:spacing w:line="360" w:lineRule="auto"/>
        <w:ind w:firstLine="708"/>
        <w:jc w:val="both"/>
      </w:pPr>
    </w:p>
    <w:p w:rsidR="00A34B7A" w:rsidRDefault="00A34B7A" w:rsidP="00A34B7A">
      <w:pPr>
        <w:spacing w:line="360" w:lineRule="auto"/>
        <w:ind w:firstLine="708"/>
        <w:jc w:val="both"/>
      </w:pPr>
      <w:r>
        <w:t xml:space="preserve">Além da área de estudo propriamente dita, a margem sul das Portas de Ródão, convêm ter em atenção a geomorfologia do território situado imediatamente a sul e que corresponde ao extremo nordeste do Alentejo. </w:t>
      </w:r>
      <w:r w:rsidRPr="00CF7046">
        <w:t xml:space="preserve">Geomorfologicamente, </w:t>
      </w:r>
      <w:r>
        <w:t>este território</w:t>
      </w:r>
      <w:r w:rsidRPr="00CF7046">
        <w:t xml:space="preserve"> caracteriza-se por três entidades.</w:t>
      </w:r>
      <w:r>
        <w:t xml:space="preserve"> A primeira corresponde à </w:t>
      </w:r>
      <w:r w:rsidRPr="00064F1F">
        <w:t xml:space="preserve">Serra de S. Mamede </w:t>
      </w:r>
      <w:r>
        <w:t xml:space="preserve">e </w:t>
      </w:r>
      <w:r w:rsidRPr="00064F1F">
        <w:t>constitui um relevo com cerca de 40 km na sua maior dimensão (NW-SE) e de cerca de 10 km na direcção perpendicular. É envolvida pela peneplanície, constituindo esta a forma de relevo dominante da região do Alentejo e de Estremadura espanhola. A Serra de São Mamede, com 1025 metros de altitude, é o mais importante dos relevos a Sul do Tejo, para além de representar um</w:t>
      </w:r>
      <w:r>
        <w:t>a das raras manchas do período D</w:t>
      </w:r>
      <w:r w:rsidRPr="00064F1F">
        <w:t>evónico (entre 400 e 350 milhões de anos) exi</w:t>
      </w:r>
      <w:r>
        <w:t>stentes em Portugal. Cercada a Norte e a L</w:t>
      </w:r>
      <w:r w:rsidRPr="00064F1F">
        <w:t>este por granitos, a sua geologia traduz-se na presença de xistos, grauvaques, calcários e quartzitos, litologia que se refl</w:t>
      </w:r>
      <w:r>
        <w:t>ecte na variedade dos solos. O M</w:t>
      </w:r>
      <w:r w:rsidRPr="00064F1F">
        <w:t xml:space="preserve">aciço de S. Mamede estende-se a </w:t>
      </w:r>
      <w:r w:rsidRPr="00064F1F">
        <w:lastRenderedPageBreak/>
        <w:t>partir de Castelo de Vide (726 m), por Marvão (867 m) e a Serra Fria (953 m</w:t>
      </w:r>
      <w:r>
        <w:t>) (ICN-PNSM, 2003).</w:t>
      </w:r>
    </w:p>
    <w:p w:rsidR="00A34B7A" w:rsidRDefault="00A34B7A" w:rsidP="00A34B7A">
      <w:pPr>
        <w:spacing w:line="360" w:lineRule="auto"/>
        <w:ind w:firstLine="708"/>
        <w:jc w:val="both"/>
      </w:pPr>
      <w:r w:rsidRPr="00064F1F">
        <w:t>A zona da serra individualiza-se da peneplanície e da plataforma envolvente, pelo seu relevo acidentado com declives acentuados, cotas superiores a 600 metros e presença marcante de relevos abruptos coroados por cristas quartzíticas. A linha de separação das bacias do Tejo e Guadiana passa pela serra. Daqui divergem as linhas de cumeada que definem as bacias hidrográficas da Ribeira de Nisa, do Sever, do Caia e do Xévora. A rede hidrográfica revela um forte condicionamento estrutur</w:t>
      </w:r>
      <w:r>
        <w:t xml:space="preserve">al organizando-se paralelamente </w:t>
      </w:r>
      <w:r w:rsidRPr="00064F1F">
        <w:t>ao alinh</w:t>
      </w:r>
      <w:r>
        <w:t xml:space="preserve">amento das cristas </w:t>
      </w:r>
      <w:r w:rsidRPr="00064F1F">
        <w:t>quartzíticas</w:t>
      </w:r>
      <w:r>
        <w:t xml:space="preserve"> (ICN-PNSM, 2003).</w:t>
      </w:r>
    </w:p>
    <w:p w:rsidR="00A34B7A" w:rsidRDefault="00A34B7A" w:rsidP="00A34B7A">
      <w:pPr>
        <w:spacing w:line="360" w:lineRule="auto"/>
        <w:ind w:firstLine="708"/>
        <w:jc w:val="both"/>
      </w:pPr>
      <w:r w:rsidRPr="00064F1F">
        <w:t>A peneplanície</w:t>
      </w:r>
      <w:r>
        <w:t xml:space="preserve">, </w:t>
      </w:r>
      <w:r w:rsidRPr="00B77BE5">
        <w:t>segunda entidade presente na zona</w:t>
      </w:r>
      <w:r>
        <w:t>,</w:t>
      </w:r>
      <w:r w:rsidRPr="00064F1F">
        <w:t xml:space="preserve"> </w:t>
      </w:r>
      <w:r>
        <w:t>ostenta</w:t>
      </w:r>
      <w:r w:rsidRPr="00064F1F">
        <w:t xml:space="preserve"> um</w:t>
      </w:r>
      <w:r>
        <w:t>a área de aplanação bem conservada na zona granítica e transformada, na zona xistenta, numa sucessão de cabeços e vales, restituindo-se pelos pontos altos, onde se conservam alguns retalhos de depósitos de cimo regular e plano (ICN-PNSM, 2003).</w:t>
      </w:r>
    </w:p>
    <w:p w:rsidR="00A34B7A" w:rsidRPr="005D2EE2" w:rsidRDefault="00A34B7A" w:rsidP="00A34B7A"/>
    <w:p w:rsidR="00A34B7A" w:rsidRPr="00414723" w:rsidRDefault="00A34B7A" w:rsidP="00A34B7A"/>
    <w:p w:rsidR="00A34B7A" w:rsidRPr="00414723" w:rsidRDefault="00A34B7A" w:rsidP="00A34B7A"/>
    <w:p w:rsidR="00A34B7A" w:rsidRDefault="00A34B7A" w:rsidP="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Default="00A34B7A" w:rsidP="00A34B7A">
      <w:pPr>
        <w:spacing w:line="360" w:lineRule="auto"/>
        <w:jc w:val="both"/>
        <w:rPr>
          <w:b/>
          <w:u w:val="single"/>
        </w:rPr>
      </w:pPr>
    </w:p>
    <w:p w:rsidR="00A34B7A" w:rsidRPr="00562315" w:rsidRDefault="00A34B7A" w:rsidP="00A34B7A">
      <w:pPr>
        <w:spacing w:line="360" w:lineRule="auto"/>
        <w:jc w:val="right"/>
        <w:rPr>
          <w:b/>
          <w:u w:val="single"/>
        </w:rPr>
      </w:pPr>
      <w:r>
        <w:rPr>
          <w:b/>
          <w:u w:val="single"/>
        </w:rPr>
        <w:t xml:space="preserve">III - </w:t>
      </w:r>
      <w:r w:rsidRPr="00562315">
        <w:rPr>
          <w:b/>
          <w:u w:val="single"/>
        </w:rPr>
        <w:t>ASPECTOS PALEOCLIMÁTICOS</w:t>
      </w:r>
    </w:p>
    <w:p w:rsidR="00A34B7A" w:rsidRDefault="00A34B7A" w:rsidP="00A34B7A">
      <w:pPr>
        <w:spacing w:line="360" w:lineRule="auto"/>
        <w:jc w:val="both"/>
        <w:rPr>
          <w:b/>
          <w:u w:val="single"/>
        </w:rPr>
      </w:pPr>
    </w:p>
    <w:p w:rsidR="00A34B7A" w:rsidRDefault="00A34B7A" w:rsidP="00A34B7A">
      <w:pPr>
        <w:spacing w:line="360" w:lineRule="auto"/>
        <w:ind w:firstLine="708"/>
        <w:jc w:val="both"/>
        <w:rPr>
          <w:color w:val="FF0000"/>
        </w:rPr>
      </w:pPr>
    </w:p>
    <w:p w:rsidR="00A34B7A" w:rsidRDefault="00A34B7A" w:rsidP="00A34B7A">
      <w:pPr>
        <w:spacing w:line="360" w:lineRule="auto"/>
        <w:ind w:firstLine="708"/>
        <w:jc w:val="both"/>
        <w:rPr>
          <w:color w:val="FF0000"/>
        </w:rPr>
      </w:pPr>
    </w:p>
    <w:p w:rsidR="00A34B7A" w:rsidRDefault="00A34B7A" w:rsidP="00A34B7A">
      <w:pPr>
        <w:spacing w:line="360" w:lineRule="auto"/>
        <w:ind w:firstLine="708"/>
        <w:jc w:val="both"/>
        <w:rPr>
          <w:color w:val="FF0000"/>
        </w:rPr>
      </w:pPr>
    </w:p>
    <w:p w:rsidR="00A34B7A" w:rsidRDefault="00A34B7A" w:rsidP="00A34B7A">
      <w:pPr>
        <w:spacing w:line="360" w:lineRule="auto"/>
        <w:ind w:firstLine="708"/>
        <w:jc w:val="both"/>
        <w:rPr>
          <w:b/>
        </w:rPr>
      </w:pPr>
      <w:r w:rsidRPr="008220BF">
        <w:rPr>
          <w:b/>
        </w:rPr>
        <w:lastRenderedPageBreak/>
        <w:t>3.1- Introdução</w:t>
      </w:r>
    </w:p>
    <w:p w:rsidR="00A34B7A" w:rsidRPr="008220BF" w:rsidRDefault="00A34B7A" w:rsidP="00A34B7A">
      <w:pPr>
        <w:spacing w:line="360" w:lineRule="auto"/>
        <w:ind w:firstLine="708"/>
        <w:jc w:val="both"/>
        <w:rPr>
          <w:b/>
        </w:rPr>
      </w:pPr>
    </w:p>
    <w:p w:rsidR="00A34B7A" w:rsidRDefault="00A34B7A" w:rsidP="00A34B7A">
      <w:pPr>
        <w:spacing w:line="360" w:lineRule="auto"/>
        <w:ind w:firstLine="708"/>
        <w:jc w:val="both"/>
      </w:pPr>
      <w:r>
        <w:t xml:space="preserve">Outro dos factores que mais vão pesar sobre as ocupações paleolíticas da zona em estudo corresponde ao clima. É o clima que vai definir a sustentabilidade do ecossistema, as migrações das manadas e subsequentemente dos homens que deles dependem. A imprevisibilidade e inconstância das condições climatéricas são obstáculos para quem recorre a meios de subsistência que se baseiam no oportunismo e no imediatismo e pouco recorrem à constituição de reservas. O clima vai mudar, e muito ao longo dos últimos 150 Ka.  </w:t>
      </w:r>
    </w:p>
    <w:p w:rsidR="00A34B7A" w:rsidRDefault="00A34B7A" w:rsidP="00A34B7A">
      <w:pPr>
        <w:spacing w:line="360" w:lineRule="auto"/>
        <w:ind w:firstLine="708"/>
        <w:jc w:val="both"/>
      </w:pPr>
      <w:r>
        <w:t>Durante este período de tempo vão suceder-se grandes alterações no clima da Península Ibérica, como na restante Europa e no Mundo. Períodos mais amenos vão alternar com outros períodos de frio intenso, causando impacto nas comunidades humanas que as sofrem.</w:t>
      </w:r>
    </w:p>
    <w:p w:rsidR="00A34B7A" w:rsidRPr="00FB4082" w:rsidRDefault="00A34B7A" w:rsidP="00A34B7A">
      <w:pPr>
        <w:autoSpaceDE w:val="0"/>
        <w:autoSpaceDN w:val="0"/>
        <w:adjustRightInd w:val="0"/>
        <w:spacing w:line="360" w:lineRule="auto"/>
        <w:ind w:firstLine="708"/>
        <w:jc w:val="both"/>
      </w:pPr>
      <w:r>
        <w:t xml:space="preserve">Os últimos 2.5 Ma caracterizam-se por um grande número de oscilações climáticas entre períodos mais quentes e outros mais frios. Neste período, cerca de 14 glaciações foram já identificadas (Ehlers e Gibbard, 2008) Estas alternâncias entre estádios frios (glacial) e mais amenos (interglacial) têm uma ciclicidade de cerca de 100 Ka, pelo menos nos últimos 900 Ka </w:t>
      </w:r>
      <w:r w:rsidRPr="006110A9">
        <w:t>(Berger</w:t>
      </w:r>
      <w:r>
        <w:t xml:space="preserve"> </w:t>
      </w:r>
      <w:r w:rsidRPr="00E53D99">
        <w:rPr>
          <w:i/>
        </w:rPr>
        <w:t>et a</w:t>
      </w:r>
      <w:r>
        <w:t xml:space="preserve">l, 1993 in: Adams </w:t>
      </w:r>
      <w:r>
        <w:rPr>
          <w:i/>
        </w:rPr>
        <w:t>et al</w:t>
      </w:r>
      <w:r>
        <w:t>, 1999).</w:t>
      </w:r>
      <w:r w:rsidRPr="00FB4082">
        <w:rPr>
          <w:rFonts w:ascii="Palatino-Roman" w:hAnsi="Palatino-Roman" w:cs="Palatino-Roman"/>
          <w:sz w:val="21"/>
          <w:szCs w:val="21"/>
        </w:rPr>
        <w:t xml:space="preserve"> </w:t>
      </w:r>
      <w:r>
        <w:t>No entanto</w:t>
      </w:r>
      <w:r w:rsidRPr="00FB4082">
        <w:t>,</w:t>
      </w:r>
      <w:r>
        <w:t xml:space="preserve"> algumas das alterações mais importantes, envolvendo por exemplo uma alteração regional da temperatura anual média de vários graus Celsius, ocorreram, possivelmente, numa escala temporal de alguns séculos, </w:t>
      </w:r>
      <w:proofErr w:type="gramStart"/>
      <w:r>
        <w:t>ás</w:t>
      </w:r>
      <w:proofErr w:type="gramEnd"/>
      <w:r>
        <w:t xml:space="preserve"> vezes décadas e talvez até em poucos anos (Adams </w:t>
      </w:r>
      <w:r>
        <w:rPr>
          <w:i/>
        </w:rPr>
        <w:t>et al</w:t>
      </w:r>
      <w:r>
        <w:t xml:space="preserve">, 1999). </w:t>
      </w:r>
    </w:p>
    <w:p w:rsidR="00A34B7A" w:rsidRPr="00B62AE6" w:rsidRDefault="00A34B7A" w:rsidP="00A34B7A">
      <w:pPr>
        <w:spacing w:line="360" w:lineRule="auto"/>
        <w:ind w:firstLine="708"/>
        <w:jc w:val="both"/>
      </w:pPr>
      <w:r>
        <w:t xml:space="preserve">Definir um quadro paleoclimático relativo à área e período em estudo (150 Ka/30 Ka) não é tarefa fácil. No entanto nos últimos anos têm sido realizados profícuos estudos sobre pólens, relativos à zona da Península Ibérica, contidos em sedimentos recolhidos através de perfuração marinhas, ou sondagens bentónicas, (Sanchez Goni </w:t>
      </w:r>
      <w:r>
        <w:rPr>
          <w:i/>
        </w:rPr>
        <w:t>et al</w:t>
      </w:r>
      <w:r>
        <w:t xml:space="preserve">, 2000; Abrantes, 2000; Pailler </w:t>
      </w:r>
      <w:r w:rsidRPr="00BB50C0">
        <w:t>e Bard</w:t>
      </w:r>
      <w:r>
        <w:t>,</w:t>
      </w:r>
      <w:r w:rsidRPr="002A3043">
        <w:t xml:space="preserve"> </w:t>
      </w:r>
      <w:r>
        <w:t>2002;</w:t>
      </w:r>
      <w:r w:rsidRPr="002A3043">
        <w:t> </w:t>
      </w:r>
      <w:r>
        <w:t xml:space="preserve">Daniau </w:t>
      </w:r>
      <w:r>
        <w:rPr>
          <w:i/>
        </w:rPr>
        <w:t>et al</w:t>
      </w:r>
      <w:r>
        <w:t xml:space="preserve">, 2007, Sanchez Goni </w:t>
      </w:r>
      <w:r w:rsidRPr="00F710B5">
        <w:rPr>
          <w:i/>
        </w:rPr>
        <w:t>et al</w:t>
      </w:r>
      <w:r>
        <w:t>, 2005)</w:t>
      </w:r>
      <w:r>
        <w:rPr>
          <w:color w:val="FF0000"/>
        </w:rPr>
        <w:t xml:space="preserve"> </w:t>
      </w:r>
      <w:r w:rsidRPr="00E36039">
        <w:t>em antigos lagos</w:t>
      </w:r>
      <w:r>
        <w:t xml:space="preserve">, originando sequências limnéticas, (Gómez-Orellana </w:t>
      </w:r>
      <w:r>
        <w:rPr>
          <w:i/>
        </w:rPr>
        <w:t>et al</w:t>
      </w:r>
      <w:r>
        <w:t xml:space="preserve">, 2007) ou até em coprólitos de hiena (Carrión </w:t>
      </w:r>
      <w:r>
        <w:rPr>
          <w:i/>
        </w:rPr>
        <w:t>et al</w:t>
      </w:r>
      <w:r>
        <w:t>, 2007). Curiosamente, a</w:t>
      </w:r>
      <w:r w:rsidRPr="00B62AE6">
        <w:t>s primeiras refer</w:t>
      </w:r>
      <w:r>
        <w:t>ências à presença de níveis limnéticos fossilizados na Península Ibérica tiveram lugar pela mão de George Zbyszewsky (Zbyszewsky, 1940;1943).</w:t>
      </w:r>
    </w:p>
    <w:p w:rsidR="00A34B7A" w:rsidRDefault="00A34B7A" w:rsidP="00A34B7A">
      <w:pPr>
        <w:spacing w:line="360" w:lineRule="auto"/>
        <w:ind w:firstLine="708"/>
        <w:jc w:val="both"/>
      </w:pPr>
      <w:r>
        <w:t xml:space="preserve">Os quadros paleoclimáticos podem ainda ser aferidos com o recurso a análises biocronológicas (Hernández Fernández </w:t>
      </w:r>
      <w:r>
        <w:rPr>
          <w:i/>
        </w:rPr>
        <w:t>et al</w:t>
      </w:r>
      <w:r>
        <w:t>, 2004)</w:t>
      </w:r>
      <w:r w:rsidRPr="00E36039">
        <w:t>.</w:t>
      </w:r>
      <w:r>
        <w:t xml:space="preserve"> Outro método frequentemente utilizado para o estudo do clima consiste na análise dos isótopos estáveis (δ</w:t>
      </w:r>
      <w:r w:rsidRPr="00AA1066">
        <w:rPr>
          <w:sz w:val="20"/>
          <w:szCs w:val="20"/>
        </w:rPr>
        <w:t>18</w:t>
      </w:r>
      <w:r>
        <w:t xml:space="preserve">0) </w:t>
      </w:r>
      <w:r>
        <w:lastRenderedPageBreak/>
        <w:t>contidos nos gelos de sondagens glaciares realizadas na Gronelândia (</w:t>
      </w:r>
      <w:r w:rsidRPr="00AA7052">
        <w:t xml:space="preserve">Dansgaard </w:t>
      </w:r>
      <w:r w:rsidRPr="00AA7052">
        <w:rPr>
          <w:i/>
        </w:rPr>
        <w:t>et al</w:t>
      </w:r>
      <w:r w:rsidRPr="00AA7052">
        <w:t>, 1993,</w:t>
      </w:r>
      <w:r>
        <w:rPr>
          <w:color w:val="FF0000"/>
        </w:rPr>
        <w:t xml:space="preserve"> </w:t>
      </w:r>
      <w:r>
        <w:t xml:space="preserve">Johnsen </w:t>
      </w:r>
      <w:r w:rsidRPr="00AA7052">
        <w:rPr>
          <w:i/>
        </w:rPr>
        <w:t>et al</w:t>
      </w:r>
      <w:r>
        <w:t xml:space="preserve">, 1995, Landais </w:t>
      </w:r>
      <w:r w:rsidRPr="00AA7052">
        <w:rPr>
          <w:i/>
        </w:rPr>
        <w:t>et al</w:t>
      </w:r>
      <w:r>
        <w:t>, 2007).</w:t>
      </w:r>
    </w:p>
    <w:p w:rsidR="00A34B7A" w:rsidRDefault="00A34B7A" w:rsidP="00A34B7A">
      <w:pPr>
        <w:spacing w:line="360" w:lineRule="auto"/>
        <w:ind w:firstLine="708"/>
        <w:jc w:val="both"/>
      </w:pPr>
      <w:r>
        <w:t xml:space="preserve">No que diz respeito às perfurações marinhas existem duas amostras que nos interessam principalmente e que mais uma vez se situam ao largo da costa portuguesa. Uma destas perfurações, cujo nome de código é MD952042, realizou-se ao largo das costas de Portugal, nas planícies abissais do Tejo (37º </w:t>
      </w:r>
      <w:smartTag w:uri="urn:schemas-microsoft-com:office:smarttags" w:element="metricconverter">
        <w:smartTagPr>
          <w:attr w:name="ProductID" w:val="47’"/>
        </w:smartTagPr>
        <w:r>
          <w:t>47’</w:t>
        </w:r>
      </w:smartTag>
      <w:r>
        <w:t xml:space="preserve"> N /10º 09’W) tendo já sido alvo de grande número de publicações (Sanchez Goni </w:t>
      </w:r>
      <w:r>
        <w:rPr>
          <w:i/>
        </w:rPr>
        <w:t>et al</w:t>
      </w:r>
      <w:r>
        <w:t xml:space="preserve">, 2000; Lowemark </w:t>
      </w:r>
      <w:r>
        <w:rPr>
          <w:i/>
        </w:rPr>
        <w:t>et al</w:t>
      </w:r>
      <w:r>
        <w:t xml:space="preserve"> 2004, Daniau </w:t>
      </w:r>
      <w:r>
        <w:rPr>
          <w:i/>
        </w:rPr>
        <w:t>et al</w:t>
      </w:r>
      <w:r>
        <w:t>, 2007).</w:t>
      </w:r>
    </w:p>
    <w:p w:rsidR="00A34B7A" w:rsidRDefault="00A34B7A" w:rsidP="00A34B7A">
      <w:pPr>
        <w:spacing w:line="360" w:lineRule="auto"/>
        <w:ind w:firstLine="708"/>
        <w:jc w:val="both"/>
      </w:pPr>
      <w:r>
        <w:t xml:space="preserve"> </w:t>
      </w:r>
      <w:r>
        <w:rPr>
          <w:noProof/>
        </w:rPr>
        <w:drawing>
          <wp:inline distT="0" distB="0" distL="0" distR="0">
            <wp:extent cx="5391150" cy="4533900"/>
            <wp:effectExtent l="19050" t="0" r="0" b="0"/>
            <wp:docPr id="12" name="Imagem 1" descr="MD 95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 952042"/>
                    <pic:cNvPicPr>
                      <a:picLocks noChangeAspect="1" noChangeArrowheads="1"/>
                    </pic:cNvPicPr>
                  </pic:nvPicPr>
                  <pic:blipFill>
                    <a:blip r:embed="rId21" cstate="print"/>
                    <a:srcRect/>
                    <a:stretch>
                      <a:fillRect/>
                    </a:stretch>
                  </pic:blipFill>
                  <pic:spPr bwMode="auto">
                    <a:xfrm>
                      <a:off x="0" y="0"/>
                      <a:ext cx="5391150" cy="4533900"/>
                    </a:xfrm>
                    <a:prstGeom prst="rect">
                      <a:avLst/>
                    </a:prstGeom>
                    <a:noFill/>
                    <a:ln w="9525">
                      <a:noFill/>
                      <a:miter lim="800000"/>
                      <a:headEnd/>
                      <a:tailEnd/>
                    </a:ln>
                  </pic:spPr>
                </pic:pic>
              </a:graphicData>
            </a:graphic>
          </wp:inline>
        </w:drawing>
      </w:r>
    </w:p>
    <w:p w:rsidR="00A34B7A" w:rsidRDefault="00EA3774" w:rsidP="00A34B7A">
      <w:pPr>
        <w:spacing w:line="360" w:lineRule="auto"/>
        <w:ind w:firstLine="708"/>
        <w:jc w:val="both"/>
      </w:pPr>
      <w:r>
        <w:rPr>
          <w:noProof/>
          <w:lang w:eastAsia="en-US"/>
        </w:rPr>
        <w:pict>
          <v:shape id="_x0000_s1038" type="#_x0000_t202" style="position:absolute;left:0;text-align:left;margin-left:0;margin-top:0;width:416.7pt;height:34.35pt;z-index:251676672;mso-position-horizontal:center;mso-width-relative:margin;mso-height-relative:margin" stroked="f">
            <v:textbox>
              <w:txbxContent>
                <w:p w:rsidR="00B34B0F" w:rsidRPr="00FE79A2" w:rsidRDefault="00B34B0F" w:rsidP="00A34B7A">
                  <w:pPr>
                    <w:rPr>
                      <w:sz w:val="22"/>
                      <w:szCs w:val="22"/>
                    </w:rPr>
                  </w:pPr>
                  <w:r w:rsidRPr="008220BF">
                    <w:rPr>
                      <w:b/>
                      <w:sz w:val="22"/>
                      <w:szCs w:val="22"/>
                    </w:rPr>
                    <w:t>Figura 3.1</w:t>
                  </w:r>
                  <w:r w:rsidRPr="00FE79A2">
                    <w:rPr>
                      <w:sz w:val="22"/>
                      <w:szCs w:val="22"/>
                    </w:rPr>
                    <w:t xml:space="preserve"> – Localização</w:t>
                  </w:r>
                  <w:r>
                    <w:rPr>
                      <w:sz w:val="22"/>
                      <w:szCs w:val="22"/>
                    </w:rPr>
                    <w:t xml:space="preserve"> </w:t>
                  </w:r>
                  <w:r w:rsidRPr="00FE79A2">
                    <w:rPr>
                      <w:sz w:val="22"/>
                      <w:szCs w:val="22"/>
                    </w:rPr>
                    <w:t xml:space="preserve">da sondagem bentónica MD 95 2042 </w:t>
                  </w:r>
                  <w:r>
                    <w:rPr>
                      <w:sz w:val="22"/>
                      <w:szCs w:val="22"/>
                    </w:rPr>
                    <w:t xml:space="preserve">recolhida </w:t>
                  </w:r>
                  <w:r w:rsidRPr="00FE79A2">
                    <w:rPr>
                      <w:sz w:val="22"/>
                      <w:szCs w:val="22"/>
                    </w:rPr>
                    <w:t>ao largo do estuário do Tejo</w:t>
                  </w:r>
                  <w:r>
                    <w:rPr>
                      <w:sz w:val="22"/>
                      <w:szCs w:val="22"/>
                    </w:rPr>
                    <w:t xml:space="preserve"> (localização, baseada em Sanchez Goni, 2000).</w:t>
                  </w:r>
                </w:p>
              </w:txbxContent>
            </v:textbox>
          </v:shape>
        </w:pic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ind w:firstLine="708"/>
        <w:jc w:val="both"/>
      </w:pPr>
      <w:r>
        <w:t xml:space="preserve">A zona onde foi recolhida esta amostra sedimentológica caracteriza-se por uma elevada taxa de sedimentação e pela excelente conservação de pólens e diocitos neles contidos cuja origem predominante será o rio Tejo (Sanchez Goni </w:t>
      </w:r>
      <w:r>
        <w:rPr>
          <w:i/>
        </w:rPr>
        <w:t>et al</w:t>
      </w:r>
      <w:r>
        <w:t xml:space="preserve"> 2000). Esta coluna sedimentológica permite recuar nas investigações paleoclimáticas até ao Estádio </w:t>
      </w:r>
      <w:r>
        <w:lastRenderedPageBreak/>
        <w:t xml:space="preserve">Isotópico Marinho (MIS) 6. A análise polínica desta amostra permitiu determinar a evolução climática que caracterizou a região setentrional da Península Ibérica, de um modo mais geral, e do vale do Tejo em particular, durante os últimos 160 Ka. Outra forma de tentar perceber as alterações climáticas que se sucederam na Península Ibérica consiste na análise das taxas de sedimentação de diátomos contidos nos sedimentos marinhos. Estas taxas de sedimentação apresentam valores mais elevados durante as fases glaciares e valores menores durante os Interestádios e o Holoceno (Abrantes, 2000). </w:t>
      </w:r>
    </w:p>
    <w:p w:rsidR="00A34B7A" w:rsidRPr="00EF7726" w:rsidRDefault="00A34B7A" w:rsidP="00A34B7A">
      <w:pPr>
        <w:autoSpaceDE w:val="0"/>
        <w:autoSpaceDN w:val="0"/>
        <w:adjustRightInd w:val="0"/>
        <w:spacing w:line="360" w:lineRule="auto"/>
        <w:ind w:firstLine="708"/>
        <w:jc w:val="both"/>
      </w:pPr>
      <w:r>
        <w:t>N</w:t>
      </w:r>
      <w:r w:rsidRPr="00EF7726">
        <w:t xml:space="preserve">os registos </w:t>
      </w:r>
      <w:r>
        <w:t>sedimentológicos e glaciares f</w:t>
      </w:r>
      <w:r w:rsidRPr="00EF7726">
        <w:t>oi reconhecido um largo número de outras alterações bruscas e alternâncias entre curtos períodos temperados e fases de frio intenso. Aparentemente uma boa parte deles ocorreram numa escala global ou pelo menos com carácter regional (e.g</w:t>
      </w:r>
      <w:r>
        <w:t>.,</w:t>
      </w:r>
      <w:r w:rsidRPr="0018748C">
        <w:rPr>
          <w:color w:val="FF0000"/>
        </w:rPr>
        <w:t xml:space="preserve"> </w:t>
      </w:r>
      <w:r w:rsidRPr="00AA7052">
        <w:t xml:space="preserve">Dansgaard </w:t>
      </w:r>
      <w:r w:rsidRPr="00AA7052">
        <w:rPr>
          <w:i/>
          <w:iCs/>
        </w:rPr>
        <w:t>et al</w:t>
      </w:r>
      <w:r w:rsidRPr="00AA7052">
        <w:t>., 1993</w:t>
      </w:r>
      <w:r w:rsidRPr="00EF7726">
        <w:t>). A estas flutuações mais extremas foi posto o nome de interestádios (períodos temperados) e eventos de Heinrich (períodos mais frios). Estas flutuações estão mais marcadas no registo glaciar da Gronelândia, nos sedimentos</w:t>
      </w:r>
      <w:r>
        <w:t xml:space="preserve"> marinhos do A</w:t>
      </w:r>
      <w:r w:rsidRPr="00EF7726">
        <w:t xml:space="preserve">tlântico norte e nos registos polínicos da Europa e da América do norte, sugerindo que seriam mais intensos na zona do Atlântico Norte (e.g., </w:t>
      </w:r>
      <w:r w:rsidRPr="006D0E4B">
        <w:t xml:space="preserve">Bond </w:t>
      </w:r>
      <w:r>
        <w:rPr>
          <w:i/>
          <w:iCs/>
        </w:rPr>
        <w:t>et al</w:t>
      </w:r>
      <w:r w:rsidRPr="00EF7726">
        <w:t xml:space="preserve">., 1992). </w:t>
      </w:r>
    </w:p>
    <w:p w:rsidR="00A34B7A" w:rsidRDefault="00A34B7A" w:rsidP="00A34B7A">
      <w:pPr>
        <w:autoSpaceDE w:val="0"/>
        <w:autoSpaceDN w:val="0"/>
        <w:adjustRightInd w:val="0"/>
        <w:jc w:val="both"/>
      </w:pPr>
    </w:p>
    <w:p w:rsidR="00A34B7A" w:rsidRDefault="00A34B7A" w:rsidP="00A34B7A">
      <w:pPr>
        <w:autoSpaceDE w:val="0"/>
        <w:autoSpaceDN w:val="0"/>
        <w:adjustRightInd w:val="0"/>
        <w:jc w:val="both"/>
      </w:pPr>
    </w:p>
    <w:p w:rsidR="00A34B7A" w:rsidRPr="00EF7726" w:rsidRDefault="00A34B7A" w:rsidP="00A34B7A">
      <w:pPr>
        <w:autoSpaceDE w:val="0"/>
        <w:autoSpaceDN w:val="0"/>
        <w:adjustRightInd w:val="0"/>
        <w:jc w:val="both"/>
      </w:pPr>
    </w:p>
    <w:p w:rsidR="00A34B7A" w:rsidRDefault="00A34B7A" w:rsidP="00A34B7A">
      <w:pPr>
        <w:autoSpaceDE w:val="0"/>
        <w:autoSpaceDN w:val="0"/>
        <w:adjustRightInd w:val="0"/>
        <w:spacing w:line="360" w:lineRule="auto"/>
        <w:jc w:val="both"/>
        <w:rPr>
          <w:b/>
        </w:rPr>
      </w:pPr>
      <w:r w:rsidRPr="008220BF">
        <w:rPr>
          <w:b/>
        </w:rPr>
        <w:t xml:space="preserve">3.2 </w:t>
      </w:r>
      <w:r>
        <w:rPr>
          <w:b/>
        </w:rPr>
        <w:t>–</w:t>
      </w:r>
      <w:r w:rsidRPr="008220BF">
        <w:rPr>
          <w:b/>
        </w:rPr>
        <w:t xml:space="preserve"> Interestádios</w:t>
      </w:r>
    </w:p>
    <w:p w:rsidR="00A34B7A" w:rsidRPr="008220BF" w:rsidRDefault="00A34B7A" w:rsidP="00A34B7A">
      <w:pPr>
        <w:autoSpaceDE w:val="0"/>
        <w:autoSpaceDN w:val="0"/>
        <w:adjustRightInd w:val="0"/>
        <w:spacing w:line="360" w:lineRule="auto"/>
        <w:jc w:val="both"/>
        <w:rPr>
          <w:b/>
        </w:rPr>
      </w:pPr>
    </w:p>
    <w:p w:rsidR="00A34B7A" w:rsidRPr="009B3F24" w:rsidRDefault="00A34B7A" w:rsidP="00A34B7A">
      <w:pPr>
        <w:autoSpaceDE w:val="0"/>
        <w:autoSpaceDN w:val="0"/>
        <w:adjustRightInd w:val="0"/>
        <w:spacing w:line="360" w:lineRule="auto"/>
        <w:ind w:firstLine="708"/>
        <w:jc w:val="both"/>
      </w:pPr>
      <w:r w:rsidRPr="00EF7726">
        <w:t>Durante as condições mais frias que prevaleceram entre 110</w:t>
      </w:r>
      <w:r>
        <w:t xml:space="preserve"> Ka e 10 </w:t>
      </w:r>
      <w:r w:rsidRPr="00EF7726">
        <w:t>Ka ocorreram, por várias vezes</w:t>
      </w:r>
      <w:r>
        <w:t>,</w:t>
      </w:r>
      <w:r w:rsidRPr="00EF7726">
        <w:t xml:space="preserve"> períodos de aquecimento </w:t>
      </w:r>
      <w:r>
        <w:t xml:space="preserve">repentinos mas de curta duração </w:t>
      </w:r>
      <w:r w:rsidRPr="00070F5A">
        <w:t xml:space="preserve">(Estádios isotópicos 2-5.4; Dansgaard </w:t>
      </w:r>
      <w:r w:rsidRPr="00070F5A">
        <w:rPr>
          <w:i/>
          <w:iCs/>
        </w:rPr>
        <w:t>et al</w:t>
      </w:r>
      <w:r w:rsidRPr="00070F5A">
        <w:t xml:space="preserve">., 1993). </w:t>
      </w:r>
      <w:r w:rsidRPr="009B3F24">
        <w:t>No início, a sua detecção deveu-se á descoberta da presença de flora e insectos</w:t>
      </w:r>
      <w:r>
        <w:t xml:space="preserve"> de climas temperados</w:t>
      </w:r>
      <w:r w:rsidRPr="009B3F24">
        <w:t xml:space="preserve"> nas zonas de tundra glacial do norte da Europa. </w:t>
      </w:r>
      <w:r>
        <w:t>São conhecidos como interestádios para os diferenciar dos períodos frios conhecidos como estádios. Entre 115 000 e 14 000 foram reconhecidos 24 destes eventos nos registos das sondagens do gelo da Gronelândia, onde são denominados eventos de Dansgaard-Oeschger (</w:t>
      </w:r>
      <w:r w:rsidRPr="009B3F24">
        <w:t xml:space="preserve">Dansgaard </w:t>
      </w:r>
      <w:r>
        <w:rPr>
          <w:i/>
          <w:iCs/>
        </w:rPr>
        <w:t>et al</w:t>
      </w:r>
      <w:r w:rsidRPr="009B3F24">
        <w:t>., 1993)</w:t>
      </w:r>
      <w:r>
        <w:t>. Cada interestádio temperado está ligado a um interestádio mais frio, o que se passou a designar por ciclos de Dansgaard-Oeschger com uma duração média de cerca de 1500 anos.</w:t>
      </w:r>
    </w:p>
    <w:p w:rsidR="00A34B7A" w:rsidRDefault="00A34B7A" w:rsidP="00A34B7A">
      <w:pPr>
        <w:autoSpaceDE w:val="0"/>
        <w:autoSpaceDN w:val="0"/>
        <w:adjustRightInd w:val="0"/>
        <w:spacing w:line="360" w:lineRule="auto"/>
        <w:ind w:firstLine="708"/>
        <w:jc w:val="both"/>
      </w:pPr>
      <w:r>
        <w:t xml:space="preserve">A duração de cada interestádio pode, para as partes mais recentes do registo das </w:t>
      </w:r>
      <w:r w:rsidRPr="00AC0C36">
        <w:rPr>
          <w:i/>
        </w:rPr>
        <w:t>carrotes</w:t>
      </w:r>
      <w:r w:rsidRPr="00AC0C36">
        <w:t>,</w:t>
      </w:r>
      <w:r>
        <w:t xml:space="preserve"> ser contada através dos níveis de neve depositados anualmente. A espessura </w:t>
      </w:r>
      <w:r>
        <w:lastRenderedPageBreak/>
        <w:t xml:space="preserve">dos sedimentos depositados nos fundos marinhos também permite realizar essas datações mas de forma menos precisa. Tanto as sondagens de gelo como os dados oceanográficos sugerem que os interestádios começam e terminam de forma brusca, não obstante o final de um período temperado ser caracterizado por um declínio gradual através de uma série de pequenos momentos de arrefecimento, resultando amiúde, num episódio final de arrefecimento apresentando maiores dimensões. Este último episódio leva ao retomar do anterior período glaciar. </w: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pPr>
    </w:p>
    <w:p w:rsidR="00A34B7A" w:rsidRPr="008220BF" w:rsidRDefault="00A34B7A" w:rsidP="00A34B7A">
      <w:pPr>
        <w:autoSpaceDE w:val="0"/>
        <w:autoSpaceDN w:val="0"/>
        <w:adjustRightInd w:val="0"/>
        <w:spacing w:line="360" w:lineRule="auto"/>
        <w:jc w:val="both"/>
        <w:rPr>
          <w:b/>
        </w:rPr>
      </w:pPr>
      <w:r w:rsidRPr="008220BF">
        <w:rPr>
          <w:b/>
        </w:rPr>
        <w:t>3.3- Eventos de Heinrich</w:t>
      </w:r>
    </w:p>
    <w:p w:rsidR="00A34B7A" w:rsidRDefault="00A34B7A" w:rsidP="00A34B7A">
      <w:pPr>
        <w:autoSpaceDE w:val="0"/>
        <w:autoSpaceDN w:val="0"/>
        <w:adjustRightInd w:val="0"/>
        <w:spacing w:line="360" w:lineRule="auto"/>
        <w:jc w:val="both"/>
      </w:pPr>
      <w:r>
        <w:tab/>
      </w:r>
    </w:p>
    <w:p w:rsidR="00A34B7A" w:rsidRDefault="00A34B7A" w:rsidP="00A34B7A">
      <w:pPr>
        <w:autoSpaceDE w:val="0"/>
        <w:autoSpaceDN w:val="0"/>
        <w:adjustRightInd w:val="0"/>
        <w:spacing w:line="360" w:lineRule="auto"/>
        <w:ind w:firstLine="708"/>
        <w:jc w:val="both"/>
        <w:rPr>
          <w:sz w:val="20"/>
          <w:szCs w:val="20"/>
        </w:rPr>
      </w:pPr>
      <w:r>
        <w:t xml:space="preserve">Em oposição aos interestádios existem curtos períodos de frio intenso conhecidos como eventos de Heinrich (Heinrich, 1998) que foram, no início, identificados como períodos de intensas deslocações de gelo no Atlântico Norte. Estes eventos surgem durante um panorama de clima glaciar e representam a resposta climática ao aparecimento de uma enorme quantidade de icebergs no Atlântico norte. Os registos presentes nas </w:t>
      </w:r>
      <w:r w:rsidRPr="00B43385">
        <w:rPr>
          <w:i/>
        </w:rPr>
        <w:t>carrotes</w:t>
      </w:r>
      <w:r>
        <w:t xml:space="preserve"> glaciares indiciam uma descida de temperatura na ordem dos 3 a 6 º num já de si</w:t>
      </w:r>
      <w:r w:rsidRPr="00F710B5">
        <w:t xml:space="preserve"> </w:t>
      </w:r>
      <w:r>
        <w:t xml:space="preserve">de frio período glaciar </w:t>
      </w:r>
      <w:r w:rsidRPr="00013D17">
        <w:rPr>
          <w:rFonts w:ascii="Palatino-Roman" w:hAnsi="Palatino-Roman" w:cs="Palatino-Roman"/>
        </w:rPr>
        <w:t>(</w:t>
      </w:r>
      <w:r w:rsidRPr="006F7D95">
        <w:rPr>
          <w:rFonts w:ascii="Palatino-Roman" w:hAnsi="Palatino-Roman" w:cs="Palatino-Roman"/>
        </w:rPr>
        <w:t>Maslin</w:t>
      </w:r>
      <w:r w:rsidRPr="00AA7052">
        <w:rPr>
          <w:rFonts w:ascii="Palatino-Roman" w:hAnsi="Palatino-Roman" w:cs="Palatino-Roman"/>
          <w:color w:val="C00000"/>
        </w:rPr>
        <w:t xml:space="preserve"> </w:t>
      </w:r>
      <w:r>
        <w:rPr>
          <w:rFonts w:ascii="Palatino-Italic" w:hAnsi="Palatino-Italic" w:cs="Palatino-Italic"/>
          <w:i/>
          <w:iCs/>
        </w:rPr>
        <w:t>et al</w:t>
      </w:r>
      <w:r w:rsidRPr="00013D17">
        <w:rPr>
          <w:rFonts w:ascii="Palatino-Roman" w:hAnsi="Palatino-Roman" w:cs="Palatino-Roman"/>
        </w:rPr>
        <w:t>., 1995</w:t>
      </w:r>
      <w:r w:rsidRPr="006F7D95">
        <w:rPr>
          <w:rFonts w:ascii="Palatino-Roman" w:hAnsi="Palatino-Roman" w:cs="Palatino-Roman"/>
        </w:rPr>
        <w:t xml:space="preserve">; </w:t>
      </w:r>
      <w:r w:rsidRPr="00013D17">
        <w:rPr>
          <w:rFonts w:ascii="Palatino-Roman" w:hAnsi="Palatino-Roman" w:cs="Palatino-Roman"/>
        </w:rPr>
        <w:t xml:space="preserve">Bond </w:t>
      </w:r>
      <w:r>
        <w:rPr>
          <w:rFonts w:ascii="Palatino-Italic" w:hAnsi="Palatino-Italic" w:cs="Palatino-Italic"/>
          <w:i/>
          <w:iCs/>
        </w:rPr>
        <w:t>et al</w:t>
      </w:r>
      <w:r w:rsidRPr="00013D17">
        <w:rPr>
          <w:rFonts w:ascii="Palatino-Roman" w:hAnsi="Palatino-Roman" w:cs="Palatino-Roman"/>
        </w:rPr>
        <w:t>., 199</w:t>
      </w:r>
      <w:r>
        <w:rPr>
          <w:rFonts w:ascii="Palatino-Roman" w:hAnsi="Palatino-Roman" w:cs="Palatino-Roman"/>
        </w:rPr>
        <w:t>7</w:t>
      </w:r>
      <w:r w:rsidRPr="00013D17">
        <w:rPr>
          <w:rFonts w:ascii="Palatino-Roman" w:hAnsi="Palatino-Roman" w:cs="Palatino-Roman"/>
        </w:rPr>
        <w:t>)</w:t>
      </w:r>
      <w:r>
        <w:rPr>
          <w:rFonts w:ascii="Palatino-Roman" w:hAnsi="Palatino-Roman" w:cs="Palatino-Roman"/>
        </w:rPr>
        <w:t>. No entanto ainda existe um debate aceso sobre se este arrefecimento é causado por uma dinâmica interna dos lençóis de gelo ou se se deve a alterações climatéricas externas, possivelmente causadas por modificações dos parâmetros orbitais do nosso planeta.</w:t>
      </w:r>
      <w:r w:rsidRPr="00631037">
        <w:rPr>
          <w:sz w:val="20"/>
          <w:szCs w:val="20"/>
        </w:rPr>
        <w:t xml:space="preserve"> </w:t>
      </w:r>
    </w:p>
    <w:p w:rsidR="00A34B7A" w:rsidRPr="009414EB" w:rsidRDefault="00A34B7A" w:rsidP="00A34B7A">
      <w:pPr>
        <w:autoSpaceDE w:val="0"/>
        <w:autoSpaceDN w:val="0"/>
        <w:adjustRightInd w:val="0"/>
        <w:spacing w:line="360" w:lineRule="auto"/>
        <w:ind w:firstLine="708"/>
        <w:jc w:val="both"/>
        <w:rPr>
          <w:iCs/>
        </w:rPr>
      </w:pPr>
      <w:r w:rsidRPr="00155CAE">
        <w:t>Os eventos de Heinrich exprimem-se nas sondagens marinhas pela deposição maciça de detritos transportados pelo gelo, um incremento na percentagem de for</w:t>
      </w:r>
      <w:r>
        <w:t>aminí</w:t>
      </w:r>
      <w:r w:rsidRPr="00155CAE">
        <w:t>feras polares (</w:t>
      </w:r>
      <w:r w:rsidRPr="00155CAE">
        <w:rPr>
          <w:i/>
          <w:iCs/>
        </w:rPr>
        <w:t>Neogloboquadrina pachyderma</w:t>
      </w:r>
      <w:r w:rsidRPr="00155CAE">
        <w:rPr>
          <w:iCs/>
        </w:rPr>
        <w:t xml:space="preserve">) e uma diminuição na razão de oxigénio isotópico devida a diminuição do caudal de água doce que chega aos oceanos (Eynaud </w:t>
      </w:r>
      <w:r>
        <w:rPr>
          <w:i/>
          <w:iCs/>
        </w:rPr>
        <w:t>et al</w:t>
      </w:r>
      <w:r w:rsidRPr="00155CAE">
        <w:rPr>
          <w:iCs/>
        </w:rPr>
        <w:t>, 2000)</w:t>
      </w:r>
      <w:r>
        <w:rPr>
          <w:iCs/>
        </w:rPr>
        <w:t>.</w:t>
      </w:r>
    </w:p>
    <w:p w:rsidR="00A34B7A" w:rsidRDefault="00A34B7A" w:rsidP="00A34B7A">
      <w:pPr>
        <w:spacing w:line="360" w:lineRule="auto"/>
        <w:jc w:val="both"/>
        <w:rPr>
          <w:color w:val="FF0000"/>
          <w:u w:val="single"/>
        </w:rPr>
      </w:pPr>
    </w:p>
    <w:p w:rsidR="00A34B7A" w:rsidRDefault="00A34B7A" w:rsidP="00A34B7A">
      <w:pPr>
        <w:autoSpaceDE w:val="0"/>
        <w:autoSpaceDN w:val="0"/>
        <w:adjustRightInd w:val="0"/>
        <w:spacing w:line="360" w:lineRule="auto"/>
        <w:jc w:val="both"/>
        <w:rPr>
          <w:u w:val="single"/>
        </w:rPr>
      </w:pPr>
    </w:p>
    <w:p w:rsidR="00A34B7A" w:rsidRDefault="00EA3774" w:rsidP="00A34B7A">
      <w:pPr>
        <w:autoSpaceDE w:val="0"/>
        <w:autoSpaceDN w:val="0"/>
        <w:adjustRightInd w:val="0"/>
        <w:spacing w:line="360" w:lineRule="auto"/>
        <w:jc w:val="center"/>
      </w:pPr>
      <w:r>
        <w:rPr>
          <w:noProof/>
          <w:lang w:eastAsia="en-US"/>
        </w:rPr>
        <w:lastRenderedPageBreak/>
        <w:pict>
          <v:shape id="_x0000_s1039" type="#_x0000_t202" style="position:absolute;left:0;text-align:left;margin-left:7.2pt;margin-top:424.1pt;width:408pt;height:83.25pt;z-index:251677696;mso-width-relative:margin;mso-height-relative:margin" stroked="f">
            <v:textbox style="mso-next-textbox:#_x0000_s1039">
              <w:txbxContent>
                <w:p w:rsidR="00B34B0F" w:rsidRPr="008220BF" w:rsidRDefault="00B34B0F" w:rsidP="00A34B7A">
                  <w:pPr>
                    <w:jc w:val="both"/>
                    <w:rPr>
                      <w:sz w:val="22"/>
                      <w:szCs w:val="22"/>
                    </w:rPr>
                  </w:pPr>
                  <w:r w:rsidRPr="008220BF">
                    <w:rPr>
                      <w:b/>
                      <w:sz w:val="22"/>
                      <w:szCs w:val="22"/>
                    </w:rPr>
                    <w:t>Figura 3. 2</w:t>
                  </w:r>
                  <w:r w:rsidRPr="008220BF">
                    <w:rPr>
                      <w:sz w:val="22"/>
                      <w:szCs w:val="22"/>
                    </w:rPr>
                    <w:t xml:space="preserve">- Variação da insolação estival à latitude de 65º N durante os últimos 140Ka; Análise de vários parâmetros do testemunho marinho MD95-2042; variação da temperatura atmosférica da Gronelândia nos últimos 123Ka com base na sondagem de gelo NORTHGRIP. </w:t>
                  </w:r>
                  <w:r>
                    <w:rPr>
                      <w:sz w:val="22"/>
                      <w:szCs w:val="22"/>
                    </w:rPr>
                    <w:t xml:space="preserve">A </w:t>
                  </w:r>
                  <w:proofErr w:type="gramStart"/>
                  <w:r>
                    <w:rPr>
                      <w:sz w:val="22"/>
                      <w:szCs w:val="22"/>
                    </w:rPr>
                    <w:t>cinzento escuro</w:t>
                  </w:r>
                  <w:proofErr w:type="gramEnd"/>
                  <w:r>
                    <w:rPr>
                      <w:sz w:val="22"/>
                      <w:szCs w:val="22"/>
                    </w:rPr>
                    <w:t>,</w:t>
                  </w:r>
                  <w:r w:rsidRPr="008220BF">
                    <w:rPr>
                      <w:sz w:val="22"/>
                      <w:szCs w:val="22"/>
                    </w:rPr>
                    <w:t xml:space="preserve"> os eventos de Heinrich, a cinzen</w:t>
                  </w:r>
                  <w:r>
                    <w:rPr>
                      <w:sz w:val="22"/>
                      <w:szCs w:val="22"/>
                    </w:rPr>
                    <w:t>to claro os interestadiais Eemi</w:t>
                  </w:r>
                  <w:r w:rsidRPr="008220BF">
                    <w:rPr>
                      <w:sz w:val="22"/>
                      <w:szCs w:val="22"/>
                    </w:rPr>
                    <w:t>a</w:t>
                  </w:r>
                  <w:r>
                    <w:rPr>
                      <w:sz w:val="22"/>
                      <w:szCs w:val="22"/>
                    </w:rPr>
                    <w:t>n</w:t>
                  </w:r>
                  <w:r w:rsidRPr="008220BF">
                    <w:rPr>
                      <w:sz w:val="22"/>
                      <w:szCs w:val="22"/>
                    </w:rPr>
                    <w:t>o e Holoceno na Península Ibérica. Baseado em Sanchez-Goni e D’Errico, 2005.</w:t>
                  </w:r>
                </w:p>
              </w:txbxContent>
            </v:textbox>
          </v:shape>
        </w:pict>
      </w:r>
      <w:r w:rsidR="00A34B7A">
        <w:rPr>
          <w:noProof/>
        </w:rPr>
        <w:drawing>
          <wp:inline distT="0" distB="0" distL="0" distR="0">
            <wp:extent cx="5143500" cy="5381625"/>
            <wp:effectExtent l="19050" t="0" r="0" b="0"/>
            <wp:docPr id="15" name="Imagem 2" descr="co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una"/>
                    <pic:cNvPicPr>
                      <a:picLocks noChangeAspect="1" noChangeArrowheads="1"/>
                    </pic:cNvPicPr>
                  </pic:nvPicPr>
                  <pic:blipFill>
                    <a:blip r:embed="rId22" cstate="print"/>
                    <a:srcRect/>
                    <a:stretch>
                      <a:fillRect/>
                    </a:stretch>
                  </pic:blipFill>
                  <pic:spPr bwMode="auto">
                    <a:xfrm>
                      <a:off x="0" y="0"/>
                      <a:ext cx="5143500" cy="5381625"/>
                    </a:xfrm>
                    <a:prstGeom prst="rect">
                      <a:avLst/>
                    </a:prstGeom>
                    <a:noFill/>
                    <a:ln w="9525">
                      <a:noFill/>
                      <a:miter lim="800000"/>
                      <a:headEnd/>
                      <a:tailEnd/>
                    </a:ln>
                  </pic:spPr>
                </pic:pic>
              </a:graphicData>
            </a:graphic>
          </wp:inline>
        </w:drawing>
      </w: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jc w:val="both"/>
        <w:rPr>
          <w:rFonts w:eastAsia="HelveticaNeue"/>
          <w:color w:val="231F20"/>
        </w:rPr>
      </w:pPr>
    </w:p>
    <w:p w:rsidR="00A34B7A" w:rsidRDefault="00A34B7A" w:rsidP="00A34B7A">
      <w:pPr>
        <w:autoSpaceDE w:val="0"/>
        <w:autoSpaceDN w:val="0"/>
        <w:adjustRightInd w:val="0"/>
        <w:spacing w:line="360" w:lineRule="auto"/>
        <w:jc w:val="both"/>
        <w:rPr>
          <w:rFonts w:eastAsia="HelveticaNeue"/>
          <w:color w:val="231F20"/>
        </w:rPr>
      </w:pP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rPr>
          <w:u w:val="single"/>
        </w:rPr>
      </w:pPr>
    </w:p>
    <w:p w:rsidR="00A34B7A" w:rsidRDefault="00A34B7A" w:rsidP="00A34B7A">
      <w:pPr>
        <w:autoSpaceDE w:val="0"/>
        <w:autoSpaceDN w:val="0"/>
        <w:adjustRightInd w:val="0"/>
        <w:spacing w:line="360" w:lineRule="auto"/>
        <w:jc w:val="both"/>
        <w:rPr>
          <w:u w:val="single"/>
        </w:rPr>
      </w:pPr>
    </w:p>
    <w:p w:rsidR="00A34B7A" w:rsidRPr="008220BF" w:rsidRDefault="00A34B7A" w:rsidP="00A34B7A">
      <w:pPr>
        <w:autoSpaceDE w:val="0"/>
        <w:autoSpaceDN w:val="0"/>
        <w:adjustRightInd w:val="0"/>
        <w:spacing w:line="360" w:lineRule="auto"/>
        <w:jc w:val="both"/>
        <w:rPr>
          <w:b/>
        </w:rPr>
      </w:pPr>
      <w:r>
        <w:rPr>
          <w:b/>
        </w:rPr>
        <w:t xml:space="preserve">3.4- </w:t>
      </w:r>
      <w:r w:rsidRPr="008220BF">
        <w:rPr>
          <w:b/>
        </w:rPr>
        <w:t xml:space="preserve">Estádio Isotópico Marinho MIS 5e- Entre 130 Ka e 114 Ka. </w:t>
      </w:r>
    </w:p>
    <w:p w:rsidR="00A34B7A" w:rsidRDefault="00A34B7A" w:rsidP="00A34B7A">
      <w:pPr>
        <w:autoSpaceDE w:val="0"/>
        <w:autoSpaceDN w:val="0"/>
        <w:adjustRightInd w:val="0"/>
        <w:spacing w:line="360" w:lineRule="auto"/>
        <w:jc w:val="both"/>
      </w:pPr>
    </w:p>
    <w:p w:rsidR="00A34B7A" w:rsidRPr="00054361" w:rsidRDefault="00A34B7A" w:rsidP="00A34B7A">
      <w:pPr>
        <w:autoSpaceDE w:val="0"/>
        <w:autoSpaceDN w:val="0"/>
        <w:adjustRightInd w:val="0"/>
        <w:spacing w:line="360" w:lineRule="auto"/>
        <w:ind w:firstLine="708"/>
        <w:jc w:val="both"/>
      </w:pPr>
      <w:r>
        <w:t xml:space="preserve">Assiste-se, no registo palinológico, a um aquecimento global importante. </w:t>
      </w:r>
      <w:r w:rsidRPr="00792F95">
        <w:t>Este período</w:t>
      </w:r>
      <w:r>
        <w:t xml:space="preserve">, denominado </w:t>
      </w:r>
      <w:r w:rsidRPr="00792F95">
        <w:t>Eemiano foi o período mais quente dos últimos 150 Ka</w:t>
      </w:r>
      <w:r>
        <w:t xml:space="preserve">. Existe ainda alguma </w:t>
      </w:r>
      <w:r w:rsidRPr="00054361">
        <w:t xml:space="preserve">discussão sobre a data exacta do evento (ou vários) de aquecimento que define o início do MIS 5e (Adams </w:t>
      </w:r>
      <w:r>
        <w:rPr>
          <w:i/>
        </w:rPr>
        <w:t>et al</w:t>
      </w:r>
      <w:r w:rsidRPr="00054361">
        <w:t xml:space="preserve">, 1999). </w:t>
      </w:r>
    </w:p>
    <w:p w:rsidR="00A34B7A" w:rsidRDefault="00A34B7A" w:rsidP="00A34B7A">
      <w:pPr>
        <w:autoSpaceDE w:val="0"/>
        <w:autoSpaceDN w:val="0"/>
        <w:adjustRightInd w:val="0"/>
        <w:spacing w:line="360" w:lineRule="auto"/>
        <w:ind w:firstLine="708"/>
        <w:jc w:val="both"/>
      </w:pPr>
      <w:r w:rsidRPr="00054361">
        <w:lastRenderedPageBreak/>
        <w:t>Alguns trabalhos em sedimentos marinhos (</w:t>
      </w:r>
      <w:r w:rsidRPr="00251B0F">
        <w:t xml:space="preserve">Imbrie </w:t>
      </w:r>
      <w:r>
        <w:rPr>
          <w:i/>
          <w:iCs/>
        </w:rPr>
        <w:t>et al</w:t>
      </w:r>
      <w:r w:rsidRPr="00251B0F">
        <w:t>., 1993</w:t>
      </w:r>
      <w:r w:rsidRPr="00054361">
        <w:t>) e corais (</w:t>
      </w:r>
      <w:r w:rsidRPr="00251B0F">
        <w:t xml:space="preserve">Slowey </w:t>
      </w:r>
      <w:r>
        <w:rPr>
          <w:i/>
          <w:iCs/>
        </w:rPr>
        <w:t>et al</w:t>
      </w:r>
      <w:r w:rsidRPr="00251B0F">
        <w:t>., 1996</w:t>
      </w:r>
      <w:r w:rsidRPr="00054361">
        <w:t xml:space="preserve">) indiciam que o aquecimento brusco poderá ter-se iniciado logo por volta de 132 Ka. Trabalhos realizados em </w:t>
      </w:r>
      <w:r>
        <w:t>sondagens efectuadas nos</w:t>
      </w:r>
      <w:r w:rsidRPr="00054361">
        <w:t xml:space="preserve"> gelo</w:t>
      </w:r>
      <w:r>
        <w:t>s</w:t>
      </w:r>
      <w:r w:rsidRPr="00054361">
        <w:t xml:space="preserve"> do Ártico indiciam que o aquecimento terá começado mais tarde, por volta de 134 Ka (</w:t>
      </w:r>
      <w:r w:rsidRPr="006735CB">
        <w:t xml:space="preserve">Jouzel </w:t>
      </w:r>
      <w:r>
        <w:rPr>
          <w:i/>
          <w:iCs/>
        </w:rPr>
        <w:t>et al</w:t>
      </w:r>
      <w:r w:rsidRPr="006735CB">
        <w:t>., 1993</w:t>
      </w:r>
      <w:r w:rsidRPr="00054361">
        <w:t>). Algumas datações por Urânio/Tório realizadas em sedimentos cársicos no Devil’s H</w:t>
      </w:r>
      <w:r>
        <w:t xml:space="preserve">ole, </w:t>
      </w:r>
      <w:r w:rsidRPr="00054361">
        <w:t>nos Estados Unidos sugerem que este estádio começou mais cedo, por volta de 140 Ka. (</w:t>
      </w:r>
      <w:r w:rsidRPr="007E5B7C">
        <w:t xml:space="preserve">Winograd </w:t>
      </w:r>
      <w:r>
        <w:rPr>
          <w:i/>
          <w:iCs/>
        </w:rPr>
        <w:t>et al</w:t>
      </w:r>
      <w:r w:rsidRPr="007E5B7C">
        <w:t>.,</w:t>
      </w:r>
      <w:r>
        <w:t xml:space="preserve"> </w:t>
      </w:r>
      <w:r w:rsidRPr="007E5B7C">
        <w:t>1992)</w:t>
      </w:r>
      <w:r w:rsidRPr="00054361">
        <w:t xml:space="preserve">. Os desfasamentos observados entre estes vários registos podem ter a ver com divergências regionais. Temos que ter presente que essas variações ainda agora existem estando relacionadas com latitudes e altitudes diferentes. </w:t>
      </w:r>
      <w:r>
        <w:t xml:space="preserve">Por outro lado, recentemente foi demonstrado por alguns investigadores (Shackleton </w:t>
      </w:r>
      <w:r>
        <w:rPr>
          <w:i/>
        </w:rPr>
        <w:t>et al</w:t>
      </w:r>
      <w:r>
        <w:t xml:space="preserve">, 2002, Shackleton </w:t>
      </w:r>
      <w:r>
        <w:rPr>
          <w:i/>
        </w:rPr>
        <w:t>et al</w:t>
      </w:r>
      <w:r>
        <w:t xml:space="preserve">, 2003; Sanchez Goni </w:t>
      </w:r>
      <w:r>
        <w:rPr>
          <w:i/>
        </w:rPr>
        <w:t>et al</w:t>
      </w:r>
      <w:r>
        <w:t xml:space="preserve">, 2005) que o limite entre o MIS 6/5 não é coevo com a transição Saaliano/Eemiano verificado nos registos terrestres. Existe uma diferença de 6000 anos entre o início do Eemiano (126 Ka) definido pela palinologia e o MIS 5e (132 Ka) definido através dos isótopos de oxigénio (Shackelton </w:t>
      </w:r>
      <w:r w:rsidRPr="005C2613">
        <w:rPr>
          <w:i/>
        </w:rPr>
        <w:t>et al</w:t>
      </w:r>
      <w:r>
        <w:t xml:space="preserve">, 2003, Knudsen </w:t>
      </w:r>
      <w:r w:rsidRPr="005C2613">
        <w:rPr>
          <w:i/>
        </w:rPr>
        <w:t xml:space="preserve">et </w:t>
      </w:r>
      <w:proofErr w:type="gramStart"/>
      <w:r w:rsidRPr="005C2613">
        <w:rPr>
          <w:i/>
        </w:rPr>
        <w:t>al</w:t>
      </w:r>
      <w:r>
        <w:t xml:space="preserve"> ,</w:t>
      </w:r>
      <w:proofErr w:type="gramEnd"/>
      <w:r>
        <w:t xml:space="preserve"> 2006).</w:t>
      </w:r>
    </w:p>
    <w:p w:rsidR="00A34B7A" w:rsidRDefault="00A34B7A" w:rsidP="00A34B7A">
      <w:pPr>
        <w:spacing w:line="360" w:lineRule="auto"/>
        <w:ind w:firstLine="708"/>
        <w:jc w:val="both"/>
      </w:pPr>
      <w:r>
        <w:t xml:space="preserve">Tendo em consideração os registos marinhos, o interglaciário Eemiano terminou com um arrefecimento brusco do clima há cerca de 110 Ka </w:t>
      </w:r>
      <w:r w:rsidRPr="009E6965">
        <w:rPr>
          <w:rFonts w:ascii="Palatino-Roman" w:hAnsi="Palatino-Roman" w:cs="Palatino-Roman"/>
          <w:sz w:val="21"/>
          <w:szCs w:val="21"/>
        </w:rPr>
        <w:t>(</w:t>
      </w:r>
      <w:r w:rsidRPr="006110A9">
        <w:t xml:space="preserve">Martinson </w:t>
      </w:r>
      <w:r w:rsidRPr="006110A9">
        <w:rPr>
          <w:i/>
          <w:iCs/>
        </w:rPr>
        <w:t>et al</w:t>
      </w:r>
      <w:r w:rsidRPr="006110A9">
        <w:t>., 1987)</w:t>
      </w:r>
      <w:r w:rsidRPr="007E5B7C">
        <w:t>.</w:t>
      </w:r>
      <w:r>
        <w:t xml:space="preserve"> Este arrefecimento foi identificado em vários registos polínicos e carotagens glaciares ao longo de toda a Eurásia. Este episódio de arrefecimento poderá ter sido implantado em menos de 400 anos, existindo a possibilidade de ter sido ainda mais rápido (</w:t>
      </w:r>
      <w:r w:rsidRPr="008220BF">
        <w:t xml:space="preserve">Adkins </w:t>
      </w:r>
      <w:r w:rsidRPr="008220BF">
        <w:rPr>
          <w:i/>
        </w:rPr>
        <w:t>et al</w:t>
      </w:r>
      <w:r>
        <w:t xml:space="preserve"> 1997 in</w:t>
      </w:r>
      <w:r w:rsidRPr="00054361">
        <w:t xml:space="preserve">: Adams </w:t>
      </w:r>
      <w:r>
        <w:rPr>
          <w:i/>
        </w:rPr>
        <w:t>et al</w:t>
      </w:r>
      <w:r w:rsidRPr="00054361">
        <w:t>, 1999)</w:t>
      </w:r>
      <w:r>
        <w:t>.</w:t>
      </w:r>
      <w:r w:rsidRPr="00EC0A98">
        <w:t xml:space="preserve"> </w:t>
      </w:r>
    </w:p>
    <w:p w:rsidR="00A34B7A" w:rsidRDefault="00A34B7A" w:rsidP="00A34B7A">
      <w:pPr>
        <w:spacing w:line="360" w:lineRule="auto"/>
        <w:ind w:firstLine="708"/>
        <w:jc w:val="both"/>
      </w:pPr>
      <w:r w:rsidRPr="00BA36F2">
        <w:t xml:space="preserve">A </w:t>
      </w:r>
      <w:r>
        <w:t>costa do Noroeste da P</w:t>
      </w:r>
      <w:r w:rsidRPr="00BA36F2">
        <w:t>en</w:t>
      </w:r>
      <w:r>
        <w:t>ínsula I</w:t>
      </w:r>
      <w:r w:rsidRPr="00BA36F2">
        <w:t>bérica apresenta sedimentos expostos formados durante o último ciclo glaciar/interglaciar. Normalmente, os níveis mais baixos correspondem a níveis de fácies marinh</w:t>
      </w:r>
      <w:r>
        <w:t>a</w:t>
      </w:r>
      <w:r w:rsidRPr="00BA36F2">
        <w:t xml:space="preserve"> (níveis de praias ou dunas compostos por areias ou seixos cimentados por óxidos de ferro) que estão normalmente associados com um nível máximo do mar de + 6m relacionado com o Eemiano (OIS 5e)</w:t>
      </w:r>
      <w:r w:rsidRPr="00BA36F2">
        <w:rPr>
          <w:color w:val="0000FF"/>
        </w:rPr>
        <w:t xml:space="preserve"> </w:t>
      </w:r>
      <w:r w:rsidRPr="00BA36F2">
        <w:t xml:space="preserve">(Granja, </w:t>
      </w:r>
      <w:r>
        <w:t>1999,</w:t>
      </w:r>
      <w:r w:rsidRPr="00A46200">
        <w:t xml:space="preserve"> Meireles</w:t>
      </w:r>
      <w:r>
        <w:t xml:space="preserve"> e Texier</w:t>
      </w:r>
      <w:r w:rsidRPr="00BA36F2">
        <w:t xml:space="preserve">, </w:t>
      </w:r>
      <w:r>
        <w:t xml:space="preserve">2000, </w:t>
      </w:r>
      <w:r w:rsidRPr="00BA36F2">
        <w:t xml:space="preserve">Gomez-Orellana </w:t>
      </w:r>
      <w:r>
        <w:rPr>
          <w:i/>
        </w:rPr>
        <w:t>et al</w:t>
      </w:r>
      <w:r>
        <w:t xml:space="preserve">, </w:t>
      </w:r>
      <w:r w:rsidRPr="00BA36F2">
        <w:t>2007).</w:t>
      </w:r>
    </w:p>
    <w:p w:rsidR="00A34B7A" w:rsidRDefault="00A34B7A" w:rsidP="00A34B7A">
      <w:pPr>
        <w:autoSpaceDE w:val="0"/>
        <w:autoSpaceDN w:val="0"/>
        <w:adjustRightInd w:val="0"/>
        <w:spacing w:line="360" w:lineRule="auto"/>
        <w:ind w:firstLine="708"/>
        <w:jc w:val="both"/>
      </w:pPr>
    </w:p>
    <w:p w:rsidR="00A34B7A" w:rsidRPr="00BA36F2" w:rsidRDefault="00A34B7A" w:rsidP="00A34B7A">
      <w:pPr>
        <w:autoSpaceDE w:val="0"/>
        <w:autoSpaceDN w:val="0"/>
        <w:adjustRightInd w:val="0"/>
        <w:spacing w:line="360" w:lineRule="auto"/>
        <w:ind w:firstLine="708"/>
        <w:jc w:val="both"/>
      </w:pPr>
      <w:r>
        <w:tab/>
      </w:r>
    </w:p>
    <w:p w:rsidR="00A34B7A" w:rsidRPr="008220BF" w:rsidRDefault="00A34B7A" w:rsidP="00A34B7A">
      <w:pPr>
        <w:autoSpaceDE w:val="0"/>
        <w:autoSpaceDN w:val="0"/>
        <w:adjustRightInd w:val="0"/>
        <w:spacing w:line="360" w:lineRule="auto"/>
        <w:jc w:val="both"/>
        <w:rPr>
          <w:b/>
        </w:rPr>
      </w:pPr>
      <w:r w:rsidRPr="008220BF">
        <w:rPr>
          <w:b/>
        </w:rPr>
        <w:t>3.5- Estádio Isotópico Marinho MIS 5d- Entre 114 Ka e 110 Ka</w:t>
      </w:r>
      <w:r>
        <w:rPr>
          <w:b/>
        </w:rPr>
        <w:t>.</w:t>
      </w:r>
    </w:p>
    <w:p w:rsidR="00A34B7A" w:rsidRDefault="00A34B7A" w:rsidP="00A34B7A">
      <w:pPr>
        <w:autoSpaceDE w:val="0"/>
        <w:autoSpaceDN w:val="0"/>
        <w:adjustRightInd w:val="0"/>
        <w:spacing w:line="360" w:lineRule="auto"/>
        <w:jc w:val="both"/>
      </w:pPr>
    </w:p>
    <w:p w:rsidR="00A34B7A" w:rsidRPr="00B107C8" w:rsidRDefault="00A34B7A" w:rsidP="00A34B7A">
      <w:pPr>
        <w:autoSpaceDE w:val="0"/>
        <w:autoSpaceDN w:val="0"/>
        <w:adjustRightInd w:val="0"/>
        <w:spacing w:line="360" w:lineRule="auto"/>
        <w:ind w:firstLine="708"/>
        <w:jc w:val="both"/>
        <w:rPr>
          <w:i/>
        </w:rPr>
      </w:pPr>
      <w:r w:rsidRPr="00B107C8">
        <w:t xml:space="preserve">Os valores isotópicos elevados que sucedem </w:t>
      </w:r>
      <w:r>
        <w:t>a</w:t>
      </w:r>
      <w:r w:rsidRPr="00B107C8">
        <w:t xml:space="preserve">o Eemiano (subestádio 5d) são caracterizados por um aumento das espécies </w:t>
      </w:r>
      <w:r w:rsidRPr="00B107C8">
        <w:rPr>
          <w:i/>
        </w:rPr>
        <w:t>Brigantedinium</w:t>
      </w:r>
      <w:r w:rsidRPr="00B107C8">
        <w:t xml:space="preserve"> spp. </w:t>
      </w:r>
      <w:proofErr w:type="gramStart"/>
      <w:r w:rsidRPr="00B107C8">
        <w:t>e</w:t>
      </w:r>
      <w:proofErr w:type="gramEnd"/>
      <w:r w:rsidRPr="00B107C8">
        <w:t xml:space="preserve"> B, </w:t>
      </w:r>
      <w:r w:rsidRPr="00B107C8">
        <w:rPr>
          <w:i/>
        </w:rPr>
        <w:t xml:space="preserve">tepikiense, </w:t>
      </w:r>
      <w:r w:rsidRPr="00B107C8">
        <w:t xml:space="preserve">com diminuição das percentagens do outro taxão dominante </w:t>
      </w:r>
      <w:r w:rsidRPr="00B107C8">
        <w:rPr>
          <w:i/>
        </w:rPr>
        <w:t>L. machaerophorum.</w:t>
      </w:r>
      <w:r w:rsidRPr="00B107C8">
        <w:t xml:space="preserve"> São </w:t>
      </w:r>
      <w:r w:rsidRPr="00B107C8">
        <w:lastRenderedPageBreak/>
        <w:t>distinguíveis dois picos de</w:t>
      </w:r>
      <w:r w:rsidRPr="00B107C8">
        <w:rPr>
          <w:i/>
        </w:rPr>
        <w:t xml:space="preserve"> B. tepikiense – N. labyrinthus </w:t>
      </w:r>
      <w:r w:rsidRPr="00B107C8">
        <w:t>associados a um decréscimo nas percentagens de</w:t>
      </w:r>
      <w:r w:rsidRPr="00B107C8">
        <w:rPr>
          <w:i/>
        </w:rPr>
        <w:t xml:space="preserve"> Brigantedinium</w:t>
      </w:r>
      <w:r w:rsidRPr="00B107C8">
        <w:t xml:space="preserve"> spp. (Eynaud,</w:t>
      </w:r>
      <w:r>
        <w:t xml:space="preserve"> </w:t>
      </w:r>
      <w:r w:rsidRPr="00B107C8">
        <w:rPr>
          <w:i/>
        </w:rPr>
        <w:t>et al</w:t>
      </w:r>
      <w:r w:rsidRPr="00B107C8">
        <w:t xml:space="preserve">, 2000). Estes dados indiciam um arrefecimento das condições climatéricas uma vez que estas espécies são características de latitudes mais setentrionais. </w:t>
      </w:r>
    </w:p>
    <w:p w:rsidR="00A34B7A" w:rsidRDefault="00A34B7A" w:rsidP="00A34B7A">
      <w:pPr>
        <w:autoSpaceDE w:val="0"/>
        <w:autoSpaceDN w:val="0"/>
        <w:adjustRightInd w:val="0"/>
        <w:spacing w:line="360" w:lineRule="auto"/>
        <w:jc w:val="both"/>
        <w:rPr>
          <w:u w:val="single"/>
        </w:rPr>
      </w:pPr>
    </w:p>
    <w:p w:rsidR="00A34B7A" w:rsidRDefault="00A34B7A" w:rsidP="00A34B7A">
      <w:pPr>
        <w:autoSpaceDE w:val="0"/>
        <w:autoSpaceDN w:val="0"/>
        <w:adjustRightInd w:val="0"/>
        <w:spacing w:line="360" w:lineRule="auto"/>
        <w:jc w:val="both"/>
        <w:rPr>
          <w:u w:val="single"/>
        </w:rPr>
      </w:pPr>
    </w:p>
    <w:p w:rsidR="00A34B7A" w:rsidRPr="008220BF" w:rsidRDefault="00A34B7A" w:rsidP="00A34B7A">
      <w:pPr>
        <w:autoSpaceDE w:val="0"/>
        <w:autoSpaceDN w:val="0"/>
        <w:adjustRightInd w:val="0"/>
        <w:spacing w:line="360" w:lineRule="auto"/>
        <w:jc w:val="both"/>
        <w:rPr>
          <w:b/>
          <w:color w:val="FF0000"/>
        </w:rPr>
      </w:pPr>
      <w:r>
        <w:rPr>
          <w:b/>
        </w:rPr>
        <w:t xml:space="preserve">3.6- </w:t>
      </w:r>
      <w:r w:rsidRPr="008220BF">
        <w:rPr>
          <w:b/>
        </w:rPr>
        <w:t xml:space="preserve">Estádio Isotópico Marinho MIS 5c – </w:t>
      </w:r>
      <w:r>
        <w:rPr>
          <w:b/>
        </w:rPr>
        <w:t xml:space="preserve">entre 110 Ka </w:t>
      </w:r>
      <w:r w:rsidRPr="008220BF">
        <w:rPr>
          <w:b/>
        </w:rPr>
        <w:t>e 92 Ka</w:t>
      </w:r>
      <w:r>
        <w:rPr>
          <w:b/>
        </w:rPr>
        <w:t>.</w:t>
      </w:r>
    </w:p>
    <w:p w:rsidR="00A34B7A" w:rsidRDefault="00A34B7A" w:rsidP="00A34B7A">
      <w:pPr>
        <w:autoSpaceDE w:val="0"/>
        <w:autoSpaceDN w:val="0"/>
        <w:adjustRightInd w:val="0"/>
        <w:spacing w:line="360" w:lineRule="auto"/>
        <w:ind w:firstLine="708"/>
        <w:jc w:val="both"/>
        <w:rPr>
          <w:rFonts w:ascii="Palatino-Roman" w:hAnsi="Palatino-Roman" w:cs="Palatino-Roman"/>
        </w:rPr>
      </w:pPr>
    </w:p>
    <w:p w:rsidR="00A34B7A" w:rsidRDefault="00A34B7A" w:rsidP="00A34B7A">
      <w:pPr>
        <w:autoSpaceDE w:val="0"/>
        <w:autoSpaceDN w:val="0"/>
        <w:adjustRightInd w:val="0"/>
        <w:spacing w:line="360" w:lineRule="auto"/>
        <w:ind w:firstLine="708"/>
        <w:jc w:val="both"/>
      </w:pPr>
      <w:r w:rsidRPr="0002088C">
        <w:t>Este estádio isotópico</w:t>
      </w:r>
      <w:r>
        <w:t xml:space="preserve"> foi reconhecido em bio-estratigrafias recolhidas no extremo Noroeste da Península Ibérica em Area Longa (Gómez-Orellana </w:t>
      </w:r>
      <w:r w:rsidRPr="00AA7052">
        <w:rPr>
          <w:i/>
        </w:rPr>
        <w:t>et al</w:t>
      </w:r>
      <w:r>
        <w:t xml:space="preserve">, 2007). Este estádio caracteriza-se, nesta região, por uma paisagem arborizada caracterizada por uma grande quantidade de pólen de Q. </w:t>
      </w:r>
      <w:r w:rsidRPr="00421A35">
        <w:rPr>
          <w:i/>
        </w:rPr>
        <w:t>fagus</w:t>
      </w:r>
      <w:r>
        <w:t xml:space="preserve"> e com uma representação de </w:t>
      </w:r>
      <w:r>
        <w:rPr>
          <w:i/>
        </w:rPr>
        <w:t>P</w:t>
      </w:r>
      <w:r w:rsidRPr="00CD2F60">
        <w:rPr>
          <w:i/>
        </w:rPr>
        <w:t>inus</w:t>
      </w:r>
      <w:r>
        <w:t>,</w:t>
      </w:r>
      <w:r w:rsidRPr="00CD2F60">
        <w:rPr>
          <w:i/>
        </w:rPr>
        <w:t xml:space="preserve"> Picea</w:t>
      </w:r>
      <w:r w:rsidRPr="00CD2F60">
        <w:t xml:space="preserve">, </w:t>
      </w:r>
      <w:r w:rsidRPr="00CD2F60">
        <w:rPr>
          <w:i/>
        </w:rPr>
        <w:t xml:space="preserve">Abies </w:t>
      </w:r>
      <w:r w:rsidRPr="00CD2F60">
        <w:t>e</w:t>
      </w:r>
      <w:r w:rsidRPr="00CD2F60">
        <w:rPr>
          <w:i/>
        </w:rPr>
        <w:t xml:space="preserve"> Juniperus</w:t>
      </w:r>
      <w:r>
        <w:rPr>
          <w:rFonts w:ascii="AdvTT50a2f13e.I" w:hAnsi="AdvTT50a2f13e.I" w:cs="AdvTT50a2f13e.I"/>
          <w:sz w:val="20"/>
          <w:szCs w:val="20"/>
        </w:rPr>
        <w:t xml:space="preserve"> </w:t>
      </w:r>
      <w:r>
        <w:t xml:space="preserve">residual.  </w:t>
      </w:r>
    </w:p>
    <w:p w:rsidR="00A34B7A" w:rsidRPr="00670FF3" w:rsidRDefault="00A34B7A" w:rsidP="00A34B7A">
      <w:pPr>
        <w:autoSpaceDE w:val="0"/>
        <w:autoSpaceDN w:val="0"/>
        <w:adjustRightInd w:val="0"/>
        <w:spacing w:line="360" w:lineRule="auto"/>
        <w:jc w:val="both"/>
      </w:pPr>
      <w:r>
        <w:tab/>
        <w:t>O estudo palinológico da sondagem MD952042 revela, por seu lado, um domínio dos pólens de gymnospermas (</w:t>
      </w:r>
      <w:r w:rsidRPr="00055DB8">
        <w:rPr>
          <w:i/>
        </w:rPr>
        <w:t>Pinus, Cedrus, Cupresaceae e Abies</w:t>
      </w:r>
      <w:r>
        <w:t>) e também pólens típicos do mediterrânico (</w:t>
      </w:r>
      <w:r w:rsidRPr="00055DB8">
        <w:rPr>
          <w:i/>
        </w:rPr>
        <w:t>Olea, Phillyrea, Pistacia, e Ephedra</w:t>
      </w:r>
      <w:r>
        <w:t>) e até estépicas (</w:t>
      </w:r>
      <w:r w:rsidRPr="00055DB8">
        <w:rPr>
          <w:i/>
        </w:rPr>
        <w:t>Artemisia</w:t>
      </w:r>
      <w:r>
        <w:t xml:space="preserve"> e </w:t>
      </w:r>
      <w:r>
        <w:rPr>
          <w:i/>
        </w:rPr>
        <w:t>C</w:t>
      </w:r>
      <w:r w:rsidRPr="00055DB8">
        <w:rPr>
          <w:i/>
        </w:rPr>
        <w:t>henopodiaceae</w:t>
      </w:r>
      <w:r>
        <w:t xml:space="preserve">) (Sanchez Goni </w:t>
      </w:r>
      <w:r>
        <w:rPr>
          <w:i/>
        </w:rPr>
        <w:t>et al</w:t>
      </w:r>
      <w:r>
        <w:t xml:space="preserve">, 1999; Sanchez Goni </w:t>
      </w:r>
      <w:r>
        <w:rPr>
          <w:i/>
        </w:rPr>
        <w:t>et al</w:t>
      </w:r>
      <w:r>
        <w:t xml:space="preserve">, 2005). Sendo este registo característico do centro e sul da Península Ibérica, verifica-se uma diferença em termos do coberto vegetal entre o Norte e o Sul. </w:t>
      </w:r>
    </w:p>
    <w:p w:rsidR="00A34B7A" w:rsidRDefault="00A34B7A" w:rsidP="00A34B7A">
      <w:pPr>
        <w:autoSpaceDE w:val="0"/>
        <w:autoSpaceDN w:val="0"/>
        <w:adjustRightInd w:val="0"/>
        <w:spacing w:line="360" w:lineRule="auto"/>
        <w:jc w:val="both"/>
        <w:rPr>
          <w:u w:val="single"/>
        </w:rPr>
      </w:pPr>
    </w:p>
    <w:p w:rsidR="00A34B7A" w:rsidRDefault="00A34B7A" w:rsidP="00A34B7A">
      <w:pPr>
        <w:autoSpaceDE w:val="0"/>
        <w:autoSpaceDN w:val="0"/>
        <w:adjustRightInd w:val="0"/>
        <w:spacing w:line="360" w:lineRule="auto"/>
        <w:jc w:val="both"/>
        <w:rPr>
          <w:u w:val="single"/>
        </w:rPr>
      </w:pPr>
    </w:p>
    <w:p w:rsidR="00A34B7A" w:rsidRPr="008220BF" w:rsidRDefault="00A34B7A" w:rsidP="00A34B7A">
      <w:pPr>
        <w:autoSpaceDE w:val="0"/>
        <w:autoSpaceDN w:val="0"/>
        <w:adjustRightInd w:val="0"/>
        <w:spacing w:line="360" w:lineRule="auto"/>
        <w:jc w:val="both"/>
        <w:rPr>
          <w:b/>
          <w:color w:val="FF0000"/>
        </w:rPr>
      </w:pPr>
      <w:r>
        <w:rPr>
          <w:b/>
        </w:rPr>
        <w:t xml:space="preserve">3.7- </w:t>
      </w:r>
      <w:r w:rsidRPr="008220BF">
        <w:rPr>
          <w:b/>
        </w:rPr>
        <w:t>Estádio Isotópico Marinho MIS 5b – Entre 92 e 88 Ka</w:t>
      </w:r>
    </w:p>
    <w:p w:rsidR="00A34B7A" w:rsidRDefault="00A34B7A" w:rsidP="00A34B7A">
      <w:pPr>
        <w:autoSpaceDE w:val="0"/>
        <w:autoSpaceDN w:val="0"/>
        <w:adjustRightInd w:val="0"/>
        <w:spacing w:line="360" w:lineRule="auto"/>
        <w:jc w:val="both"/>
        <w:rPr>
          <w:rFonts w:ascii="Palatino-Roman" w:hAnsi="Palatino-Roman" w:cs="Palatino-Roman"/>
        </w:rPr>
      </w:pPr>
    </w:p>
    <w:p w:rsidR="00A34B7A" w:rsidRPr="00617D9C" w:rsidRDefault="00A34B7A" w:rsidP="00A34B7A">
      <w:pPr>
        <w:autoSpaceDE w:val="0"/>
        <w:autoSpaceDN w:val="0"/>
        <w:adjustRightInd w:val="0"/>
        <w:spacing w:line="360" w:lineRule="auto"/>
        <w:ind w:firstLine="708"/>
        <w:jc w:val="both"/>
        <w:rPr>
          <w:color w:val="C00000"/>
        </w:rPr>
      </w:pPr>
      <w:r w:rsidRPr="00617D9C">
        <w:t xml:space="preserve">O subestádio 5b é caracterizado pela ocorrência máxima de </w:t>
      </w:r>
      <w:r w:rsidRPr="00617D9C">
        <w:rPr>
          <w:i/>
          <w:iCs/>
        </w:rPr>
        <w:t xml:space="preserve">B. tepikiense </w:t>
      </w:r>
      <w:r w:rsidRPr="00617D9C">
        <w:rPr>
          <w:iCs/>
        </w:rPr>
        <w:t>relacionado com um aumento nos valores de δ</w:t>
      </w:r>
      <w:r w:rsidRPr="00617D9C">
        <w:rPr>
          <w:iCs/>
          <w:sz w:val="20"/>
          <w:szCs w:val="20"/>
        </w:rPr>
        <w:t>18</w:t>
      </w:r>
      <w:r w:rsidRPr="00617D9C">
        <w:rPr>
          <w:iCs/>
        </w:rPr>
        <w:t>O. As concentrações de</w:t>
      </w:r>
      <w:r>
        <w:rPr>
          <w:iCs/>
        </w:rPr>
        <w:t xml:space="preserve"> dinócitos caem</w:t>
      </w:r>
      <w:r w:rsidRPr="00617D9C">
        <w:rPr>
          <w:iCs/>
        </w:rPr>
        <w:t xml:space="preserve"> abruptamente neste nível do registo e ma</w:t>
      </w:r>
      <w:r>
        <w:rPr>
          <w:iCs/>
        </w:rPr>
        <w:t>nté</w:t>
      </w:r>
      <w:r w:rsidRPr="00617D9C">
        <w:rPr>
          <w:iCs/>
        </w:rPr>
        <w:t>m-se baix</w:t>
      </w:r>
      <w:r>
        <w:rPr>
          <w:iCs/>
        </w:rPr>
        <w:t>as</w:t>
      </w:r>
      <w:r w:rsidRPr="00617D9C">
        <w:rPr>
          <w:iCs/>
        </w:rPr>
        <w:t xml:space="preserve"> na parte superior desta sequência </w:t>
      </w:r>
      <w:r w:rsidRPr="00617D9C">
        <w:t xml:space="preserve">(Eynaud, </w:t>
      </w:r>
      <w:r w:rsidRPr="00617D9C">
        <w:rPr>
          <w:i/>
        </w:rPr>
        <w:t>et al</w:t>
      </w:r>
      <w:r w:rsidRPr="00617D9C">
        <w:t>, 2000).</w:t>
      </w:r>
      <w:r>
        <w:rPr>
          <w:color w:val="C00000"/>
        </w:rPr>
        <w:t xml:space="preserve"> </w:t>
      </w:r>
      <w:r w:rsidRPr="00A53D6B">
        <w:t>Este estádio corresponde</w:t>
      </w:r>
      <w:r>
        <w:t>, por isso,</w:t>
      </w:r>
      <w:r w:rsidRPr="00A53D6B">
        <w:t xml:space="preserve"> a</w:t>
      </w:r>
      <w:r>
        <w:t xml:space="preserve"> mais um arrefecimento do clima.</w:t>
      </w:r>
    </w:p>
    <w:p w:rsidR="00A34B7A" w:rsidRDefault="00A34B7A" w:rsidP="00A34B7A">
      <w:pPr>
        <w:autoSpaceDE w:val="0"/>
        <w:autoSpaceDN w:val="0"/>
        <w:adjustRightInd w:val="0"/>
        <w:spacing w:line="360" w:lineRule="auto"/>
        <w:jc w:val="both"/>
        <w:rPr>
          <w:u w:val="single"/>
        </w:rPr>
      </w:pPr>
    </w:p>
    <w:p w:rsidR="00A34B7A" w:rsidRPr="00A53D6B" w:rsidRDefault="00A34B7A" w:rsidP="00A34B7A">
      <w:pPr>
        <w:autoSpaceDE w:val="0"/>
        <w:autoSpaceDN w:val="0"/>
        <w:adjustRightInd w:val="0"/>
        <w:spacing w:line="360" w:lineRule="auto"/>
        <w:jc w:val="both"/>
        <w:rPr>
          <w:u w:val="single"/>
        </w:rPr>
      </w:pPr>
    </w:p>
    <w:p w:rsidR="00A34B7A" w:rsidRPr="008220BF" w:rsidRDefault="00A34B7A" w:rsidP="00A34B7A">
      <w:pPr>
        <w:autoSpaceDE w:val="0"/>
        <w:autoSpaceDN w:val="0"/>
        <w:adjustRightInd w:val="0"/>
        <w:spacing w:line="360" w:lineRule="auto"/>
        <w:jc w:val="both"/>
        <w:rPr>
          <w:b/>
        </w:rPr>
      </w:pPr>
      <w:r>
        <w:rPr>
          <w:b/>
        </w:rPr>
        <w:t xml:space="preserve">3.8- </w:t>
      </w:r>
      <w:r w:rsidRPr="008220BF">
        <w:rPr>
          <w:b/>
        </w:rPr>
        <w:t>Estádio Isotópico Marinho MIS 5a – Entre 88 ka e 78 Ka</w:t>
      </w:r>
    </w:p>
    <w:p w:rsidR="00A34B7A" w:rsidRDefault="00A34B7A" w:rsidP="00A34B7A">
      <w:pPr>
        <w:autoSpaceDE w:val="0"/>
        <w:autoSpaceDN w:val="0"/>
        <w:adjustRightInd w:val="0"/>
        <w:spacing w:line="360" w:lineRule="auto"/>
        <w:jc w:val="both"/>
        <w:rPr>
          <w:rFonts w:ascii="Palatino-Roman" w:hAnsi="Palatino-Roman" w:cs="Palatino-Roman"/>
        </w:rPr>
      </w:pPr>
    </w:p>
    <w:p w:rsidR="00A34B7A" w:rsidRPr="00BC2A41" w:rsidRDefault="00A34B7A" w:rsidP="00A34B7A">
      <w:pPr>
        <w:autoSpaceDE w:val="0"/>
        <w:autoSpaceDN w:val="0"/>
        <w:adjustRightInd w:val="0"/>
        <w:spacing w:line="360" w:lineRule="auto"/>
        <w:ind w:firstLine="708"/>
        <w:jc w:val="both"/>
        <w:rPr>
          <w:rFonts w:ascii="Palatino-Roman" w:hAnsi="Palatino-Roman" w:cs="Palatino-Roman"/>
        </w:rPr>
      </w:pPr>
      <w:r>
        <w:rPr>
          <w:rFonts w:ascii="Palatino-Roman" w:hAnsi="Palatino-Roman" w:cs="Palatino-Roman"/>
        </w:rPr>
        <w:t xml:space="preserve">O diagrama polínico recolhido no depósito de La Franca pode enquadrar-se na parte final dos interestádios pré-wurmense. Apresenta percentagens de </w:t>
      </w:r>
      <w:r w:rsidRPr="008B0316">
        <w:rPr>
          <w:rFonts w:ascii="Palatino-Roman" w:hAnsi="Palatino-Roman" w:cs="Palatino-Roman"/>
          <w:i/>
        </w:rPr>
        <w:t>Fagus</w:t>
      </w:r>
      <w:r>
        <w:rPr>
          <w:rFonts w:ascii="Palatino-Roman" w:hAnsi="Palatino-Roman" w:cs="Palatino-Roman"/>
        </w:rPr>
        <w:t xml:space="preserve"> inferiores </w:t>
      </w:r>
      <w:r>
        <w:rPr>
          <w:rFonts w:ascii="Palatino-Roman" w:hAnsi="Palatino-Roman" w:cs="Palatino-Roman"/>
        </w:rPr>
        <w:lastRenderedPageBreak/>
        <w:t xml:space="preserve">a 3 % e uma representação mais pobre, quando relacionada com Area Longa, de outros elementos mesófilos e termófilos. Verifica-se, neste nível, a ausência de </w:t>
      </w:r>
      <w:r w:rsidRPr="008B0316">
        <w:rPr>
          <w:rFonts w:ascii="Palatino-Roman" w:hAnsi="Palatino-Roman" w:cs="Palatino-Roman"/>
          <w:i/>
        </w:rPr>
        <w:t>Tilia, Juglans, Castanea, Acer, Quercus ilex</w:t>
      </w:r>
      <w:r>
        <w:rPr>
          <w:rFonts w:ascii="Palatino-Roman" w:hAnsi="Palatino-Roman" w:cs="Palatino-Roman"/>
        </w:rPr>
        <w:t xml:space="preserve"> e uma menor importância de </w:t>
      </w:r>
      <w:r w:rsidRPr="008B0316">
        <w:rPr>
          <w:rFonts w:ascii="Palatino-Roman" w:hAnsi="Palatino-Roman" w:cs="Palatino-Roman"/>
          <w:i/>
        </w:rPr>
        <w:t>Quercus robur</w:t>
      </w:r>
      <w:r>
        <w:rPr>
          <w:rFonts w:ascii="Palatino-Roman" w:hAnsi="Palatino-Roman" w:cs="Palatino-Roman"/>
        </w:rPr>
        <w:t xml:space="preserve"> e </w:t>
      </w:r>
      <w:r w:rsidRPr="008B0316">
        <w:rPr>
          <w:rFonts w:ascii="Palatino-Roman" w:hAnsi="Palatino-Roman" w:cs="Palatino-Roman"/>
          <w:i/>
        </w:rPr>
        <w:t>Carpinus</w:t>
      </w:r>
      <w:r>
        <w:rPr>
          <w:rFonts w:ascii="Palatino-Roman" w:hAnsi="Palatino-Roman" w:cs="Palatino-Roman"/>
        </w:rPr>
        <w:t xml:space="preserve">, o que sugere condições ambientais mais frias do que o OIS 5c (Iriarte </w:t>
      </w:r>
      <w:r>
        <w:rPr>
          <w:rFonts w:ascii="Palatino-Roman" w:hAnsi="Palatino-Roman" w:cs="Palatino-Roman"/>
          <w:i/>
        </w:rPr>
        <w:t xml:space="preserve">et </w:t>
      </w:r>
      <w:proofErr w:type="gramStart"/>
      <w:r>
        <w:rPr>
          <w:rFonts w:ascii="Palatino-Roman" w:hAnsi="Palatino-Roman" w:cs="Palatino-Roman"/>
          <w:i/>
        </w:rPr>
        <w:t>al</w:t>
      </w:r>
      <w:r>
        <w:rPr>
          <w:rFonts w:ascii="Palatino-Roman" w:hAnsi="Palatino-Roman" w:cs="Palatino-Roman"/>
        </w:rPr>
        <w:t xml:space="preserve"> ,</w:t>
      </w:r>
      <w:proofErr w:type="gramEnd"/>
      <w:r>
        <w:rPr>
          <w:rFonts w:ascii="Palatino-Roman" w:hAnsi="Palatino-Roman" w:cs="Palatino-Roman"/>
        </w:rPr>
        <w:t xml:space="preserve"> 2005). </w:t>
      </w:r>
    </w:p>
    <w:p w:rsidR="00A34B7A" w:rsidRDefault="00A34B7A" w:rsidP="00A34B7A">
      <w:pPr>
        <w:autoSpaceDE w:val="0"/>
        <w:autoSpaceDN w:val="0"/>
        <w:adjustRightInd w:val="0"/>
        <w:spacing w:line="360" w:lineRule="auto"/>
        <w:jc w:val="both"/>
        <w:rPr>
          <w:bCs/>
        </w:rPr>
      </w:pPr>
    </w:p>
    <w:p w:rsidR="00A34B7A" w:rsidRDefault="00A34B7A" w:rsidP="00A34B7A">
      <w:pPr>
        <w:autoSpaceDE w:val="0"/>
        <w:autoSpaceDN w:val="0"/>
        <w:adjustRightInd w:val="0"/>
        <w:spacing w:line="360" w:lineRule="auto"/>
        <w:jc w:val="both"/>
        <w:rPr>
          <w:bCs/>
        </w:rPr>
      </w:pPr>
    </w:p>
    <w:p w:rsidR="00A34B7A" w:rsidRPr="008220BF" w:rsidRDefault="00A34B7A" w:rsidP="00A34B7A">
      <w:pPr>
        <w:autoSpaceDE w:val="0"/>
        <w:autoSpaceDN w:val="0"/>
        <w:adjustRightInd w:val="0"/>
        <w:spacing w:line="360" w:lineRule="auto"/>
        <w:jc w:val="both"/>
        <w:rPr>
          <w:b/>
          <w:color w:val="FF0000"/>
        </w:rPr>
      </w:pPr>
      <w:r>
        <w:rPr>
          <w:b/>
        </w:rPr>
        <w:t xml:space="preserve">3.9- </w:t>
      </w:r>
      <w:r w:rsidRPr="008220BF">
        <w:rPr>
          <w:b/>
        </w:rPr>
        <w:t xml:space="preserve">Estádio Isotópico Marinho MIS 4- </w:t>
      </w:r>
      <w:r>
        <w:rPr>
          <w:b/>
        </w:rPr>
        <w:t>Entre 74 e</w:t>
      </w:r>
      <w:r w:rsidRPr="008220BF">
        <w:rPr>
          <w:b/>
        </w:rPr>
        <w:t xml:space="preserve"> 60 Ka</w: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rPr>
          <w:rFonts w:ascii="Palatino-Roman" w:hAnsi="Palatino-Roman" w:cs="Palatino-Roman"/>
        </w:rPr>
      </w:pPr>
      <w:r w:rsidRPr="00670FF3">
        <w:t xml:space="preserve">O estádio isotópico </w:t>
      </w:r>
      <w:r>
        <w:t xml:space="preserve">MIS 4 caracteriza-se por um arrefecimento claro por toda a Europa, dominando vegetações abertas nomeadamente </w:t>
      </w:r>
      <w:r w:rsidRPr="00055DB8">
        <w:rPr>
          <w:i/>
        </w:rPr>
        <w:t>Poaceae</w:t>
      </w:r>
      <w:r>
        <w:t xml:space="preserve">, </w:t>
      </w:r>
      <w:r w:rsidRPr="00055DB8">
        <w:rPr>
          <w:i/>
        </w:rPr>
        <w:t>Artemisia</w:t>
      </w:r>
      <w:r>
        <w:t xml:space="preserve"> e </w:t>
      </w:r>
      <w:r w:rsidRPr="00055DB8">
        <w:rPr>
          <w:i/>
        </w:rPr>
        <w:t>Chenopodiaceae</w:t>
      </w:r>
      <w:r>
        <w:t xml:space="preserve">. Contrastando com estes dados, na zona de Area Longa, por esta altura, não se identificam sinais de vegetação árida de estepes nem a presença de coníferas. Pelo contrário aparecem percentagens complementares de </w:t>
      </w:r>
      <w:r w:rsidRPr="00055DB8">
        <w:rPr>
          <w:i/>
        </w:rPr>
        <w:t>Erica</w:t>
      </w:r>
      <w:r>
        <w:t xml:space="preserve">, </w:t>
      </w:r>
      <w:r w:rsidRPr="00055DB8">
        <w:rPr>
          <w:i/>
        </w:rPr>
        <w:t>Calluna</w:t>
      </w:r>
      <w:r>
        <w:t xml:space="preserve"> e </w:t>
      </w:r>
      <w:r w:rsidRPr="00055DB8">
        <w:rPr>
          <w:i/>
        </w:rPr>
        <w:t>Pocaea</w:t>
      </w:r>
      <w:r>
        <w:t xml:space="preserve"> que indiciam que prados temperados e de clima quente se foram alternando como tipos de vegetação predominante ao longo deste período (</w:t>
      </w:r>
      <w:r w:rsidRPr="00BA36F2">
        <w:t xml:space="preserve">Gomez-Orellana </w:t>
      </w:r>
      <w:r>
        <w:rPr>
          <w:i/>
        </w:rPr>
        <w:t>et al</w:t>
      </w:r>
      <w:r>
        <w:t xml:space="preserve">, </w:t>
      </w:r>
      <w:r w:rsidRPr="00BA36F2">
        <w:t>2007)</w:t>
      </w:r>
      <w:r>
        <w:t xml:space="preserve">. Estes dados podem ser interpretados como indicadores que, não obstante o Noroeste da Península Ibérica possa ter sido afectado pelo arrefecimento global durante o OIS 4, o seu clima continuou relativamente húmido, pelo menos junto ao mar. Para além disso, a persistência de um número de </w:t>
      </w:r>
      <w:r w:rsidRPr="00EF4CC0">
        <w:rPr>
          <w:i/>
        </w:rPr>
        <w:t>taxa</w:t>
      </w:r>
      <w:r>
        <w:t xml:space="preserve"> de árvores termófilas e mesófilas (</w:t>
      </w:r>
      <w:r w:rsidRPr="00055DB8">
        <w:rPr>
          <w:i/>
        </w:rPr>
        <w:t>Picea, Q. robur, Corylys, Fagus, Carpinus, Ulmus e Ilex</w:t>
      </w:r>
      <w:r>
        <w:t>) sugere fortemente que nesta área permaneceram bolsas que permitiram a sobrevivência de espécies menos resistentes ao frio (</w:t>
      </w:r>
      <w:r w:rsidRPr="00BA36F2">
        <w:t xml:space="preserve">Gomez-Orellana </w:t>
      </w:r>
      <w:r>
        <w:rPr>
          <w:i/>
        </w:rPr>
        <w:t>et al</w:t>
      </w:r>
      <w:r>
        <w:t xml:space="preserve">, </w:t>
      </w:r>
      <w:r w:rsidRPr="00BA36F2">
        <w:t>2007)</w:t>
      </w:r>
      <w:r>
        <w:t xml:space="preserve">. Este panorama pode ter sido diferente nos territórios litorais e sub-litorais Cantábro-atlanticos, onde os elementos crioxéricos escasseiam ao longo de toda esta fase estadial. Estas diferenças parecem coerentes com as reconstruções da frente polar e do gelo oceânico realizadas para esta fase que terão condicionado uma repartição muito desigual da humidade: ambientes frios e húmidos nos territórios costeiros da fachada atlântica meridional e o predomínio de condições crioxéricas nas grandes planícies e depressões interiores (Iriarte </w:t>
      </w:r>
      <w:r>
        <w:rPr>
          <w:i/>
        </w:rPr>
        <w:t>et al</w:t>
      </w:r>
      <w:r>
        <w:t xml:space="preserve">, 2005). </w:t>
      </w:r>
    </w:p>
    <w:p w:rsidR="00A34B7A" w:rsidRPr="0025580B" w:rsidRDefault="00A34B7A" w:rsidP="00A34B7A">
      <w:pPr>
        <w:autoSpaceDE w:val="0"/>
        <w:autoSpaceDN w:val="0"/>
        <w:adjustRightInd w:val="0"/>
        <w:spacing w:line="360" w:lineRule="auto"/>
        <w:jc w:val="both"/>
      </w:pPr>
      <w:r w:rsidRPr="00E552C2">
        <w:rPr>
          <w:bCs/>
        </w:rPr>
        <w:t xml:space="preserve">A inspecção visual dos registos recolhidos na amostra </w:t>
      </w:r>
      <w:r>
        <w:t xml:space="preserve">MD952042 permitiu </w:t>
      </w:r>
      <w:r>
        <w:rPr>
          <w:bCs/>
        </w:rPr>
        <w:t>v</w:t>
      </w:r>
      <w:r w:rsidRPr="00E552C2">
        <w:rPr>
          <w:bCs/>
        </w:rPr>
        <w:t>erific</w:t>
      </w:r>
      <w:r>
        <w:rPr>
          <w:bCs/>
        </w:rPr>
        <w:t>ar</w:t>
      </w:r>
      <w:r w:rsidRPr="00E552C2">
        <w:rPr>
          <w:bCs/>
        </w:rPr>
        <w:t xml:space="preserve"> que </w:t>
      </w:r>
      <w:r>
        <w:rPr>
          <w:bCs/>
        </w:rPr>
        <w:t xml:space="preserve">existe uma relação na variação do δ18O planctónico e o regime de fogos (Daniau </w:t>
      </w:r>
      <w:r w:rsidRPr="00AA7052">
        <w:rPr>
          <w:bCs/>
          <w:i/>
        </w:rPr>
        <w:t>et al</w:t>
      </w:r>
      <w:r>
        <w:rPr>
          <w:bCs/>
        </w:rPr>
        <w:t xml:space="preserve">, 2007). Uma fraca actividade em termos de fogos está associada a grandes anomalias de δ18O durante estádios, enquanto uma grande actividade de incêndios com fracas anomalias de δ18O ocorre durante os interestádios. Com base nessa ilação, foi possível relacionar os regimes de fogos e as variações climáticas no Sudoeste da península </w:t>
      </w:r>
      <w:r>
        <w:rPr>
          <w:bCs/>
        </w:rPr>
        <w:lastRenderedPageBreak/>
        <w:t xml:space="preserve">ibérica </w:t>
      </w:r>
      <w:r>
        <w:rPr>
          <w:rFonts w:ascii="Palatino-Roman" w:hAnsi="Palatino-Roman" w:cs="Palatino-Roman"/>
        </w:rPr>
        <w:t xml:space="preserve">durante o último período glaciar (70-14 Ka). </w:t>
      </w:r>
      <w:r>
        <w:rPr>
          <w:bCs/>
        </w:rPr>
        <w:t xml:space="preserve">Também nos registos glaciares esta tendência é visível, no entanto com um contraste importante. Enquanto o aumento de δ18O é abrupto, o aumento da actividade de fogos progride gradualmente. </w:t>
      </w:r>
    </w:p>
    <w:p w:rsidR="00A34B7A" w:rsidRDefault="00A34B7A" w:rsidP="00A34B7A">
      <w:pPr>
        <w:autoSpaceDE w:val="0"/>
        <w:autoSpaceDN w:val="0"/>
        <w:adjustRightInd w:val="0"/>
        <w:spacing w:line="360" w:lineRule="auto"/>
        <w:jc w:val="both"/>
        <w:rPr>
          <w:bCs/>
        </w:rPr>
      </w:pPr>
      <w:r>
        <w:rPr>
          <w:rFonts w:ascii="Palatino-Roman" w:hAnsi="Palatino-Roman" w:cs="Palatino-Roman"/>
        </w:rPr>
        <w:t xml:space="preserve">No OIS 4 verificou-se um período caracterizado por um menor número de fogos no final deste episódio </w:t>
      </w:r>
      <w:r w:rsidRPr="0025580B">
        <w:t>(62.8-59.6 ka</w:t>
      </w:r>
      <w:r>
        <w:t>)</w:t>
      </w:r>
      <w:r w:rsidRPr="00DF140D">
        <w:rPr>
          <w:bCs/>
        </w:rPr>
        <w:t xml:space="preserve"> </w:t>
      </w:r>
      <w:r>
        <w:rPr>
          <w:bCs/>
        </w:rPr>
        <w:t xml:space="preserve">que </w:t>
      </w:r>
      <w:r>
        <w:t xml:space="preserve">corresponde a eventos de Heinrich </w:t>
      </w:r>
      <w:r>
        <w:rPr>
          <w:bCs/>
        </w:rPr>
        <w:t xml:space="preserve">(Daniau </w:t>
      </w:r>
      <w:r w:rsidRPr="00AA7052">
        <w:rPr>
          <w:bCs/>
          <w:i/>
        </w:rPr>
        <w:t>et al</w:t>
      </w:r>
      <w:r>
        <w:rPr>
          <w:bCs/>
        </w:rPr>
        <w:t xml:space="preserve">, 2007). </w:t>
      </w:r>
    </w:p>
    <w:p w:rsidR="00A34B7A" w:rsidRPr="00E552C2" w:rsidRDefault="00A34B7A" w:rsidP="00A34B7A">
      <w:pPr>
        <w:autoSpaceDE w:val="0"/>
        <w:autoSpaceDN w:val="0"/>
        <w:adjustRightInd w:val="0"/>
        <w:spacing w:line="360" w:lineRule="auto"/>
        <w:ind w:firstLine="708"/>
        <w:jc w:val="both"/>
        <w:rPr>
          <w:bCs/>
        </w:rPr>
      </w:pPr>
      <w:r>
        <w:rPr>
          <w:bCs/>
        </w:rPr>
        <w:t xml:space="preserve">As reconstruções vegetais integradas mostram as mesmas características gerais dos DO (Dansgaard-Oeschger) 18,19 e 20 diferentes dos outros DO: os interestadiais correspondem a um incremento das espécies temperadas enquanto os estádios correspondem a um aumento das espécies semidesérticas (Landais </w:t>
      </w:r>
      <w:r w:rsidRPr="00AA7052">
        <w:rPr>
          <w:bCs/>
          <w:i/>
        </w:rPr>
        <w:t>et al</w:t>
      </w:r>
      <w:r>
        <w:rPr>
          <w:bCs/>
        </w:rPr>
        <w:t xml:space="preserve"> 2007). </w:t>
      </w:r>
    </w:p>
    <w:p w:rsidR="00A34B7A" w:rsidRDefault="00A34B7A" w:rsidP="00A34B7A">
      <w:pPr>
        <w:autoSpaceDE w:val="0"/>
        <w:autoSpaceDN w:val="0"/>
        <w:adjustRightInd w:val="0"/>
        <w:spacing w:line="360" w:lineRule="auto"/>
        <w:jc w:val="both"/>
        <w:rPr>
          <w:u w:val="single"/>
        </w:rPr>
      </w:pPr>
    </w:p>
    <w:p w:rsidR="00A34B7A" w:rsidRPr="00E37C94" w:rsidRDefault="00A34B7A" w:rsidP="00A34B7A">
      <w:pPr>
        <w:autoSpaceDE w:val="0"/>
        <w:autoSpaceDN w:val="0"/>
        <w:adjustRightInd w:val="0"/>
        <w:spacing w:line="360" w:lineRule="auto"/>
        <w:jc w:val="both"/>
        <w:rPr>
          <w:u w:val="single"/>
        </w:rPr>
      </w:pPr>
    </w:p>
    <w:p w:rsidR="00A34B7A" w:rsidRPr="008220BF" w:rsidRDefault="00A34B7A" w:rsidP="00A34B7A">
      <w:pPr>
        <w:autoSpaceDE w:val="0"/>
        <w:autoSpaceDN w:val="0"/>
        <w:adjustRightInd w:val="0"/>
        <w:spacing w:line="360" w:lineRule="auto"/>
        <w:jc w:val="both"/>
        <w:rPr>
          <w:b/>
          <w:color w:val="FF0000"/>
        </w:rPr>
      </w:pPr>
      <w:r>
        <w:rPr>
          <w:b/>
        </w:rPr>
        <w:t xml:space="preserve">3.10- </w:t>
      </w:r>
      <w:r w:rsidRPr="008220BF">
        <w:rPr>
          <w:b/>
        </w:rPr>
        <w:t>Estádio Isotópico Marinho MIS 3- Entre 60 e 25 Ka</w: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rsidRPr="0041007A">
        <w:t xml:space="preserve">Durante o OIS 3 </w:t>
      </w:r>
      <w:r>
        <w:t>o registo palinológico de Area Longa revela a presença de três momentos temperados. O primeiro desses momentos de expansão de florestas (Fazouro I) começou antes de 42 ka BP e tendo em conta a grande proporção de pólen arbóreo e o domínio de Quercus de folha caduca, deve ter sido o subperíodo mais quente do OIS 3 (</w:t>
      </w:r>
      <w:r w:rsidRPr="00BA36F2">
        <w:t xml:space="preserve">Gomez-Orellana </w:t>
      </w:r>
      <w:r>
        <w:rPr>
          <w:i/>
        </w:rPr>
        <w:t>et al</w:t>
      </w:r>
      <w:r>
        <w:t xml:space="preserve">, </w:t>
      </w:r>
      <w:r w:rsidRPr="00BA36F2">
        <w:t>2007)</w:t>
      </w:r>
      <w:r>
        <w:t xml:space="preserve">. A segunda fase temperada (Fazouro II) parece ter sido menos arborizada e mais fria, sendo o pólen de bétula dominante. Finalmente, por volta de 35 ka BP predomina novamente o Quercus caducifólio, reflectindo um clima, associado ao declínio das </w:t>
      </w:r>
      <w:r w:rsidRPr="00055DB8">
        <w:rPr>
          <w:i/>
        </w:rPr>
        <w:t>Pocaea</w:t>
      </w:r>
      <w:r>
        <w:t>, que poderá ter sido mais quente ainda que o primeiro subperiodo anteriormente descrito. Este aquecimento do clima também aparece na sequência Oia localizada na costa Atlântica da Península, com o nome Baixo Miño. Este episódio, que apresenta uma ainda mais marcada presença de floresta caducifólia, foi datado por C14 com 34, 25 ka BP (</w:t>
      </w:r>
      <w:r w:rsidRPr="00BA36F2">
        <w:t xml:space="preserve">Gomez-Orellana </w:t>
      </w:r>
      <w:r>
        <w:rPr>
          <w:i/>
        </w:rPr>
        <w:t>et al</w:t>
      </w:r>
      <w:r>
        <w:t xml:space="preserve">, </w:t>
      </w:r>
      <w:r w:rsidRPr="00BA36F2">
        <w:t>2007)</w:t>
      </w:r>
      <w:r>
        <w:t xml:space="preserve">. Os períodos mais frios (Xistral I, II e III) precedendo estes subperíodos mais amenos (Fazouro I, II e Baixo Miño), revelam a predominância de pradarias temperadas. Apenas o último período mais quente foi antecedido por condições mais agrestes indiciadas pela predominância de </w:t>
      </w:r>
      <w:r w:rsidRPr="00055DB8">
        <w:rPr>
          <w:i/>
        </w:rPr>
        <w:t>Poaceae</w:t>
      </w:r>
      <w:r>
        <w:t xml:space="preserve">. </w:t>
      </w:r>
      <w:r w:rsidRPr="00DC2C14">
        <w:t>Estes ciclos de flutuações de menor escala</w:t>
      </w:r>
      <w:r>
        <w:t>,</w:t>
      </w:r>
      <w:r w:rsidRPr="00DC2C14">
        <w:t xml:space="preserve"> </w:t>
      </w:r>
      <w:r>
        <w:t xml:space="preserve">verificados no Noroeste da Península, podem ser correlacionados com os registos glaciares de eventos de Heinrich e ciclos de Dansgaard-Oeschger. </w:t>
      </w:r>
    </w:p>
    <w:p w:rsidR="00A34B7A" w:rsidRPr="0080270D" w:rsidRDefault="00A34B7A" w:rsidP="00F97B11">
      <w:pPr>
        <w:autoSpaceDE w:val="0"/>
        <w:autoSpaceDN w:val="0"/>
        <w:adjustRightInd w:val="0"/>
        <w:spacing w:line="360" w:lineRule="auto"/>
        <w:ind w:firstLine="708"/>
        <w:jc w:val="both"/>
        <w:rPr>
          <w:bCs/>
        </w:rPr>
      </w:pPr>
      <w:r>
        <w:t xml:space="preserve">Quando se atenta ao regime de fogos identificados nos </w:t>
      </w:r>
      <w:r w:rsidRPr="00E552C2">
        <w:rPr>
          <w:bCs/>
        </w:rPr>
        <w:t xml:space="preserve">registos recolhidos na amostra </w:t>
      </w:r>
      <w:r>
        <w:t xml:space="preserve">MD952042 verificam-se quatro momentos mais frios (eventos de Heinrich). De </w:t>
      </w:r>
      <w:r>
        <w:lastRenderedPageBreak/>
        <w:t xml:space="preserve">facto presencia-se </w:t>
      </w:r>
      <w:r>
        <w:rPr>
          <w:bCs/>
        </w:rPr>
        <w:t xml:space="preserve">uma actividade de incêndios mais baixa em quatro ocasiões: </w:t>
      </w:r>
      <w:r w:rsidRPr="0025580B">
        <w:t>48.8-46.4 ka; 40-38.5 ka; 30.7-28.9 ka; 25.2-23.3)</w:t>
      </w:r>
      <w:r>
        <w:t xml:space="preserve"> </w:t>
      </w:r>
      <w:r>
        <w:rPr>
          <w:bCs/>
        </w:rPr>
        <w:t xml:space="preserve">(Daniau </w:t>
      </w:r>
      <w:r w:rsidRPr="005C2613">
        <w:rPr>
          <w:bCs/>
          <w:i/>
        </w:rPr>
        <w:t>et al</w:t>
      </w:r>
      <w:r>
        <w:rPr>
          <w:bCs/>
        </w:rPr>
        <w:t xml:space="preserve">, 2007). </w:t>
      </w:r>
    </w:p>
    <w:p w:rsidR="00A34B7A" w:rsidRDefault="00A34B7A" w:rsidP="00A34B7A">
      <w:pPr>
        <w:autoSpaceDE w:val="0"/>
        <w:autoSpaceDN w:val="0"/>
        <w:adjustRightInd w:val="0"/>
        <w:spacing w:line="360" w:lineRule="auto"/>
        <w:ind w:firstLine="708"/>
        <w:jc w:val="both"/>
      </w:pPr>
      <w:r>
        <w:t>Em resumo, durante o OIS 3, nas sequências isotópicas do gelo da Gronelândia (</w:t>
      </w:r>
      <w:r w:rsidRPr="00E1078B">
        <w:t xml:space="preserve">Dansgaard </w:t>
      </w:r>
      <w:r w:rsidRPr="00E1078B">
        <w:rPr>
          <w:i/>
        </w:rPr>
        <w:t>et al</w:t>
      </w:r>
      <w:r w:rsidRPr="00E1078B">
        <w:t>, 1993)</w:t>
      </w:r>
      <w:r>
        <w:t xml:space="preserve">, verifica-se uma sucessão de fases de progressão e regressão glaciar que vão definir as mudanças de vegetação na Península ibérica. Estes rápidos avanços e retrocessos glaciares indiciam uma situação de grande instabilidade ambiental que impediria uma expansão ordenada dos bosques, que se manteriam acantonados em pequenas populações instaladas nas áreas de refúgio (Iriarte </w:t>
      </w:r>
      <w:r>
        <w:rPr>
          <w:i/>
        </w:rPr>
        <w:t>et al</w:t>
      </w:r>
      <w:r>
        <w:t xml:space="preserve">, 2005). </w:t>
      </w:r>
    </w:p>
    <w:p w:rsidR="00A34B7A" w:rsidRDefault="00A34B7A" w:rsidP="00A34B7A">
      <w:pPr>
        <w:autoSpaceDE w:val="0"/>
        <w:autoSpaceDN w:val="0"/>
        <w:adjustRightInd w:val="0"/>
        <w:spacing w:line="360" w:lineRule="auto"/>
        <w:jc w:val="both"/>
      </w:pPr>
    </w:p>
    <w:p w:rsidR="00A34B7A" w:rsidRPr="00DC2C14" w:rsidRDefault="00A34B7A" w:rsidP="00A34B7A">
      <w:pPr>
        <w:autoSpaceDE w:val="0"/>
        <w:autoSpaceDN w:val="0"/>
        <w:adjustRightInd w:val="0"/>
        <w:spacing w:line="360" w:lineRule="auto"/>
        <w:jc w:val="both"/>
      </w:pPr>
    </w:p>
    <w:p w:rsidR="00A34B7A" w:rsidRPr="002476EE" w:rsidRDefault="00A34B7A" w:rsidP="00A34B7A">
      <w:pPr>
        <w:autoSpaceDE w:val="0"/>
        <w:autoSpaceDN w:val="0"/>
        <w:adjustRightInd w:val="0"/>
        <w:rPr>
          <w:rFonts w:ascii="Advm1046a" w:hAnsi="Advm1046a" w:cs="Advm1046a"/>
          <w:sz w:val="20"/>
          <w:szCs w:val="20"/>
        </w:rPr>
      </w:pPr>
    </w:p>
    <w:p w:rsidR="00A34B7A" w:rsidRPr="002476EE" w:rsidRDefault="00A34B7A" w:rsidP="00A34B7A">
      <w:pPr>
        <w:autoSpaceDE w:val="0"/>
        <w:autoSpaceDN w:val="0"/>
        <w:adjustRightInd w:val="0"/>
        <w:rPr>
          <w:rFonts w:ascii="Advm1046a" w:hAnsi="Advm1046a" w:cs="Advm1046a"/>
          <w:sz w:val="20"/>
          <w:szCs w:val="20"/>
        </w:rPr>
      </w:pPr>
    </w:p>
    <w:p w:rsidR="00A34B7A" w:rsidRPr="002476EE" w:rsidRDefault="00A34B7A" w:rsidP="00A34B7A">
      <w:pPr>
        <w:autoSpaceDE w:val="0"/>
        <w:autoSpaceDN w:val="0"/>
        <w:adjustRightInd w:val="0"/>
        <w:rPr>
          <w:rFonts w:ascii="Advm1046a" w:hAnsi="Advm1046a" w:cs="Advm1046a"/>
          <w:sz w:val="20"/>
          <w:szCs w:val="20"/>
        </w:rPr>
      </w:pPr>
    </w:p>
    <w:p w:rsidR="00A34B7A" w:rsidRPr="00055DB8" w:rsidRDefault="00A34B7A" w:rsidP="00A34B7A">
      <w:pPr>
        <w:autoSpaceDE w:val="0"/>
        <w:autoSpaceDN w:val="0"/>
        <w:adjustRightInd w:val="0"/>
        <w:jc w:val="both"/>
        <w:rPr>
          <w:rFonts w:ascii="AdvTT6120e2aa" w:hAnsi="AdvTT6120e2aa" w:cs="AdvTT6120e2aa"/>
          <w:color w:val="000000"/>
          <w:sz w:val="20"/>
          <w:szCs w:val="20"/>
        </w:rPr>
      </w:pPr>
    </w:p>
    <w:p w:rsidR="00A34B7A" w:rsidRDefault="00A34B7A" w:rsidP="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Default="00632F9C" w:rsidP="00632F9C">
      <w:pPr>
        <w:spacing w:line="360" w:lineRule="auto"/>
        <w:jc w:val="both"/>
        <w:rPr>
          <w:b/>
          <w:u w:val="single"/>
        </w:rPr>
      </w:pPr>
    </w:p>
    <w:p w:rsidR="00AC7B53" w:rsidRDefault="00AC7B53" w:rsidP="00632F9C">
      <w:pPr>
        <w:spacing w:line="360" w:lineRule="auto"/>
        <w:jc w:val="both"/>
        <w:rPr>
          <w:b/>
          <w:u w:val="single"/>
        </w:rPr>
      </w:pPr>
    </w:p>
    <w:p w:rsidR="00632F9C"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632F9C" w:rsidRPr="00F738D8" w:rsidRDefault="00632F9C" w:rsidP="00632F9C">
      <w:pPr>
        <w:spacing w:line="360" w:lineRule="auto"/>
        <w:jc w:val="both"/>
        <w:rPr>
          <w:b/>
          <w:u w:val="single"/>
        </w:rPr>
      </w:pPr>
    </w:p>
    <w:p w:rsidR="00166C52" w:rsidRDefault="00166C52" w:rsidP="00632F9C">
      <w:pPr>
        <w:spacing w:line="360" w:lineRule="auto"/>
        <w:jc w:val="right"/>
        <w:rPr>
          <w:b/>
          <w:u w:val="single"/>
        </w:rPr>
      </w:pPr>
    </w:p>
    <w:p w:rsidR="00166C52" w:rsidRDefault="00166C52" w:rsidP="00632F9C">
      <w:pPr>
        <w:spacing w:line="360" w:lineRule="auto"/>
        <w:jc w:val="right"/>
        <w:rPr>
          <w:b/>
          <w:u w:val="single"/>
        </w:rPr>
      </w:pPr>
    </w:p>
    <w:p w:rsidR="00632F9C" w:rsidRPr="00F738D8" w:rsidRDefault="00632F9C" w:rsidP="00632F9C">
      <w:pPr>
        <w:spacing w:line="360" w:lineRule="auto"/>
        <w:jc w:val="right"/>
        <w:rPr>
          <w:b/>
          <w:u w:val="single"/>
        </w:rPr>
      </w:pPr>
      <w:r w:rsidRPr="00F738D8">
        <w:rPr>
          <w:b/>
          <w:u w:val="single"/>
        </w:rPr>
        <w:t>IV- ESTADO DO CONHECIMENTO</w:t>
      </w:r>
    </w:p>
    <w:p w:rsidR="00632F9C" w:rsidRPr="00F738D8" w:rsidRDefault="00632F9C" w:rsidP="00632F9C">
      <w:pPr>
        <w:spacing w:line="360" w:lineRule="auto"/>
        <w:jc w:val="both"/>
        <w:rPr>
          <w:b/>
        </w:rPr>
      </w:pPr>
    </w:p>
    <w:p w:rsidR="00632F9C" w:rsidRDefault="00632F9C" w:rsidP="00632F9C">
      <w:pPr>
        <w:spacing w:line="360" w:lineRule="auto"/>
        <w:jc w:val="both"/>
        <w:rPr>
          <w:b/>
        </w:rPr>
      </w:pPr>
    </w:p>
    <w:p w:rsidR="00632F9C" w:rsidRDefault="00632F9C" w:rsidP="00632F9C">
      <w:pPr>
        <w:spacing w:line="360" w:lineRule="auto"/>
        <w:jc w:val="both"/>
        <w:rPr>
          <w:b/>
        </w:rPr>
      </w:pPr>
    </w:p>
    <w:p w:rsidR="00632F9C" w:rsidRPr="00F738D8" w:rsidRDefault="00632F9C" w:rsidP="00632F9C">
      <w:pPr>
        <w:spacing w:line="360" w:lineRule="auto"/>
        <w:jc w:val="both"/>
        <w:rPr>
          <w:b/>
        </w:rPr>
      </w:pPr>
    </w:p>
    <w:p w:rsidR="00632F9C" w:rsidRPr="00F738D8" w:rsidRDefault="00632F9C" w:rsidP="00632F9C">
      <w:pPr>
        <w:spacing w:line="360" w:lineRule="auto"/>
        <w:jc w:val="both"/>
      </w:pPr>
      <w:r w:rsidRPr="00F738D8">
        <w:rPr>
          <w:b/>
        </w:rPr>
        <w:lastRenderedPageBreak/>
        <w:t>4.1 Introdução</w:t>
      </w:r>
      <w:r w:rsidRPr="00F738D8">
        <w:t xml:space="preserve"> </w:t>
      </w:r>
    </w:p>
    <w:p w:rsidR="00632F9C" w:rsidRPr="00F738D8" w:rsidRDefault="00632F9C" w:rsidP="00632F9C">
      <w:pPr>
        <w:spacing w:line="360" w:lineRule="auto"/>
        <w:ind w:firstLine="708"/>
        <w:jc w:val="both"/>
      </w:pPr>
    </w:p>
    <w:p w:rsidR="00632F9C" w:rsidRPr="00F738D8" w:rsidRDefault="00632F9C" w:rsidP="00632F9C">
      <w:pPr>
        <w:spacing w:line="360" w:lineRule="auto"/>
        <w:ind w:firstLine="708"/>
        <w:jc w:val="both"/>
      </w:pPr>
      <w:r w:rsidRPr="00F738D8">
        <w:t>À medida que os vestígios materiais, resultantes das vivências das comunidades do nosso passado longínquo, foram vendo a luz do dia, surgiu, na mente dos primeiros pré-historiadores, a necessidade de os compartimentar, catalogar e denominar. Os primeiros vestígios foram assim armazenados em categorias, os seus conjuntos em culturas e essas culturas em períodos. É ainda no século XIX que John Lubbock divide os períodos mais antigos da história da humanidade em Paleolítico (período da pedra talhada) e Neolítico (período da pedra polida). A subdivisão do Paleolítico consuma-se pouco depois resultando numa distinção entre Paleolítico inferior, médio e superior. O Paleolítico inferior englobaria o conjunto das indústrias onde se registaram a presença de bifaces, o Paleolítico médio caracterizar-se-ia por apresentar um método de produção de lascas e o Paleolítico superior pelo aparecimento da técnica de talhe para a obtenção de lâminas. Embora esta perspectiva inicial tenha que ser completada com os dados paleoantropológicos, climáticos e mesmo arqueológicos entretanto divulgados, não deixa de ser uma base ainda geralmente aceite pela comunidade científica. O principal complexo cultural do Paleolítico médio é representado pelo Moustierense (termo introduzido por Mortillet em 1862 com base na indústria epónima da g</w:t>
      </w:r>
      <w:r>
        <w:t>ruta do Moustier. Em 1953, Franç</w:t>
      </w:r>
      <w:r w:rsidRPr="00F738D8">
        <w:t xml:space="preserve">ois Bordes após analisar os materiais líticos de várias estações introduz critérios mais precisos de classificação que integram elementos técnicos e tipológicos. Com base nesses critérios define um conjunto de cinco grupos diferentes definidos pela variação estatística da sua utensilagem: Moustierense típico, Moustierense de tradição Acheulense, Moustierense de tipo Ferrasie, Moustierense de tipo Quina e Moustierense com denticulados. Embora seja um dos principais impulsionadores do fraccionamento do Moustierense em várias indústrias distintas, este autor não deixou de perceber a continuidade existente ao longo do tempo ao afirmar que o Moustierense é uma secção delimitada pelo espírito humano por razões de comodidade, através da evolução contínua das culturas materiais paleolíticas (Bordes, 1984). Por outro lado, este período não deixa de ser dos períodos em que tradicionalmente se divide o Paleolítico, aquele cuja individualização se apresenta mais problemática (Raposo, 1993). </w:t>
      </w:r>
    </w:p>
    <w:p w:rsidR="00632F9C" w:rsidRPr="00F738D8" w:rsidRDefault="00632F9C" w:rsidP="00632F9C">
      <w:pPr>
        <w:spacing w:line="360" w:lineRule="auto"/>
        <w:ind w:firstLine="360"/>
        <w:jc w:val="both"/>
      </w:pPr>
      <w:r w:rsidRPr="00F738D8">
        <w:rPr>
          <w:color w:val="000000"/>
        </w:rPr>
        <w:t xml:space="preserve">Uma análise da bibliografia publicada entre 1950 e 2000 permitiu verificar a existência de uma miríade de termos utilizados para caracterizar o Paleolítico médio. Estes termos privilegiam apelações com significados crono-culturais, geográficos, climáticos, cronológicos, tecnológicos e tipológicos </w:t>
      </w:r>
      <w:r w:rsidRPr="00F738D8">
        <w:t xml:space="preserve">(Jaubert e Jarry, 2006). Em </w:t>
      </w:r>
      <w:r w:rsidRPr="00F738D8">
        <w:lastRenderedPageBreak/>
        <w:t>Portugal considera-se que</w:t>
      </w:r>
      <w:r w:rsidRPr="00F738D8">
        <w:rPr>
          <w:color w:val="000000"/>
        </w:rPr>
        <w:t xml:space="preserve"> o Moustierense é o único complexo do Paleolítico médio identificado até a data (Bicho, </w:t>
      </w:r>
      <w:r>
        <w:rPr>
          <w:color w:val="000000"/>
        </w:rPr>
        <w:t>2004</w:t>
      </w:r>
      <w:r w:rsidRPr="00F738D8">
        <w:rPr>
          <w:color w:val="000000"/>
        </w:rPr>
        <w:t xml:space="preserve">) e terminaria por volta de 34/35 </w:t>
      </w:r>
      <w:r>
        <w:rPr>
          <w:color w:val="000000"/>
        </w:rPr>
        <w:t>Ka</w:t>
      </w:r>
      <w:r w:rsidRPr="00F738D8">
        <w:rPr>
          <w:color w:val="000000"/>
        </w:rPr>
        <w:t xml:space="preserve"> cal BP (Zilhão </w:t>
      </w:r>
      <w:r w:rsidRPr="00F738D8">
        <w:rPr>
          <w:i/>
          <w:color w:val="000000"/>
        </w:rPr>
        <w:t>et al</w:t>
      </w:r>
      <w:r w:rsidRPr="00F738D8">
        <w:rPr>
          <w:color w:val="000000"/>
        </w:rPr>
        <w:t>, 2010</w:t>
      </w:r>
      <w:r>
        <w:rPr>
          <w:color w:val="000000"/>
        </w:rPr>
        <w:t>a</w:t>
      </w:r>
      <w:r w:rsidRPr="00F738D8">
        <w:rPr>
          <w:color w:val="000000"/>
        </w:rPr>
        <w:t xml:space="preserve">). </w:t>
      </w:r>
      <w:r w:rsidRPr="00F738D8">
        <w:t>Segundo Luís Raposo (1993), o Paleolítico médio seria definido pelas seguintes características:</w:t>
      </w:r>
    </w:p>
    <w:p w:rsidR="00632F9C" w:rsidRPr="00F738D8" w:rsidRDefault="00632F9C" w:rsidP="00632F9C">
      <w:pPr>
        <w:spacing w:line="360" w:lineRule="auto"/>
        <w:jc w:val="both"/>
      </w:pPr>
    </w:p>
    <w:p w:rsidR="00632F9C" w:rsidRPr="00F738D8" w:rsidRDefault="00632F9C" w:rsidP="00632F9C">
      <w:pPr>
        <w:numPr>
          <w:ilvl w:val="0"/>
          <w:numId w:val="12"/>
        </w:numPr>
        <w:spacing w:line="360" w:lineRule="auto"/>
        <w:jc w:val="both"/>
      </w:pPr>
      <w:r w:rsidRPr="00F738D8">
        <w:t>No plano cronológico: tende a posicionar o limite mais antigo do PM até ao Riss inicial estádio isotópico 8;</w:t>
      </w:r>
    </w:p>
    <w:p w:rsidR="00632F9C" w:rsidRPr="00F738D8" w:rsidRDefault="00632F9C" w:rsidP="00632F9C">
      <w:pPr>
        <w:numPr>
          <w:ilvl w:val="0"/>
          <w:numId w:val="12"/>
        </w:numPr>
        <w:spacing w:line="360" w:lineRule="auto"/>
        <w:jc w:val="both"/>
      </w:pPr>
      <w:r w:rsidRPr="00F738D8">
        <w:t>No plano geográfico acentua-se a descriminação de raiz cultural e a ocupação regular de regiões situadas a latitudes mais setentrionais assim como a complexificação das modalidades de organização e movimentação dentro de cada território e captação de recursos;</w:t>
      </w:r>
    </w:p>
    <w:p w:rsidR="00632F9C" w:rsidRPr="00F738D8" w:rsidRDefault="00632F9C" w:rsidP="00632F9C">
      <w:pPr>
        <w:numPr>
          <w:ilvl w:val="0"/>
          <w:numId w:val="12"/>
        </w:numPr>
        <w:spacing w:line="360" w:lineRule="auto"/>
        <w:jc w:val="both"/>
      </w:pPr>
      <w:r w:rsidRPr="00F738D8">
        <w:t>No plano económico reconhece-se a prática mais regular da caça por vezes selectiva;</w:t>
      </w:r>
    </w:p>
    <w:p w:rsidR="00632F9C" w:rsidRPr="00F738D8" w:rsidRDefault="00632F9C" w:rsidP="00632F9C">
      <w:pPr>
        <w:numPr>
          <w:ilvl w:val="0"/>
          <w:numId w:val="12"/>
        </w:numPr>
        <w:spacing w:line="360" w:lineRule="auto"/>
        <w:jc w:val="both"/>
      </w:pPr>
      <w:r w:rsidRPr="00F738D8">
        <w:t>No plano antropológico salienta-se a diversidade e a não correspondência estrita entre tipos humanos e industrias líticas particulares;</w:t>
      </w:r>
    </w:p>
    <w:p w:rsidR="00632F9C" w:rsidRPr="00F738D8" w:rsidRDefault="00632F9C" w:rsidP="00632F9C">
      <w:pPr>
        <w:spacing w:line="360" w:lineRule="auto"/>
        <w:rPr>
          <w:b/>
        </w:rPr>
      </w:pPr>
    </w:p>
    <w:p w:rsidR="00632F9C" w:rsidRDefault="00632F9C" w:rsidP="00632F9C">
      <w:pPr>
        <w:spacing w:line="360" w:lineRule="auto"/>
        <w:rPr>
          <w:b/>
        </w:rPr>
      </w:pPr>
    </w:p>
    <w:p w:rsidR="00632F9C" w:rsidRPr="00F738D8" w:rsidRDefault="00632F9C" w:rsidP="00632F9C">
      <w:pPr>
        <w:spacing w:line="360" w:lineRule="auto"/>
        <w:rPr>
          <w:b/>
        </w:rPr>
      </w:pPr>
    </w:p>
    <w:p w:rsidR="00632F9C" w:rsidRPr="00F738D8" w:rsidRDefault="00632F9C" w:rsidP="00632F9C">
      <w:pPr>
        <w:spacing w:line="360" w:lineRule="auto"/>
        <w:rPr>
          <w:b/>
        </w:rPr>
      </w:pPr>
      <w:r w:rsidRPr="00F738D8">
        <w:rPr>
          <w:b/>
        </w:rPr>
        <w:t xml:space="preserve">4.2 - O Paleolítico médio na Europa </w:t>
      </w:r>
    </w:p>
    <w:p w:rsidR="00632F9C" w:rsidRPr="00F738D8" w:rsidRDefault="00632F9C" w:rsidP="00632F9C">
      <w:pPr>
        <w:spacing w:line="360" w:lineRule="auto"/>
        <w:jc w:val="both"/>
      </w:pPr>
    </w:p>
    <w:p w:rsidR="00632F9C" w:rsidRPr="00F738D8" w:rsidRDefault="00632F9C" w:rsidP="00632F9C">
      <w:pPr>
        <w:spacing w:line="360" w:lineRule="auto"/>
        <w:ind w:firstLine="708"/>
        <w:jc w:val="both"/>
      </w:pPr>
      <w:r w:rsidRPr="00F738D8">
        <w:t>Actualmente</w:t>
      </w:r>
      <w:proofErr w:type="gramStart"/>
      <w:r w:rsidRPr="00F738D8">
        <w:t>,</w:t>
      </w:r>
      <w:proofErr w:type="gramEnd"/>
      <w:r w:rsidRPr="00F738D8">
        <w:t xml:space="preserve"> considera-se que a introdução do método Levallois no registo arqueológico representa a inovação técnica que caracteriza o início do Paleolítico médio. É com o surgimento e a diversificação de novos métodos de talhe para a produção de lascas que vão levar ao menor protagonismo do biface que se iniciaria o Paleolítico médio (Tuffreau, 2004). Com base neste argumento e no registo arqueológico, o Paleolítico médio apareceria no norte da Europa, durante a transição do MIS9/MIS8 por volta dos 300 </w:t>
      </w:r>
      <w:r>
        <w:t>Ka</w:t>
      </w:r>
      <w:r w:rsidRPr="00F738D8">
        <w:t xml:space="preserve"> (Monnier, 2006, Picin </w:t>
      </w:r>
      <w:r w:rsidRPr="00F738D8">
        <w:rPr>
          <w:i/>
        </w:rPr>
        <w:t>et al</w:t>
      </w:r>
      <w:r w:rsidRPr="00F738D8">
        <w:t xml:space="preserve"> 2013). </w:t>
      </w:r>
    </w:p>
    <w:p w:rsidR="00632F9C" w:rsidRPr="00F738D8" w:rsidRDefault="00632F9C" w:rsidP="00632F9C">
      <w:pPr>
        <w:spacing w:line="360" w:lineRule="auto"/>
        <w:ind w:firstLine="708"/>
        <w:jc w:val="both"/>
      </w:pPr>
      <w:r w:rsidRPr="00F738D8">
        <w:t xml:space="preserve"> Para outros autores o aparecimento do talhe Levallois dá-se ainda em contextos plenamente Acheulenses (Jaubert e Jarry, 2006).</w:t>
      </w:r>
    </w:p>
    <w:p w:rsidR="00632F9C" w:rsidRPr="00F738D8" w:rsidRDefault="00632F9C" w:rsidP="00632F9C">
      <w:pPr>
        <w:spacing w:line="360" w:lineRule="auto"/>
        <w:ind w:firstLine="708"/>
        <w:jc w:val="both"/>
      </w:pPr>
      <w:r w:rsidRPr="00F738D8">
        <w:t xml:space="preserve">Existem diferentes definições de talhe Levallois mas que evidenciam, de um modo geral, um fundo comum. A definição que se impôs de forma unânime foi apresentada por François Bordes em 1961, introduzindo a noção de predeterminação de uma lasca através da preparação prévia de superfícies. Este método de debitagem </w:t>
      </w:r>
      <w:r w:rsidRPr="00F738D8">
        <w:lastRenderedPageBreak/>
        <w:t>consiste num conjunto de vários esquemas operatórios cujo objectivo é a consecução de lascas, lâminas e pontas cujo formato seria predeterminado (Boëda, 1988).</w:t>
      </w:r>
    </w:p>
    <w:p w:rsidR="00632F9C" w:rsidRPr="00F738D8" w:rsidRDefault="00EA3774" w:rsidP="00632F9C">
      <w:pPr>
        <w:spacing w:line="360" w:lineRule="auto"/>
        <w:jc w:val="both"/>
      </w:pPr>
      <w:r>
        <w:rPr>
          <w:noProof/>
          <w:lang w:eastAsia="en-US"/>
        </w:rPr>
        <w:pict>
          <v:shape id="_x0000_s1603" type="#_x0000_t202" style="position:absolute;left:0;text-align:left;margin-left:25.2pt;margin-top:577.85pt;width:382.5pt;height:102.75pt;z-index:251828224;mso-width-relative:margin;mso-height-relative:margin" stroked="f">
            <v:textbox style="mso-next-textbox:#_x0000_s1603">
              <w:txbxContent>
                <w:p w:rsidR="00B34B0F" w:rsidRPr="00332659" w:rsidRDefault="00B34B0F" w:rsidP="00632F9C">
                  <w:pPr>
                    <w:jc w:val="both"/>
                    <w:rPr>
                      <w:sz w:val="22"/>
                      <w:szCs w:val="22"/>
                    </w:rPr>
                  </w:pPr>
                  <w:r w:rsidRPr="00332659">
                    <w:rPr>
                      <w:sz w:val="22"/>
                      <w:szCs w:val="22"/>
                    </w:rPr>
                    <w:t>Fig</w:t>
                  </w:r>
                  <w:r>
                    <w:rPr>
                      <w:sz w:val="22"/>
                      <w:szCs w:val="22"/>
                    </w:rPr>
                    <w:t>ura n.º 4.1 – Esquema genérico do conceito Levallois. Este conceito reside, essencialmente, na conceção volumétrica do núcleo, ao qual serão associados os critérios técnicos de predeterminação, através de convexidades laterais e distais. Desta forma origina-se um plano de interseção de duas superfícies (1). Os planos de fratura dos levantamentos predeterminados serão sempre paralelos a esse plano de intersecção (2ª e 2b), que também serve de limite à capacidade de produção de levantamentos predeterminados (3). (retirado de Boëda, 1988).</w:t>
                  </w:r>
                </w:p>
              </w:txbxContent>
            </v:textbox>
          </v:shape>
        </w:pict>
      </w:r>
      <w:r w:rsidR="00632F9C">
        <w:rPr>
          <w:noProof/>
        </w:rPr>
        <w:drawing>
          <wp:inline distT="0" distB="0" distL="0" distR="0">
            <wp:extent cx="5391150" cy="7191375"/>
            <wp:effectExtent l="19050" t="0" r="0" b="0"/>
            <wp:docPr id="16" name="Imagem 1" descr="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pic:cNvPicPr>
                      <a:picLocks noChangeAspect="1" noChangeArrowheads="1"/>
                    </pic:cNvPicPr>
                  </pic:nvPicPr>
                  <pic:blipFill>
                    <a:blip r:embed="rId23" cstate="print"/>
                    <a:srcRect/>
                    <a:stretch>
                      <a:fillRect/>
                    </a:stretch>
                  </pic:blipFill>
                  <pic:spPr bwMode="auto">
                    <a:xfrm>
                      <a:off x="0" y="0"/>
                      <a:ext cx="5391150" cy="7191375"/>
                    </a:xfrm>
                    <a:prstGeom prst="rect">
                      <a:avLst/>
                    </a:prstGeom>
                    <a:noFill/>
                    <a:ln w="9525">
                      <a:noFill/>
                      <a:miter lim="800000"/>
                      <a:headEnd/>
                      <a:tailEnd/>
                    </a:ln>
                  </pic:spPr>
                </pic:pic>
              </a:graphicData>
            </a:graphic>
          </wp:inline>
        </w:drawing>
      </w:r>
    </w:p>
    <w:p w:rsidR="00632F9C" w:rsidRPr="00F738D8" w:rsidRDefault="00632F9C" w:rsidP="00632F9C">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ind w:firstLine="708"/>
        <w:jc w:val="both"/>
      </w:pPr>
      <w:r w:rsidRPr="00F738D8">
        <w:lastRenderedPageBreak/>
        <w:t xml:space="preserve"> De facto o início do uso do método Levallois encontra-se datado do fim do MIS 9 e início do MIS 8 no norte da Europa em Purflett, Reino Unido, (White </w:t>
      </w:r>
      <w:r w:rsidRPr="00F738D8">
        <w:rPr>
          <w:i/>
        </w:rPr>
        <w:t>et a</w:t>
      </w:r>
      <w:r w:rsidRPr="00F738D8">
        <w:t>l, 2006), Mesvin IV e Kesselt-Op e de Schans (Bélgica), Markkleeberg (Alemanha), e no sul de França em Orgnac 3</w:t>
      </w:r>
      <w:r w:rsidRPr="00F738D8">
        <w:rPr>
          <w:color w:val="000000"/>
        </w:rPr>
        <w:t xml:space="preserve"> (</w:t>
      </w:r>
      <w:r w:rsidRPr="00F738D8">
        <w:t xml:space="preserve">Moncel e Daujeard, 2012; Moncel </w:t>
      </w:r>
      <w:r w:rsidRPr="00F738D8">
        <w:rPr>
          <w:i/>
        </w:rPr>
        <w:t>et al</w:t>
      </w:r>
      <w:r w:rsidRPr="00F738D8">
        <w:t xml:space="preserve"> 2011</w:t>
      </w:r>
      <w:r w:rsidRPr="00F738D8">
        <w:rPr>
          <w:color w:val="000066"/>
        </w:rPr>
        <w:t>)</w:t>
      </w:r>
      <w:r w:rsidRPr="00F738D8">
        <w:t xml:space="preserve">, Les Bosses (Jarry </w:t>
      </w:r>
      <w:r w:rsidRPr="00F738D8">
        <w:rPr>
          <w:i/>
        </w:rPr>
        <w:t>et al</w:t>
      </w:r>
      <w:r w:rsidRPr="00F738D8">
        <w:t xml:space="preserve"> 2004, Mourre </w:t>
      </w:r>
      <w:r w:rsidRPr="00F738D8">
        <w:rPr>
          <w:i/>
        </w:rPr>
        <w:t>et al</w:t>
      </w:r>
      <w:r w:rsidRPr="00F738D8">
        <w:t xml:space="preserve"> 2007), Raspide 2, Petit Bost (nível 2) e nos níveis superiores de La Micoque (Picin et al 2013). O método Levallois volta a reaparecer no norte da Europa entre o MIS 8 e o MIS 7 no vale da Tamisa, nos sítios de Yiewsley, Creffiel</w:t>
      </w:r>
      <w:r>
        <w:t xml:space="preserve">d Road, Baker’s Hole e </w:t>
      </w:r>
      <w:r w:rsidRPr="00F738D8">
        <w:t xml:space="preserve">Ebbsfleet (White </w:t>
      </w:r>
      <w:r w:rsidRPr="00F738D8">
        <w:rPr>
          <w:i/>
        </w:rPr>
        <w:t>et al</w:t>
      </w:r>
      <w:r w:rsidRPr="00F738D8">
        <w:t xml:space="preserve">, 2006), no norte de França no sítio de Le Pucheuil nas unidades A-C. No início do MIS 7 o método Levallois encontra-se presente em Maastricht-Belvédère, Le Rissori, no nível IIa de Biache-Saint-Vaast. Na parte final do MIS 7 verifica-se a sua presença na unidade B of Le Pucheuil, Therdonne e Bapaume Les Osiers. O nível paleolantropológico IIa de Biache-Saint-Vaast foi recentemente datado por ESR/series de U em 230 ± 24 </w:t>
      </w:r>
      <w:r>
        <w:t>Ka</w:t>
      </w:r>
      <w:r w:rsidRPr="00F738D8">
        <w:t xml:space="preserve"> BP. Durante o MIS 7, o Levallois também aparece na Europa central nos níveis 18-20 de Achenheim e em Ariendorf 1 e continua no sul de França em Gran Rois, no nível 1 de Petit Bost, na unidade 4 de Cantalouette I, no nível l 4 de Barbas e no sítio de Campsas. </w:t>
      </w:r>
    </w:p>
    <w:p w:rsidR="00632F9C" w:rsidRPr="00F738D8" w:rsidRDefault="00632F9C" w:rsidP="00632F9C">
      <w:pPr>
        <w:autoSpaceDE w:val="0"/>
        <w:autoSpaceDN w:val="0"/>
        <w:adjustRightInd w:val="0"/>
        <w:spacing w:line="360" w:lineRule="auto"/>
        <w:ind w:firstLine="708"/>
        <w:jc w:val="both"/>
        <w:rPr>
          <w:color w:val="000000"/>
        </w:rPr>
      </w:pPr>
      <w:r w:rsidRPr="00F738D8">
        <w:t xml:space="preserve">Tendo estes dados em consideração os níveis arqueológicos inferiores de San Bernardino (unidades VIII </w:t>
      </w:r>
      <w:r>
        <w:t>e</w:t>
      </w:r>
      <w:r w:rsidRPr="00F738D8">
        <w:t xml:space="preserve"> VII) deverão ser contemporâneos do final do MIS 7 e do princípio do MIS 6 (Picin </w:t>
      </w:r>
      <w:r w:rsidRPr="00F738D8">
        <w:rPr>
          <w:i/>
        </w:rPr>
        <w:t>et al</w:t>
      </w:r>
      <w:r w:rsidRPr="00F738D8">
        <w:t xml:space="preserve">, 2013). Durante o MIS 6 a tecnologia Levallois persiste no norte e no centro da Europa em La Cotte Saint Brelade, nos níveis 15 – 17a de Achenheim e Markkleeberg. No sul de França, continua no nível 51 do abrigo Suard rockshelter, na unidade 4 de Coudoulous, no nível 3 de Barbas, nos níveis VIII-VII da gruta Vaufrey, na unidade IV de Baume Bonne e no complexo C da gruta do Lazaret (Picin </w:t>
      </w:r>
      <w:r w:rsidRPr="00F738D8">
        <w:rPr>
          <w:i/>
        </w:rPr>
        <w:t>et al</w:t>
      </w:r>
      <w:r w:rsidRPr="00F738D8">
        <w:t>, 2013).</w:t>
      </w:r>
    </w:p>
    <w:p w:rsidR="00632F9C" w:rsidRPr="00F738D8" w:rsidRDefault="00632F9C" w:rsidP="00632F9C">
      <w:pPr>
        <w:spacing w:line="360" w:lineRule="auto"/>
        <w:ind w:firstLine="708"/>
        <w:jc w:val="both"/>
      </w:pPr>
      <w:r w:rsidRPr="00F738D8">
        <w:t xml:space="preserve">Na Península Ibérica, o Paleolítico médio parece aparecer por volta da transição MIS9/MIS8, na unidade TD10.1 da Gran Dolina, na camada superior de Ambrona e na estação de Aridos 1, Domeny e Puig den Roca III (Picin </w:t>
      </w:r>
      <w:r w:rsidRPr="00F738D8">
        <w:rPr>
          <w:i/>
        </w:rPr>
        <w:t>et al</w:t>
      </w:r>
      <w:r w:rsidRPr="00F738D8">
        <w:t xml:space="preserve"> 2013). Para outros autores, este aparecimento ocorrerá na Península Ibérica mais tarde </w:t>
      </w:r>
      <w:r w:rsidRPr="001E726C">
        <w:t xml:space="preserve">durante os EIO 7 a 5 (Santonja e Pérez-González, 2001). </w:t>
      </w:r>
      <w:r w:rsidRPr="00F738D8">
        <w:t xml:space="preserve">No MIS8/ 7 novas estações apresentam a presença de talhe Levallois como em Torralba e Galeria Pesada (Marks </w:t>
      </w:r>
      <w:r w:rsidRPr="00F738D8">
        <w:rPr>
          <w:i/>
        </w:rPr>
        <w:t>et al</w:t>
      </w:r>
      <w:r w:rsidRPr="00F738D8">
        <w:t>, 2002). Finalmente, no MIS 6, existe todo um conjunto de estações que se atribuem ao Paleolítico médio. São elas as estações em gruta de Lezetxiki, nível VII, e Cariguela e no sítio de Solana del Zamborino</w:t>
      </w:r>
      <w:r w:rsidRPr="00F738D8">
        <w:rPr>
          <w:color w:val="000000"/>
        </w:rPr>
        <w:t xml:space="preserve"> (</w:t>
      </w:r>
      <w:r w:rsidRPr="00F738D8">
        <w:t>Arrizabalaga, 2006</w:t>
      </w:r>
      <w:r w:rsidRPr="00F738D8">
        <w:rPr>
          <w:color w:val="000000"/>
        </w:rPr>
        <w:t>)</w:t>
      </w:r>
      <w:r w:rsidRPr="00F738D8">
        <w:t>.</w:t>
      </w:r>
    </w:p>
    <w:p w:rsidR="00632F9C" w:rsidRPr="00F738D8" w:rsidRDefault="00632F9C" w:rsidP="00632F9C">
      <w:pPr>
        <w:autoSpaceDE w:val="0"/>
        <w:autoSpaceDN w:val="0"/>
        <w:adjustRightInd w:val="0"/>
        <w:spacing w:line="360" w:lineRule="auto"/>
        <w:ind w:firstLine="708"/>
        <w:jc w:val="both"/>
      </w:pPr>
    </w:p>
    <w:p w:rsidR="00632F9C" w:rsidRPr="00F738D8" w:rsidRDefault="00EA3774" w:rsidP="00632F9C">
      <w:pPr>
        <w:autoSpaceDE w:val="0"/>
        <w:autoSpaceDN w:val="0"/>
        <w:adjustRightInd w:val="0"/>
        <w:spacing w:line="360" w:lineRule="auto"/>
        <w:ind w:left="-142"/>
        <w:jc w:val="both"/>
        <w:rPr>
          <w:lang w:val="en-US"/>
        </w:rPr>
      </w:pPr>
      <w:r w:rsidRPr="00EA3774">
        <w:rPr>
          <w:b/>
          <w:noProof/>
          <w:lang w:eastAsia="en-US"/>
        </w:rPr>
        <w:lastRenderedPageBreak/>
        <w:pict>
          <v:shape id="_x0000_s1604" type="#_x0000_t202" style="position:absolute;left:0;text-align:left;margin-left:314.15pt;margin-top:-1.15pt;width:130.3pt;height:700.5pt;z-index:251829248;mso-width-relative:margin;mso-height-relative:margin" stroked="f">
            <v:textbox style="mso-next-textbox:#_x0000_s1604">
              <w:txbxContent>
                <w:p w:rsidR="00B34B0F" w:rsidRPr="00521CBB" w:rsidRDefault="00B34B0F" w:rsidP="00632F9C">
                  <w:pPr>
                    <w:autoSpaceDE w:val="0"/>
                    <w:autoSpaceDN w:val="0"/>
                    <w:adjustRightInd w:val="0"/>
                    <w:jc w:val="both"/>
                    <w:rPr>
                      <w:sz w:val="22"/>
                      <w:szCs w:val="22"/>
                    </w:rPr>
                  </w:pPr>
                  <w:r w:rsidRPr="00521CBB">
                    <w:rPr>
                      <w:b/>
                      <w:sz w:val="22"/>
                      <w:szCs w:val="22"/>
                    </w:rPr>
                    <w:t>Figura n.º 4.2</w:t>
                  </w:r>
                  <w:r w:rsidRPr="00521CBB">
                    <w:rPr>
                      <w:sz w:val="22"/>
                      <w:szCs w:val="22"/>
                    </w:rPr>
                    <w:t xml:space="preserve"> – Sítios do Paleolítico médio inicial e respectiva cronologia </w:t>
                  </w:r>
                </w:p>
                <w:p w:rsidR="00B34B0F" w:rsidRPr="00E74E3E" w:rsidRDefault="00B34B0F" w:rsidP="00632F9C">
                  <w:pPr>
                    <w:autoSpaceDE w:val="0"/>
                    <w:autoSpaceDN w:val="0"/>
                    <w:adjustRightInd w:val="0"/>
                    <w:jc w:val="both"/>
                    <w:rPr>
                      <w:sz w:val="20"/>
                      <w:szCs w:val="20"/>
                      <w:lang w:val="fr-FR"/>
                    </w:rPr>
                  </w:pPr>
                  <w:r w:rsidRPr="00E74E3E">
                    <w:rPr>
                      <w:b/>
                      <w:sz w:val="20"/>
                      <w:szCs w:val="20"/>
                      <w:lang w:val="fr-FR"/>
                    </w:rPr>
                    <w:t>A</w:t>
                  </w:r>
                  <w:r w:rsidRPr="00E74E3E">
                    <w:rPr>
                      <w:rFonts w:ascii="AdvP403A40" w:hAnsi="AdvP403A40" w:cs="AdvP403A40"/>
                      <w:sz w:val="20"/>
                      <w:szCs w:val="20"/>
                      <w:lang w:val="fr-FR"/>
                    </w:rPr>
                    <w:t xml:space="preserve">: </w:t>
                  </w:r>
                  <w:r w:rsidRPr="00E74E3E">
                    <w:rPr>
                      <w:sz w:val="20"/>
                      <w:szCs w:val="20"/>
                      <w:lang w:val="fr-FR"/>
                    </w:rPr>
                    <w:t xml:space="preserve">1. Purfleet,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2. Mesvin IV,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3. Kesselt-Op De Schans, 4. Markkleeberg,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5. La Micoque,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6. Petit Bost,</w:t>
                  </w:r>
                </w:p>
                <w:p w:rsidR="00B34B0F" w:rsidRPr="00E74E3E" w:rsidRDefault="00B34B0F" w:rsidP="00632F9C">
                  <w:pPr>
                    <w:autoSpaceDE w:val="0"/>
                    <w:autoSpaceDN w:val="0"/>
                    <w:adjustRightInd w:val="0"/>
                    <w:jc w:val="both"/>
                    <w:rPr>
                      <w:sz w:val="20"/>
                      <w:szCs w:val="20"/>
                      <w:lang w:val="fr-FR"/>
                    </w:rPr>
                  </w:pPr>
                  <w:r w:rsidRPr="00E74E3E">
                    <w:rPr>
                      <w:sz w:val="20"/>
                      <w:szCs w:val="20"/>
                      <w:lang w:val="fr-FR"/>
                    </w:rPr>
                    <w:t>7. Le Bosses,</w:t>
                  </w:r>
                </w:p>
                <w:p w:rsidR="00B34B0F" w:rsidRPr="00E74E3E" w:rsidRDefault="00B34B0F" w:rsidP="00632F9C">
                  <w:pPr>
                    <w:autoSpaceDE w:val="0"/>
                    <w:autoSpaceDN w:val="0"/>
                    <w:adjustRightInd w:val="0"/>
                    <w:jc w:val="both"/>
                    <w:rPr>
                      <w:sz w:val="20"/>
                      <w:szCs w:val="20"/>
                      <w:lang w:val="fr-FR"/>
                    </w:rPr>
                  </w:pPr>
                  <w:r w:rsidRPr="00E74E3E">
                    <w:rPr>
                      <w:sz w:val="20"/>
                      <w:szCs w:val="20"/>
                      <w:lang w:val="fr-FR"/>
                    </w:rPr>
                    <w:t xml:space="preserve"> 8. Raspide 2,</w:t>
                  </w:r>
                </w:p>
                <w:p w:rsidR="00B34B0F" w:rsidRPr="001E726C" w:rsidRDefault="00B34B0F" w:rsidP="00632F9C">
                  <w:pPr>
                    <w:autoSpaceDE w:val="0"/>
                    <w:autoSpaceDN w:val="0"/>
                    <w:adjustRightInd w:val="0"/>
                    <w:jc w:val="both"/>
                    <w:rPr>
                      <w:sz w:val="20"/>
                      <w:szCs w:val="20"/>
                      <w:lang w:val="es-ES_tradnl"/>
                    </w:rPr>
                  </w:pPr>
                  <w:r w:rsidRPr="00E74E3E">
                    <w:rPr>
                      <w:sz w:val="20"/>
                      <w:szCs w:val="20"/>
                      <w:lang w:val="fr-FR"/>
                    </w:rPr>
                    <w:t xml:space="preserve"> </w:t>
                  </w:r>
                  <w:r w:rsidRPr="001E726C">
                    <w:rPr>
                      <w:sz w:val="20"/>
                      <w:szCs w:val="20"/>
                      <w:lang w:val="es-ES_tradnl"/>
                    </w:rPr>
                    <w:t xml:space="preserve">9. Orgnac 3, </w:t>
                  </w:r>
                </w:p>
                <w:p w:rsidR="00B34B0F" w:rsidRPr="001E726C" w:rsidRDefault="00B34B0F" w:rsidP="00632F9C">
                  <w:pPr>
                    <w:autoSpaceDE w:val="0"/>
                    <w:autoSpaceDN w:val="0"/>
                    <w:adjustRightInd w:val="0"/>
                    <w:jc w:val="both"/>
                    <w:rPr>
                      <w:sz w:val="20"/>
                      <w:szCs w:val="20"/>
                      <w:lang w:val="es-ES_tradnl"/>
                    </w:rPr>
                  </w:pPr>
                  <w:r w:rsidRPr="001E726C">
                    <w:rPr>
                      <w:sz w:val="20"/>
                      <w:szCs w:val="20"/>
                      <w:lang w:val="es-ES_tradnl"/>
                    </w:rPr>
                    <w:t xml:space="preserve">10. AT Gran Dolina, </w:t>
                  </w:r>
                </w:p>
                <w:p w:rsidR="00B34B0F" w:rsidRPr="001E726C" w:rsidRDefault="00B34B0F" w:rsidP="00632F9C">
                  <w:pPr>
                    <w:autoSpaceDE w:val="0"/>
                    <w:autoSpaceDN w:val="0"/>
                    <w:adjustRightInd w:val="0"/>
                    <w:jc w:val="both"/>
                    <w:rPr>
                      <w:sz w:val="20"/>
                      <w:szCs w:val="20"/>
                      <w:lang w:val="es-ES_tradnl"/>
                    </w:rPr>
                  </w:pPr>
                  <w:r w:rsidRPr="001E726C">
                    <w:rPr>
                      <w:sz w:val="20"/>
                      <w:szCs w:val="20"/>
                      <w:lang w:val="es-ES_tradnl"/>
                    </w:rPr>
                    <w:t xml:space="preserve">11. Ambrona, </w:t>
                  </w:r>
                </w:p>
                <w:p w:rsidR="00B34B0F" w:rsidRPr="001E726C" w:rsidRDefault="00B34B0F" w:rsidP="00632F9C">
                  <w:pPr>
                    <w:autoSpaceDE w:val="0"/>
                    <w:autoSpaceDN w:val="0"/>
                    <w:adjustRightInd w:val="0"/>
                    <w:jc w:val="both"/>
                    <w:rPr>
                      <w:sz w:val="20"/>
                      <w:szCs w:val="20"/>
                      <w:lang w:val="es-ES_tradnl"/>
                    </w:rPr>
                  </w:pPr>
                  <w:r w:rsidRPr="001E726C">
                    <w:rPr>
                      <w:sz w:val="20"/>
                      <w:szCs w:val="20"/>
                      <w:lang w:val="es-ES_tradnl"/>
                    </w:rPr>
                    <w:t>12. Aridos 1,</w:t>
                  </w:r>
                </w:p>
                <w:p w:rsidR="00B34B0F" w:rsidRPr="001E726C" w:rsidRDefault="00B34B0F" w:rsidP="00632F9C">
                  <w:pPr>
                    <w:autoSpaceDE w:val="0"/>
                    <w:autoSpaceDN w:val="0"/>
                    <w:adjustRightInd w:val="0"/>
                    <w:jc w:val="both"/>
                    <w:rPr>
                      <w:sz w:val="20"/>
                      <w:szCs w:val="20"/>
                      <w:lang w:val="en-US"/>
                    </w:rPr>
                  </w:pPr>
                  <w:r w:rsidRPr="001E726C">
                    <w:rPr>
                      <w:sz w:val="20"/>
                      <w:szCs w:val="20"/>
                      <w:lang w:val="en-US"/>
                    </w:rPr>
                    <w:t xml:space="preserve">13. Domeny, </w:t>
                  </w:r>
                </w:p>
                <w:p w:rsidR="00B34B0F" w:rsidRPr="001E726C" w:rsidRDefault="00B34B0F" w:rsidP="00632F9C">
                  <w:pPr>
                    <w:autoSpaceDE w:val="0"/>
                    <w:autoSpaceDN w:val="0"/>
                    <w:adjustRightInd w:val="0"/>
                    <w:jc w:val="both"/>
                    <w:rPr>
                      <w:sz w:val="20"/>
                      <w:szCs w:val="20"/>
                      <w:lang w:val="en-US"/>
                    </w:rPr>
                  </w:pPr>
                  <w:r w:rsidRPr="001E726C">
                    <w:rPr>
                      <w:sz w:val="20"/>
                      <w:szCs w:val="20"/>
                      <w:lang w:val="en-US"/>
                    </w:rPr>
                    <w:t xml:space="preserve">14. Puig d’en Roca III; </w:t>
                  </w:r>
                </w:p>
                <w:p w:rsidR="00B34B0F" w:rsidRPr="00E74E3E" w:rsidRDefault="00B34B0F" w:rsidP="00632F9C">
                  <w:pPr>
                    <w:autoSpaceDE w:val="0"/>
                    <w:autoSpaceDN w:val="0"/>
                    <w:adjustRightInd w:val="0"/>
                    <w:jc w:val="both"/>
                    <w:rPr>
                      <w:sz w:val="20"/>
                      <w:szCs w:val="20"/>
                      <w:lang w:val="en-US"/>
                    </w:rPr>
                  </w:pPr>
                  <w:r w:rsidRPr="00E74E3E">
                    <w:rPr>
                      <w:b/>
                      <w:sz w:val="20"/>
                      <w:szCs w:val="20"/>
                      <w:lang w:val="en-US"/>
                    </w:rPr>
                    <w:t>B</w:t>
                  </w:r>
                  <w:r w:rsidRPr="00E74E3E">
                    <w:rPr>
                      <w:sz w:val="20"/>
                      <w:szCs w:val="20"/>
                      <w:lang w:val="en-US"/>
                    </w:rPr>
                    <w:t xml:space="preserve">: 1. Thames Valley, </w:t>
                  </w:r>
                </w:p>
                <w:p w:rsidR="00B34B0F" w:rsidRPr="00E74E3E" w:rsidRDefault="00B34B0F" w:rsidP="00632F9C">
                  <w:pPr>
                    <w:autoSpaceDE w:val="0"/>
                    <w:autoSpaceDN w:val="0"/>
                    <w:adjustRightInd w:val="0"/>
                    <w:jc w:val="both"/>
                    <w:rPr>
                      <w:sz w:val="20"/>
                      <w:szCs w:val="20"/>
                      <w:lang w:val="fr-FR"/>
                    </w:rPr>
                  </w:pPr>
                  <w:r w:rsidRPr="001E726C">
                    <w:rPr>
                      <w:sz w:val="20"/>
                      <w:szCs w:val="20"/>
                      <w:lang w:val="en-US"/>
                    </w:rPr>
                    <w:t xml:space="preserve">2. Maastricht-Belvedere, 3. </w:t>
                  </w:r>
                  <w:r w:rsidRPr="00E74E3E">
                    <w:rPr>
                      <w:sz w:val="20"/>
                      <w:szCs w:val="20"/>
                      <w:lang w:val="fr-FR"/>
                    </w:rPr>
                    <w:t xml:space="preserve">Biache-Saint-Vaast,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4. Bapaume Les Osiers, 5. Salouel,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6. Le Pucheuil,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7. Therdonne,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8. Le Rissori,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9. Ariendorf 1,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10. Achenheim,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11. Petit Bost,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12. Gran Rois, </w:t>
                  </w:r>
                </w:p>
                <w:p w:rsidR="00B34B0F" w:rsidRPr="00E74E3E" w:rsidRDefault="00B34B0F" w:rsidP="00632F9C">
                  <w:pPr>
                    <w:autoSpaceDE w:val="0"/>
                    <w:autoSpaceDN w:val="0"/>
                    <w:adjustRightInd w:val="0"/>
                    <w:jc w:val="both"/>
                    <w:rPr>
                      <w:sz w:val="20"/>
                      <w:szCs w:val="20"/>
                    </w:rPr>
                  </w:pPr>
                  <w:r w:rsidRPr="00E74E3E">
                    <w:rPr>
                      <w:sz w:val="20"/>
                      <w:szCs w:val="20"/>
                    </w:rPr>
                    <w:t xml:space="preserve">13. Cantalouette, </w:t>
                  </w:r>
                </w:p>
                <w:p w:rsidR="00B34B0F" w:rsidRPr="00521CBB" w:rsidRDefault="00B34B0F" w:rsidP="00632F9C">
                  <w:pPr>
                    <w:autoSpaceDE w:val="0"/>
                    <w:autoSpaceDN w:val="0"/>
                    <w:adjustRightInd w:val="0"/>
                    <w:jc w:val="both"/>
                    <w:rPr>
                      <w:sz w:val="20"/>
                      <w:szCs w:val="20"/>
                    </w:rPr>
                  </w:pPr>
                  <w:r w:rsidRPr="00521CBB">
                    <w:rPr>
                      <w:sz w:val="20"/>
                      <w:szCs w:val="20"/>
                    </w:rPr>
                    <w:t xml:space="preserve">14.Barbas, </w:t>
                  </w:r>
                </w:p>
                <w:p w:rsidR="00B34B0F" w:rsidRPr="00521CBB" w:rsidRDefault="00B34B0F" w:rsidP="00632F9C">
                  <w:pPr>
                    <w:autoSpaceDE w:val="0"/>
                    <w:autoSpaceDN w:val="0"/>
                    <w:adjustRightInd w:val="0"/>
                    <w:jc w:val="both"/>
                    <w:rPr>
                      <w:sz w:val="20"/>
                      <w:szCs w:val="20"/>
                    </w:rPr>
                  </w:pPr>
                  <w:r w:rsidRPr="00521CBB">
                    <w:rPr>
                      <w:sz w:val="20"/>
                      <w:szCs w:val="20"/>
                    </w:rPr>
                    <w:t>15. Campsas,</w:t>
                  </w:r>
                </w:p>
                <w:p w:rsidR="00B34B0F" w:rsidRPr="00521CBB" w:rsidRDefault="00B34B0F" w:rsidP="00632F9C">
                  <w:pPr>
                    <w:autoSpaceDE w:val="0"/>
                    <w:autoSpaceDN w:val="0"/>
                    <w:adjustRightInd w:val="0"/>
                    <w:jc w:val="both"/>
                    <w:rPr>
                      <w:sz w:val="20"/>
                      <w:szCs w:val="20"/>
                    </w:rPr>
                  </w:pPr>
                  <w:r w:rsidRPr="00521CBB">
                    <w:rPr>
                      <w:sz w:val="20"/>
                      <w:szCs w:val="20"/>
                    </w:rPr>
                    <w:t>16.Torralba, 17.GaleriaPesada,</w:t>
                  </w:r>
                </w:p>
                <w:p w:rsidR="00B34B0F" w:rsidRPr="00E74E3E" w:rsidRDefault="00B34B0F" w:rsidP="00632F9C">
                  <w:pPr>
                    <w:autoSpaceDE w:val="0"/>
                    <w:autoSpaceDN w:val="0"/>
                    <w:adjustRightInd w:val="0"/>
                    <w:jc w:val="both"/>
                    <w:rPr>
                      <w:sz w:val="20"/>
                      <w:szCs w:val="20"/>
                      <w:lang w:val="es-ES_tradnl"/>
                    </w:rPr>
                  </w:pPr>
                  <w:r w:rsidRPr="00E74E3E">
                    <w:rPr>
                      <w:sz w:val="20"/>
                      <w:szCs w:val="20"/>
                      <w:lang w:val="es-ES_tradnl"/>
                    </w:rPr>
                    <w:t>18</w:t>
                  </w:r>
                  <w:proofErr w:type="gramStart"/>
                  <w:r w:rsidRPr="00E74E3E">
                    <w:rPr>
                      <w:sz w:val="20"/>
                      <w:szCs w:val="20"/>
                      <w:lang w:val="es-ES_tradnl"/>
                    </w:rPr>
                    <w:t>.Baume</w:t>
                  </w:r>
                  <w:proofErr w:type="gramEnd"/>
                  <w:r w:rsidRPr="00E74E3E">
                    <w:rPr>
                      <w:sz w:val="20"/>
                      <w:szCs w:val="20"/>
                      <w:lang w:val="es-ES_tradnl"/>
                    </w:rPr>
                    <w:t xml:space="preserve"> Bonne, </w:t>
                  </w:r>
                </w:p>
                <w:p w:rsidR="00B34B0F" w:rsidRPr="001E726C" w:rsidRDefault="00B34B0F" w:rsidP="00632F9C">
                  <w:pPr>
                    <w:autoSpaceDE w:val="0"/>
                    <w:autoSpaceDN w:val="0"/>
                    <w:adjustRightInd w:val="0"/>
                    <w:jc w:val="both"/>
                    <w:rPr>
                      <w:sz w:val="20"/>
                      <w:szCs w:val="20"/>
                      <w:lang w:val="es-ES_tradnl"/>
                    </w:rPr>
                  </w:pPr>
                  <w:r w:rsidRPr="001E726C">
                    <w:rPr>
                      <w:sz w:val="20"/>
                      <w:szCs w:val="20"/>
                      <w:lang w:val="es-ES_tradnl"/>
                    </w:rPr>
                    <w:t>19. San Bernardino,</w:t>
                  </w:r>
                </w:p>
                <w:p w:rsidR="00B34B0F" w:rsidRPr="001E726C" w:rsidRDefault="00B34B0F" w:rsidP="00632F9C">
                  <w:pPr>
                    <w:autoSpaceDE w:val="0"/>
                    <w:autoSpaceDN w:val="0"/>
                    <w:adjustRightInd w:val="0"/>
                    <w:jc w:val="both"/>
                    <w:rPr>
                      <w:sz w:val="20"/>
                      <w:szCs w:val="20"/>
                      <w:lang w:val="es-ES_tradnl"/>
                    </w:rPr>
                  </w:pPr>
                  <w:r w:rsidRPr="001E726C">
                    <w:rPr>
                      <w:sz w:val="20"/>
                      <w:szCs w:val="20"/>
                      <w:lang w:val="es-ES_tradnl"/>
                    </w:rPr>
                    <w:t xml:space="preserve">20. Korolevo; </w:t>
                  </w:r>
                </w:p>
                <w:p w:rsidR="00B34B0F" w:rsidRPr="00E74E3E" w:rsidRDefault="00B34B0F" w:rsidP="00632F9C">
                  <w:pPr>
                    <w:autoSpaceDE w:val="0"/>
                    <w:autoSpaceDN w:val="0"/>
                    <w:adjustRightInd w:val="0"/>
                    <w:jc w:val="both"/>
                    <w:rPr>
                      <w:sz w:val="20"/>
                      <w:szCs w:val="20"/>
                      <w:lang w:val="fr-FR"/>
                    </w:rPr>
                  </w:pPr>
                  <w:r w:rsidRPr="00E74E3E">
                    <w:rPr>
                      <w:b/>
                      <w:sz w:val="20"/>
                      <w:szCs w:val="20"/>
                      <w:lang w:val="fr-FR"/>
                    </w:rPr>
                    <w:t>C</w:t>
                  </w:r>
                  <w:r w:rsidRPr="00E74E3E">
                    <w:rPr>
                      <w:sz w:val="20"/>
                      <w:szCs w:val="20"/>
                      <w:lang w:val="fr-FR"/>
                    </w:rPr>
                    <w:t xml:space="preserve">: 1. Le Pucheuil,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2. La Cotte San Brelade, </w:t>
                  </w:r>
                </w:p>
                <w:p w:rsidR="00B34B0F" w:rsidRPr="00E74E3E" w:rsidRDefault="00B34B0F" w:rsidP="00632F9C">
                  <w:pPr>
                    <w:autoSpaceDE w:val="0"/>
                    <w:autoSpaceDN w:val="0"/>
                    <w:adjustRightInd w:val="0"/>
                    <w:jc w:val="both"/>
                    <w:rPr>
                      <w:sz w:val="20"/>
                      <w:szCs w:val="20"/>
                    </w:rPr>
                  </w:pPr>
                  <w:r w:rsidRPr="00E74E3E">
                    <w:rPr>
                      <w:sz w:val="20"/>
                      <w:szCs w:val="20"/>
                    </w:rPr>
                    <w:t xml:space="preserve">3. Markkleeberg, </w:t>
                  </w:r>
                </w:p>
                <w:p w:rsidR="00B34B0F" w:rsidRPr="00E74E3E" w:rsidRDefault="00B34B0F" w:rsidP="00632F9C">
                  <w:pPr>
                    <w:autoSpaceDE w:val="0"/>
                    <w:autoSpaceDN w:val="0"/>
                    <w:adjustRightInd w:val="0"/>
                    <w:jc w:val="both"/>
                    <w:rPr>
                      <w:sz w:val="20"/>
                      <w:szCs w:val="20"/>
                    </w:rPr>
                  </w:pPr>
                  <w:r w:rsidRPr="00E74E3E">
                    <w:rPr>
                      <w:sz w:val="20"/>
                      <w:szCs w:val="20"/>
                    </w:rPr>
                    <w:t xml:space="preserve">4. Achenheim, </w:t>
                  </w:r>
                </w:p>
                <w:p w:rsidR="00B34B0F" w:rsidRPr="00E74E3E" w:rsidRDefault="00B34B0F" w:rsidP="00632F9C">
                  <w:pPr>
                    <w:autoSpaceDE w:val="0"/>
                    <w:autoSpaceDN w:val="0"/>
                    <w:adjustRightInd w:val="0"/>
                    <w:jc w:val="both"/>
                    <w:rPr>
                      <w:sz w:val="20"/>
                      <w:szCs w:val="20"/>
                    </w:rPr>
                  </w:pPr>
                  <w:r w:rsidRPr="00E74E3E">
                    <w:rPr>
                      <w:sz w:val="20"/>
                      <w:szCs w:val="20"/>
                    </w:rPr>
                    <w:t xml:space="preserve">5. Abri Suard, </w:t>
                  </w:r>
                </w:p>
                <w:p w:rsidR="00B34B0F" w:rsidRPr="00E74E3E" w:rsidRDefault="00B34B0F" w:rsidP="00632F9C">
                  <w:pPr>
                    <w:autoSpaceDE w:val="0"/>
                    <w:autoSpaceDN w:val="0"/>
                    <w:adjustRightInd w:val="0"/>
                    <w:jc w:val="both"/>
                    <w:rPr>
                      <w:sz w:val="20"/>
                      <w:szCs w:val="20"/>
                    </w:rPr>
                  </w:pPr>
                  <w:r w:rsidRPr="00E74E3E">
                    <w:rPr>
                      <w:sz w:val="20"/>
                      <w:szCs w:val="20"/>
                    </w:rPr>
                    <w:t xml:space="preserve">6.Barbas,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7. Cantalouette,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8. Grotte Vaufrey, </w:t>
                  </w:r>
                </w:p>
                <w:p w:rsidR="00B34B0F" w:rsidRPr="001E726C" w:rsidRDefault="00B34B0F" w:rsidP="00632F9C">
                  <w:pPr>
                    <w:autoSpaceDE w:val="0"/>
                    <w:autoSpaceDN w:val="0"/>
                    <w:adjustRightInd w:val="0"/>
                    <w:jc w:val="both"/>
                    <w:rPr>
                      <w:sz w:val="20"/>
                      <w:szCs w:val="20"/>
                      <w:lang w:val="fr-FR"/>
                    </w:rPr>
                  </w:pPr>
                  <w:r w:rsidRPr="001E726C">
                    <w:rPr>
                      <w:sz w:val="20"/>
                      <w:szCs w:val="20"/>
                      <w:lang w:val="fr-FR"/>
                    </w:rPr>
                    <w:t xml:space="preserve">9. Baume Bonne, </w:t>
                  </w:r>
                </w:p>
                <w:p w:rsidR="00B34B0F" w:rsidRPr="00E74E3E" w:rsidRDefault="00B34B0F" w:rsidP="00632F9C">
                  <w:pPr>
                    <w:autoSpaceDE w:val="0"/>
                    <w:autoSpaceDN w:val="0"/>
                    <w:adjustRightInd w:val="0"/>
                    <w:jc w:val="both"/>
                    <w:rPr>
                      <w:sz w:val="20"/>
                      <w:szCs w:val="20"/>
                      <w:lang w:val="es-ES_tradnl"/>
                    </w:rPr>
                  </w:pPr>
                  <w:r w:rsidRPr="00E74E3E">
                    <w:rPr>
                      <w:sz w:val="20"/>
                      <w:szCs w:val="20"/>
                      <w:lang w:val="es-ES_tradnl"/>
                    </w:rPr>
                    <w:t>10. Lazaret,</w:t>
                  </w:r>
                </w:p>
                <w:p w:rsidR="00B34B0F" w:rsidRPr="00E74E3E" w:rsidRDefault="00B34B0F" w:rsidP="00632F9C">
                  <w:pPr>
                    <w:autoSpaceDE w:val="0"/>
                    <w:autoSpaceDN w:val="0"/>
                    <w:adjustRightInd w:val="0"/>
                    <w:jc w:val="both"/>
                    <w:rPr>
                      <w:sz w:val="20"/>
                      <w:szCs w:val="20"/>
                      <w:lang w:val="es-ES_tradnl"/>
                    </w:rPr>
                  </w:pPr>
                  <w:r w:rsidRPr="00E74E3E">
                    <w:rPr>
                      <w:sz w:val="20"/>
                      <w:szCs w:val="20"/>
                      <w:lang w:val="es-ES_tradnl"/>
                    </w:rPr>
                    <w:t xml:space="preserve">11. San Bernardino, </w:t>
                  </w:r>
                </w:p>
                <w:p w:rsidR="00B34B0F" w:rsidRPr="00E74E3E" w:rsidRDefault="00B34B0F" w:rsidP="00632F9C">
                  <w:pPr>
                    <w:autoSpaceDE w:val="0"/>
                    <w:autoSpaceDN w:val="0"/>
                    <w:adjustRightInd w:val="0"/>
                    <w:jc w:val="both"/>
                    <w:rPr>
                      <w:sz w:val="20"/>
                      <w:szCs w:val="20"/>
                      <w:lang w:val="es-ES_tradnl"/>
                    </w:rPr>
                  </w:pPr>
                  <w:r w:rsidRPr="00E74E3E">
                    <w:rPr>
                      <w:sz w:val="20"/>
                      <w:szCs w:val="20"/>
                      <w:lang w:val="es-ES_tradnl"/>
                    </w:rPr>
                    <w:t xml:space="preserve">12. Krapina, </w:t>
                  </w:r>
                </w:p>
                <w:p w:rsidR="00B34B0F" w:rsidRPr="00E74E3E" w:rsidRDefault="00B34B0F" w:rsidP="00632F9C">
                  <w:pPr>
                    <w:autoSpaceDE w:val="0"/>
                    <w:autoSpaceDN w:val="0"/>
                    <w:adjustRightInd w:val="0"/>
                    <w:jc w:val="both"/>
                    <w:rPr>
                      <w:sz w:val="20"/>
                      <w:szCs w:val="20"/>
                      <w:lang w:val="es-ES_tradnl"/>
                    </w:rPr>
                  </w:pPr>
                  <w:r w:rsidRPr="00E74E3E">
                    <w:rPr>
                      <w:sz w:val="20"/>
                      <w:szCs w:val="20"/>
                      <w:lang w:val="es-ES_tradnl"/>
                    </w:rPr>
                    <w:t xml:space="preserve">13. Lezetxiki, </w:t>
                  </w:r>
                </w:p>
                <w:p w:rsidR="00B34B0F" w:rsidRPr="00E74E3E" w:rsidRDefault="00B34B0F" w:rsidP="00632F9C">
                  <w:pPr>
                    <w:autoSpaceDE w:val="0"/>
                    <w:autoSpaceDN w:val="0"/>
                    <w:adjustRightInd w:val="0"/>
                    <w:jc w:val="both"/>
                    <w:rPr>
                      <w:sz w:val="20"/>
                      <w:szCs w:val="20"/>
                    </w:rPr>
                  </w:pPr>
                  <w:r w:rsidRPr="00E74E3E">
                    <w:rPr>
                      <w:sz w:val="20"/>
                      <w:szCs w:val="20"/>
                    </w:rPr>
                    <w:t xml:space="preserve">14. Cariguela, </w:t>
                  </w:r>
                </w:p>
                <w:p w:rsidR="00B34B0F" w:rsidRPr="00E74E3E" w:rsidRDefault="00B34B0F" w:rsidP="00632F9C">
                  <w:pPr>
                    <w:autoSpaceDE w:val="0"/>
                    <w:autoSpaceDN w:val="0"/>
                    <w:adjustRightInd w:val="0"/>
                    <w:jc w:val="both"/>
                    <w:rPr>
                      <w:sz w:val="20"/>
                      <w:szCs w:val="20"/>
                    </w:rPr>
                  </w:pPr>
                  <w:r w:rsidRPr="00E74E3E">
                    <w:rPr>
                      <w:sz w:val="20"/>
                      <w:szCs w:val="20"/>
                    </w:rPr>
                    <w:t>15. Solana</w:t>
                  </w:r>
                </w:p>
                <w:p w:rsidR="00B34B0F" w:rsidRPr="00E74E3E" w:rsidRDefault="00B34B0F" w:rsidP="00632F9C">
                  <w:pPr>
                    <w:autoSpaceDE w:val="0"/>
                    <w:autoSpaceDN w:val="0"/>
                    <w:adjustRightInd w:val="0"/>
                    <w:jc w:val="both"/>
                    <w:rPr>
                      <w:sz w:val="20"/>
                      <w:szCs w:val="20"/>
                    </w:rPr>
                  </w:pPr>
                  <w:proofErr w:type="gramStart"/>
                  <w:r w:rsidRPr="00E74E3E">
                    <w:rPr>
                      <w:sz w:val="20"/>
                      <w:szCs w:val="20"/>
                    </w:rPr>
                    <w:t>del</w:t>
                  </w:r>
                  <w:proofErr w:type="gramEnd"/>
                  <w:r w:rsidRPr="00E74E3E">
                    <w:rPr>
                      <w:sz w:val="20"/>
                      <w:szCs w:val="20"/>
                    </w:rPr>
                    <w:t xml:space="preserve"> Zamborino, </w:t>
                  </w:r>
                </w:p>
                <w:p w:rsidR="00B34B0F" w:rsidRPr="00E74E3E" w:rsidRDefault="00B34B0F" w:rsidP="00632F9C">
                  <w:pPr>
                    <w:autoSpaceDE w:val="0"/>
                    <w:autoSpaceDN w:val="0"/>
                    <w:adjustRightInd w:val="0"/>
                    <w:jc w:val="both"/>
                    <w:rPr>
                      <w:sz w:val="20"/>
                      <w:szCs w:val="20"/>
                    </w:rPr>
                  </w:pPr>
                  <w:r w:rsidRPr="00E74E3E">
                    <w:rPr>
                      <w:sz w:val="20"/>
                      <w:szCs w:val="20"/>
                    </w:rPr>
                    <w:t xml:space="preserve">16. Poggio, </w:t>
                  </w:r>
                </w:p>
                <w:p w:rsidR="00B34B0F" w:rsidRPr="00E74E3E" w:rsidRDefault="00B34B0F" w:rsidP="00632F9C">
                  <w:pPr>
                    <w:autoSpaceDE w:val="0"/>
                    <w:autoSpaceDN w:val="0"/>
                    <w:adjustRightInd w:val="0"/>
                    <w:jc w:val="both"/>
                    <w:rPr>
                      <w:sz w:val="20"/>
                      <w:szCs w:val="20"/>
                    </w:rPr>
                  </w:pPr>
                  <w:r w:rsidRPr="00E74E3E">
                    <w:rPr>
                      <w:sz w:val="20"/>
                      <w:szCs w:val="20"/>
                    </w:rPr>
                    <w:t xml:space="preserve">17. Molare. </w:t>
                  </w:r>
                </w:p>
                <w:p w:rsidR="00B34B0F" w:rsidRPr="001E726C" w:rsidRDefault="00B34B0F" w:rsidP="00632F9C">
                  <w:pPr>
                    <w:autoSpaceDE w:val="0"/>
                    <w:autoSpaceDN w:val="0"/>
                    <w:adjustRightInd w:val="0"/>
                    <w:jc w:val="both"/>
                    <w:rPr>
                      <w:sz w:val="20"/>
                      <w:szCs w:val="20"/>
                      <w:lang w:val="fr-FR"/>
                    </w:rPr>
                  </w:pPr>
                  <w:r w:rsidRPr="00E74E3E">
                    <w:rPr>
                      <w:sz w:val="20"/>
                      <w:szCs w:val="20"/>
                    </w:rPr>
                    <w:t xml:space="preserve">Quadrados: bifaces e Levallois; Círculos: Levallois. </w:t>
                  </w:r>
                  <w:r w:rsidRPr="001E726C">
                    <w:rPr>
                      <w:sz w:val="20"/>
                      <w:szCs w:val="20"/>
                      <w:lang w:val="fr-FR"/>
                    </w:rPr>
                    <w:t>(Retirado de : Picin et al 2013).</w:t>
                  </w:r>
                </w:p>
              </w:txbxContent>
            </v:textbox>
          </v:shape>
        </w:pict>
      </w:r>
      <w:r w:rsidR="00632F9C">
        <w:rPr>
          <w:noProof/>
        </w:rPr>
        <w:drawing>
          <wp:inline distT="0" distB="0" distL="0" distR="0">
            <wp:extent cx="4152900" cy="8877300"/>
            <wp:effectExtent l="19050" t="0" r="0" b="0"/>
            <wp:docPr id="17" name="Imagem 2" descr="PM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MEuropa"/>
                    <pic:cNvPicPr>
                      <a:picLocks noChangeAspect="1" noChangeArrowheads="1"/>
                    </pic:cNvPicPr>
                  </pic:nvPicPr>
                  <pic:blipFill>
                    <a:blip r:embed="rId24" cstate="print"/>
                    <a:srcRect/>
                    <a:stretch>
                      <a:fillRect/>
                    </a:stretch>
                  </pic:blipFill>
                  <pic:spPr bwMode="auto">
                    <a:xfrm>
                      <a:off x="0" y="0"/>
                      <a:ext cx="4152900" cy="8877300"/>
                    </a:xfrm>
                    <a:prstGeom prst="rect">
                      <a:avLst/>
                    </a:prstGeom>
                    <a:noFill/>
                    <a:ln w="9525">
                      <a:noFill/>
                      <a:miter lim="800000"/>
                      <a:headEnd/>
                      <a:tailEnd/>
                    </a:ln>
                  </pic:spPr>
                </pic:pic>
              </a:graphicData>
            </a:graphic>
          </wp:inline>
        </w:drawing>
      </w:r>
    </w:p>
    <w:p w:rsidR="00632F9C" w:rsidRPr="00F738D8" w:rsidRDefault="00632F9C" w:rsidP="00632F9C">
      <w:pPr>
        <w:spacing w:line="360" w:lineRule="auto"/>
        <w:jc w:val="both"/>
        <w:rPr>
          <w:b/>
        </w:rPr>
      </w:pPr>
      <w:r w:rsidRPr="00F738D8">
        <w:rPr>
          <w:b/>
        </w:rPr>
        <w:lastRenderedPageBreak/>
        <w:t>4.3- O final do Paleolítico Inferior</w:t>
      </w:r>
      <w:r>
        <w:rPr>
          <w:b/>
        </w:rPr>
        <w:t xml:space="preserve"> em Portugal.</w:t>
      </w:r>
    </w:p>
    <w:p w:rsidR="00632F9C" w:rsidRPr="00F738D8" w:rsidRDefault="00632F9C" w:rsidP="00632F9C">
      <w:pPr>
        <w:spacing w:line="360" w:lineRule="auto"/>
        <w:jc w:val="both"/>
      </w:pPr>
    </w:p>
    <w:p w:rsidR="00632F9C" w:rsidRPr="00F738D8" w:rsidRDefault="00632F9C" w:rsidP="00632F9C">
      <w:pPr>
        <w:spacing w:line="360" w:lineRule="auto"/>
        <w:ind w:firstLine="708"/>
        <w:jc w:val="both"/>
      </w:pPr>
      <w:r w:rsidRPr="00F738D8">
        <w:t>Para intentar perceber a génese do processo de “</w:t>
      </w:r>
      <w:r w:rsidRPr="00F738D8">
        <w:rPr>
          <w:i/>
        </w:rPr>
        <w:t>medializ</w:t>
      </w:r>
      <w:r w:rsidR="00F97B11">
        <w:rPr>
          <w:i/>
        </w:rPr>
        <w:t>a</w:t>
      </w:r>
      <w:r w:rsidRPr="00F738D8">
        <w:rPr>
          <w:i/>
        </w:rPr>
        <w:t>ção”</w:t>
      </w:r>
      <w:r w:rsidRPr="00F738D8">
        <w:t xml:space="preserve"> das indústrias líticas devemos observar o aparecimento de talhe Levallois nos conjuntos de Paleolítico inferior. </w:t>
      </w:r>
    </w:p>
    <w:p w:rsidR="00632F9C" w:rsidRPr="00F738D8" w:rsidRDefault="00632F9C" w:rsidP="00632F9C">
      <w:pPr>
        <w:spacing w:line="360" w:lineRule="auto"/>
        <w:ind w:firstLine="708"/>
        <w:jc w:val="both"/>
      </w:pPr>
      <w:r w:rsidRPr="00F738D8">
        <w:t xml:space="preserve">Um dos poucos conjuntos atribuídos a este último período que foi alvo de um estudado aprofundado corresponde à indústria lítica do Acheulense do vale do Lis. Este conjunto serviu para a elaboração de uma tese de doutoramento (Cunha Ribeiro, 1999). </w:t>
      </w:r>
    </w:p>
    <w:p w:rsidR="00632F9C" w:rsidRPr="00F738D8" w:rsidRDefault="00632F9C" w:rsidP="00632F9C">
      <w:pPr>
        <w:spacing w:line="360" w:lineRule="auto"/>
        <w:jc w:val="both"/>
      </w:pPr>
      <w:r w:rsidRPr="00F738D8">
        <w:t xml:space="preserve">Uma das estações aí dissecadas, Casal do Azemel, merece uma referência. Esta estação apresenta características que a distingue das outras estações estudadas, algo já identificado pelo próprio autor desse estudo. Esta diferença assenta na presença de cadeias operatórias de configuração de peças bifaciais plano convexas e na prevalência de cadeias operatórias de debitagem centrípeta relativamente intensiva de núcleos para a produção de lascas (Cunha Ribeiro, 1999). Infelizmente estes materiais deverão estar em posição secundária, não existindo qualquer datação absoluta para esta ocupação.  </w:t>
      </w:r>
    </w:p>
    <w:p w:rsidR="00632F9C" w:rsidRPr="00F738D8" w:rsidRDefault="00632F9C" w:rsidP="00632F9C">
      <w:pPr>
        <w:spacing w:line="360" w:lineRule="auto"/>
        <w:ind w:firstLine="708"/>
        <w:jc w:val="both"/>
      </w:pPr>
      <w:r w:rsidRPr="00F738D8">
        <w:t>Na zona de Alpiarça, no terraço Q3, identificaram-se níveis de ocupações humanas com relevância para a temática em questão. Vários sítios foram escavados parcialmente nas localidades de Vale do Forno e Vale da Atela. O sítio de Vale do Forno 8 apresentou um grande número de peças (cerca de 3000) atribuído a um Acheulense final. No sítio de Vale do Forno 3 (também conhecid</w:t>
      </w:r>
      <w:r>
        <w:t>o</w:t>
      </w:r>
      <w:r w:rsidRPr="00F738D8">
        <w:t xml:space="preserve"> como Milharós), uma indústria de tipo Micoquense, foi identificada (Mozzi </w:t>
      </w:r>
      <w:r w:rsidRPr="00F738D8">
        <w:rPr>
          <w:i/>
        </w:rPr>
        <w:t>et al</w:t>
      </w:r>
      <w:r w:rsidRPr="00F738D8">
        <w:t xml:space="preserve"> 2000, Salvador, 2002). Infelizmente por falta de sinal de TL nas amostras analisadas, as datações conseguidas para estes sítios não são precisas. </w:t>
      </w:r>
    </w:p>
    <w:p w:rsidR="00632F9C" w:rsidRPr="00F738D8" w:rsidRDefault="00632F9C" w:rsidP="00632F9C">
      <w:pPr>
        <w:autoSpaceDE w:val="0"/>
        <w:autoSpaceDN w:val="0"/>
        <w:adjustRightInd w:val="0"/>
        <w:spacing w:line="360" w:lineRule="auto"/>
        <w:ind w:firstLine="708"/>
        <w:jc w:val="both"/>
        <w:rPr>
          <w:color w:val="000000"/>
        </w:rPr>
      </w:pPr>
      <w:r w:rsidRPr="00F738D8">
        <w:t xml:space="preserve">Outro sítio que traz alguns indicadores para a transição do Paleolítico inferior para o Paleolítico médio localiza-se na margem direita do Tejo, perto de Vila Nova da Barquinha. </w:t>
      </w:r>
      <w:r>
        <w:t>A jazida</w:t>
      </w:r>
      <w:r w:rsidRPr="00F738D8">
        <w:t xml:space="preserve"> da Ribeira da Ponte da Pedra ou Ribeira da Atalaia situa-se numa encosta onde escavações arqueológicas revelaram a presença de dois níveis com indústria lítica. A ocupação mais antiga foi datada em 304 437 ± 19 595 yBP (ITN-LUM-36) e </w:t>
      </w:r>
      <w:r>
        <w:t>a</w:t>
      </w:r>
      <w:r w:rsidRPr="00F738D8">
        <w:t xml:space="preserve"> mais recente em 89 980 ± 13 389 yBP (ITN-LUM-35 PA4). Além destes dois níveis foi ainda identificada uma lareira embalada em areias coluvionares que recobre as restantes unidades datada em cerca de 25 </w:t>
      </w:r>
      <w:r>
        <w:t>Ka</w:t>
      </w:r>
      <w:r w:rsidRPr="00F738D8">
        <w:t xml:space="preserve"> (Cura e G</w:t>
      </w:r>
      <w:r>
        <w:t>r</w:t>
      </w:r>
      <w:r w:rsidRPr="00F738D8">
        <w:t xml:space="preserve">imaldi, 2009). A ocupação mais antiga, com 300 </w:t>
      </w:r>
      <w:r>
        <w:t>Ka</w:t>
      </w:r>
      <w:r w:rsidRPr="00F738D8">
        <w:t xml:space="preserve"> representa ainda uma indústria Acheulense típica sem qualquer indício de debitagem Levallois. Sobre a segunda ocupação, datada de cerca de 90 </w:t>
      </w:r>
      <w:r>
        <w:t>Ka</w:t>
      </w:r>
      <w:r w:rsidRPr="00F738D8">
        <w:t xml:space="preserve">, não existe ainda estudo das cerca de 300 peças que constituem o </w:t>
      </w:r>
      <w:r w:rsidRPr="00F738D8">
        <w:lastRenderedPageBreak/>
        <w:t xml:space="preserve">conjunto embora seja possível já evidenciar a existência de debitagem Levallois e discóide (Rosina </w:t>
      </w:r>
      <w:r w:rsidRPr="00F738D8">
        <w:rPr>
          <w:i/>
        </w:rPr>
        <w:t>et al</w:t>
      </w:r>
      <w:r w:rsidRPr="00F738D8">
        <w:t>, 2010).</w:t>
      </w:r>
    </w:p>
    <w:p w:rsidR="00632F9C" w:rsidRPr="00F738D8" w:rsidRDefault="00632F9C" w:rsidP="00632F9C">
      <w:pPr>
        <w:spacing w:line="360" w:lineRule="auto"/>
        <w:ind w:firstLine="708"/>
        <w:jc w:val="both"/>
      </w:pPr>
      <w:r w:rsidRPr="00F738D8">
        <w:t xml:space="preserve">A estação em gruta da Galeria Pesada, localizada na escarpa calcária da nascente do Almonda, perto de Torres Novas </w:t>
      </w:r>
      <w:r w:rsidRPr="00F738D8">
        <w:rPr>
          <w:bCs/>
        </w:rPr>
        <w:t xml:space="preserve">apresenta indústria lítica associada a restos faunísticos. A fauna é variada estando representados mamíferos, especialmente grandes herbívoros e lagomorfos, e pássaros </w:t>
      </w:r>
      <w:r w:rsidRPr="00F738D8">
        <w:t xml:space="preserve">(Marks </w:t>
      </w:r>
      <w:r w:rsidRPr="00F738D8">
        <w:rPr>
          <w:i/>
        </w:rPr>
        <w:t>et al</w:t>
      </w:r>
      <w:r w:rsidRPr="00F738D8">
        <w:t xml:space="preserve">, 2002). </w:t>
      </w:r>
      <w:r w:rsidRPr="00F738D8">
        <w:rPr>
          <w:bCs/>
        </w:rPr>
        <w:t xml:space="preserve">A indústria lítica recolhida nos vários níveis de ocupação identificados é homogénea entre si mas, as suas características únicas, tornam difícil a sua inserção cultural em qualquer complexo até agora identificado no final do Paleolítico Inferior ou no Início do Paleolítico médio inicial. De facto, verifica-se a presença de bifaces tipicamente acheulenses associados a abundantes pequenos bifaces assimétricos, peças bifaciais foliáceas, faca de dorso natural e retoque bifacial (Keilmesser) ao que se soma a ausência de debitagem Levallois. Esta panóplia lítica não se encontra em mais nenhum sítio até agora conhecido na Península Ibérica </w:t>
      </w:r>
      <w:r w:rsidRPr="00F738D8">
        <w:t xml:space="preserve">(Marks </w:t>
      </w:r>
      <w:r w:rsidRPr="00F738D8">
        <w:rPr>
          <w:i/>
        </w:rPr>
        <w:t>et al</w:t>
      </w:r>
      <w:r w:rsidRPr="00F738D8">
        <w:t xml:space="preserve">, 2002). A analogia tipológica mais próxima seria com o Micoquense do Leste europeu, que porém é mais recente. </w:t>
      </w:r>
      <w:r w:rsidRPr="00F738D8">
        <w:rPr>
          <w:bCs/>
        </w:rPr>
        <w:t xml:space="preserve">As datações por ESR conseguidas até agora apresentam resultados à volta dos 200/240 </w:t>
      </w:r>
      <w:r>
        <w:rPr>
          <w:bCs/>
        </w:rPr>
        <w:t>Ka</w:t>
      </w:r>
      <w:r w:rsidRPr="00F738D8">
        <w:rPr>
          <w:bCs/>
        </w:rPr>
        <w:t xml:space="preserve"> ou seja atribuíveis ao estádio isotópico 7 </w:t>
      </w:r>
      <w:r w:rsidRPr="00F738D8">
        <w:t xml:space="preserve">(Marks </w:t>
      </w:r>
      <w:r w:rsidRPr="00F738D8">
        <w:rPr>
          <w:i/>
        </w:rPr>
        <w:t>et al</w:t>
      </w:r>
      <w:r w:rsidRPr="00F738D8">
        <w:t xml:space="preserve">, 2002). Este sítio poderá representar um exemplo da variedade tecnológica e tipológica existente neste período charneira entre o Paleolítico inferior e Paleolítico médio. </w:t>
      </w:r>
    </w:p>
    <w:p w:rsidR="00632F9C" w:rsidRPr="00F738D8" w:rsidRDefault="00632F9C" w:rsidP="00632F9C">
      <w:pPr>
        <w:spacing w:line="360" w:lineRule="auto"/>
        <w:jc w:val="both"/>
      </w:pPr>
    </w:p>
    <w:p w:rsidR="00632F9C" w:rsidRPr="00F738D8" w:rsidRDefault="00632F9C" w:rsidP="00632F9C">
      <w:pPr>
        <w:spacing w:line="360" w:lineRule="auto"/>
        <w:jc w:val="both"/>
      </w:pPr>
    </w:p>
    <w:p w:rsidR="00632F9C" w:rsidRPr="00F738D8" w:rsidRDefault="00632F9C" w:rsidP="00632F9C">
      <w:pPr>
        <w:spacing w:line="360" w:lineRule="auto"/>
        <w:jc w:val="both"/>
        <w:rPr>
          <w:b/>
        </w:rPr>
      </w:pPr>
      <w:r w:rsidRPr="00F738D8">
        <w:rPr>
          <w:b/>
        </w:rPr>
        <w:t>4.4 - O Paleolítico m</w:t>
      </w:r>
      <w:r>
        <w:rPr>
          <w:b/>
        </w:rPr>
        <w:t>édio em Portugal.</w:t>
      </w:r>
    </w:p>
    <w:p w:rsidR="00632F9C" w:rsidRPr="00F738D8" w:rsidRDefault="00632F9C" w:rsidP="00632F9C">
      <w:pPr>
        <w:spacing w:line="360" w:lineRule="auto"/>
        <w:jc w:val="both"/>
        <w:rPr>
          <w:b/>
        </w:rPr>
      </w:pPr>
    </w:p>
    <w:p w:rsidR="00632F9C" w:rsidRPr="00F738D8" w:rsidRDefault="00632F9C" w:rsidP="00632F9C">
      <w:pPr>
        <w:spacing w:line="360" w:lineRule="auto"/>
        <w:ind w:firstLine="708"/>
        <w:jc w:val="both"/>
      </w:pPr>
      <w:r w:rsidRPr="00F738D8">
        <w:t xml:space="preserve">Uma das primeiras impressões que sobressaem aquando da abordagem que qualquer pessoa faça ao Paleolítico médio Português, é o parco número de sítios investigados com o intuito primeiro de se investigar este período. Os sítios onde existem referências a este período são correntemente resultado de escavações em gruta que atingiram níveis de Paleolítico médio. Noutros casos, a identificação de sítios do Paleolítico médio deveu-se a achados fortuitos aquando da realização de obras públicas ou privadas. </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Embora exista um registo significativo de sítios arqueológicos atribuídos cronologicamente ao Paleolítico médio na Base e Dados da Arqueologia Nacional (</w:t>
      </w:r>
      <w:r w:rsidRPr="00F738D8">
        <w:rPr>
          <w:i/>
          <w:color w:val="000000"/>
        </w:rPr>
        <w:t>Endovellico</w:t>
      </w:r>
      <w:r w:rsidRPr="00F738D8">
        <w:rPr>
          <w:color w:val="000000"/>
        </w:rPr>
        <w:t>), poucos são os sítios escavados, datados e publicados (Fig. 4.3.). Como muito bem o referiu Carrondo (20</w:t>
      </w:r>
      <w:r>
        <w:rPr>
          <w:color w:val="000000"/>
        </w:rPr>
        <w:t>13</w:t>
      </w:r>
      <w:r w:rsidRPr="00F738D8">
        <w:rPr>
          <w:color w:val="000000"/>
        </w:rPr>
        <w:t>), na sua tese de mestrado: “</w:t>
      </w:r>
      <w:r w:rsidRPr="00F738D8">
        <w:rPr>
          <w:i/>
          <w:color w:val="000000"/>
        </w:rPr>
        <w:t xml:space="preserve">Os estudos de sítios de </w:t>
      </w:r>
      <w:r w:rsidRPr="00F738D8">
        <w:rPr>
          <w:i/>
          <w:color w:val="000000"/>
        </w:rPr>
        <w:lastRenderedPageBreak/>
        <w:t>ar livre não se encontram detalhadamente publicados o que dificulta, não só uma leitura comparativa em termos tecnológicos mas também uma consequente interpretação em termos genéricos dos comportamentos tecno-económicos do Homem de Neandertal</w:t>
      </w:r>
      <w:r w:rsidRPr="00F738D8">
        <w:rPr>
          <w:color w:val="000000"/>
        </w:rPr>
        <w:t xml:space="preserve"> “. </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Porém, o grande número de sítios registados pode atenuar os possíveis erros de atribuição cronológica. Uma das conclusões que se pode tirar da distribuição dos sítios do Paleolítico médio é que as concentrações apresentadas correspondem a áreas que foram alvo de prospeções com o objetivo de identificar sítios do período Paleolítico ou obras de acompanhamento onde existiu presença de arqueólogos com experiência nestas cronologias. A ausência de sítios do Paleolítico médio, nalgumas regiões do território português, deve ser antes atribuída à ausência de trabalhos direcionado</w:t>
      </w:r>
      <w:r>
        <w:rPr>
          <w:color w:val="000000"/>
        </w:rPr>
        <w:t>s</w:t>
      </w:r>
      <w:r w:rsidRPr="00F738D8">
        <w:rPr>
          <w:color w:val="000000"/>
        </w:rPr>
        <w:t xml:space="preserve"> para esse fim do que à ausência de ocupações propriamente ditas.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spacing w:line="360" w:lineRule="auto"/>
        <w:jc w:val="both"/>
      </w:pPr>
    </w:p>
    <w:p w:rsidR="00632F9C" w:rsidRPr="00F738D8" w:rsidRDefault="00632F9C" w:rsidP="00632F9C">
      <w:pPr>
        <w:spacing w:line="360" w:lineRule="auto"/>
        <w:jc w:val="both"/>
        <w:rPr>
          <w:b/>
        </w:rPr>
      </w:pPr>
      <w:r w:rsidRPr="00F738D8">
        <w:rPr>
          <w:b/>
        </w:rPr>
        <w:t xml:space="preserve">4.4.1- </w:t>
      </w:r>
      <w:r w:rsidRPr="00F738D8">
        <w:t>História das pesquisas em Portugal</w:t>
      </w:r>
      <w:r>
        <w:t>.</w:t>
      </w:r>
      <w:r w:rsidRPr="00F738D8">
        <w:rPr>
          <w:b/>
        </w:rPr>
        <w:t xml:space="preserve"> </w:t>
      </w:r>
    </w:p>
    <w:p w:rsidR="00632F9C" w:rsidRPr="00F738D8" w:rsidRDefault="00632F9C" w:rsidP="00632F9C">
      <w:pPr>
        <w:spacing w:line="360" w:lineRule="auto"/>
        <w:jc w:val="both"/>
      </w:pPr>
    </w:p>
    <w:p w:rsidR="00632F9C" w:rsidRPr="00F738D8" w:rsidRDefault="00632F9C" w:rsidP="00632F9C">
      <w:pPr>
        <w:spacing w:line="360" w:lineRule="auto"/>
        <w:ind w:firstLine="708"/>
        <w:jc w:val="both"/>
      </w:pPr>
      <w:r w:rsidRPr="00F738D8">
        <w:t xml:space="preserve">Os </w:t>
      </w:r>
      <w:r>
        <w:t>p</w:t>
      </w:r>
      <w:r w:rsidRPr="00F738D8">
        <w:t xml:space="preserve">rimeiros achados de indústrias do Paleolítico médio deram-se nos finais do séc. XIX com Nery Delgado na gruta da Furninha. Só nas primeiras décadas do séc. XX, se realizou uma síntese dos sítios pertencentes a este período maioritariamente na região de Lisboa por Fontes em 1913 (Raposo, 1993). </w:t>
      </w:r>
      <w:r w:rsidRPr="00F738D8">
        <w:rPr>
          <w:color w:val="000000"/>
        </w:rPr>
        <w:t>No entanto, durante o século XX este interesse diminui em relação à escavação de estações de ar livre. Esta situação prende-se com duas razões: a falta de arqueólogos com formação adequada a este tipo de intervenções e a falta de financiamento que permitiria a formação destes profissionais. Até aos anos 60 o estudo do Paleolítico m</w:t>
      </w:r>
      <w:r>
        <w:rPr>
          <w:color w:val="000000"/>
        </w:rPr>
        <w:t>édio resumiu-se à recole</w:t>
      </w:r>
      <w:r w:rsidRPr="00F738D8">
        <w:rPr>
          <w:color w:val="000000"/>
        </w:rPr>
        <w:t xml:space="preserve">ção de materiais de superfície (Cardoso, 2006). </w:t>
      </w:r>
      <w:r w:rsidRPr="00F738D8">
        <w:t xml:space="preserve">O grande salto em termos de investigação do Paleolítico médio ocorreu na década de 40 do séc. XX com os monumentais e hoje clássicos trabalhos de G. Zbyszewski e H. Breuil. Com estes trabalhos alargou-se significativamente a base de dados disponível, recorrendo </w:t>
      </w:r>
      <w:r>
        <w:t>à prospe</w:t>
      </w:r>
      <w:r w:rsidRPr="00F738D8">
        <w:t xml:space="preserve">ção de grandes faixas do litoral e de alguns vales de grandes rios, procedeu-se a levantamentos geológicos e geomorfológicos muito detalhados e rigorosos descreveram-se extensivamente as indústrias líticas, deu-se corpo ao primeiro sistema global de classificação e datação do nosso Paleolítico médio (Raposo, 1993). </w:t>
      </w:r>
    </w:p>
    <w:p w:rsidR="00632F9C" w:rsidRPr="00F738D8" w:rsidRDefault="00632F9C" w:rsidP="00632F9C">
      <w:pPr>
        <w:spacing w:line="360" w:lineRule="auto"/>
        <w:ind w:firstLine="708"/>
        <w:jc w:val="both"/>
      </w:pPr>
      <w:r w:rsidRPr="00F738D8">
        <w:t xml:space="preserve">Este </w:t>
      </w:r>
      <w:r w:rsidRPr="0002149E">
        <w:rPr>
          <w:i/>
        </w:rPr>
        <w:t>corpus</w:t>
      </w:r>
      <w:r>
        <w:t xml:space="preserve"> teórico foi ado</w:t>
      </w:r>
      <w:r w:rsidRPr="00F738D8">
        <w:t xml:space="preserve">tado daí para a frente sem ter em consideração os trabalhos inovadores que iam sendo feitos na Europa nomeadamente por F. Bordes e M </w:t>
      </w:r>
      <w:r w:rsidRPr="00F738D8">
        <w:lastRenderedPageBreak/>
        <w:t>Bourgon. Esta teoria tinha alguns defeitos nomeadamente o recurso ao glacio-eustatismo, a seriação dos instrumentos a partir do seu estado superficial (método das patines). E a fixação tipológica num conjunto de instrumentos considerados como típicos de cada época, os fosseis diretores (Raposo, 1993).</w:t>
      </w:r>
    </w:p>
    <w:p w:rsidR="00632F9C" w:rsidRPr="00F738D8" w:rsidRDefault="00632F9C" w:rsidP="00632F9C">
      <w:pPr>
        <w:autoSpaceDE w:val="0"/>
        <w:autoSpaceDN w:val="0"/>
        <w:adjustRightInd w:val="0"/>
        <w:spacing w:line="360" w:lineRule="auto"/>
        <w:ind w:firstLine="708"/>
        <w:jc w:val="both"/>
        <w:rPr>
          <w:color w:val="000000"/>
        </w:rPr>
      </w:pPr>
      <w:r w:rsidRPr="00F738D8">
        <w:t>Só na década de 70 estas novas correntes</w:t>
      </w:r>
      <w:r>
        <w:t xml:space="preserve"> foram adotadas e </w:t>
      </w:r>
      <w:r>
        <w:rPr>
          <w:color w:val="000000"/>
        </w:rPr>
        <w:t>a</w:t>
      </w:r>
      <w:r w:rsidRPr="00F738D8">
        <w:rPr>
          <w:color w:val="000000"/>
        </w:rPr>
        <w:t xml:space="preserve">penas nos anos 80, um pequeno grupo de investigadores conseguiu financiamento para iniciar uma nova forma de investigar as grutas e os sítios de ar livre. Foi nestes últimos anos que os avanços mais significativos tiveram lugar no sentido de se perceber o Paleolítico médio de Portugal. Este incremento no estudo do Paleolítico médio dá-se paralelamente ao investimento no estudo do Paleolítico superior (Cardoso, 2006). </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O precursor da investigação do Paleolítico médio de Portugal foi a escavação da Gruta das Salemas em Loures, seguida pela Gruta Nova da Columbeira, no iníci</w:t>
      </w:r>
      <w:r>
        <w:rPr>
          <w:color w:val="000000"/>
        </w:rPr>
        <w:t>o dos anos 60, pela equipa dos Serviços G</w:t>
      </w:r>
      <w:r w:rsidRPr="00F738D8">
        <w:rPr>
          <w:color w:val="000000"/>
        </w:rPr>
        <w:t>eológicos de</w:t>
      </w:r>
      <w:r>
        <w:rPr>
          <w:color w:val="000000"/>
        </w:rPr>
        <w:t xml:space="preserve"> Portugal, e ao trabalho de O. d</w:t>
      </w:r>
      <w:r w:rsidRPr="00F738D8">
        <w:rPr>
          <w:color w:val="000000"/>
        </w:rPr>
        <w:t xml:space="preserve">a Veiga Ferreira, que inaugurou a era da investigação moderna do Paleolítico médio e superior em Portugal. Foi neste local que se conseguiram </w:t>
      </w:r>
      <w:r w:rsidRPr="00F738D8">
        <w:t xml:space="preserve">as primeiras datações absolutas de horizontes arqueológicos do Paleolítico médio português (Raposo, 1993). </w:t>
      </w:r>
      <w:r w:rsidRPr="00F738D8">
        <w:rPr>
          <w:color w:val="000000"/>
        </w:rPr>
        <w:t>A dificuldade em realizar-se mais investigação resulto</w:t>
      </w:r>
      <w:r>
        <w:rPr>
          <w:color w:val="000000"/>
        </w:rPr>
        <w:t>u no longo período de tempo até</w:t>
      </w:r>
      <w:r w:rsidRPr="00F738D8">
        <w:rPr>
          <w:color w:val="000000"/>
        </w:rPr>
        <w:t xml:space="preserve"> surgir uma primeira síntese com Zbyszewsky em 1974. Só em 1993 surge outro trabalho de síntese (Raposo, 1993). Recentemente este assunto chamou o interesse de vários investigadore</w:t>
      </w:r>
      <w:r>
        <w:rPr>
          <w:color w:val="000000"/>
        </w:rPr>
        <w:t>s (Bicho, 2004, Zilhão, 1992</w:t>
      </w:r>
      <w:r w:rsidRPr="00F738D8">
        <w:rPr>
          <w:color w:val="000000"/>
        </w:rPr>
        <w:t xml:space="preserve"> e 2006, Cardoso 2002 e 2006). </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color w:val="000000"/>
        </w:rPr>
      </w:pPr>
      <w:r w:rsidRPr="00F738D8">
        <w:rPr>
          <w:b/>
          <w:color w:val="000000"/>
        </w:rPr>
        <w:t xml:space="preserve">4.4.2 - </w:t>
      </w:r>
      <w:r w:rsidRPr="00F738D8">
        <w:rPr>
          <w:color w:val="000000"/>
        </w:rPr>
        <w:t xml:space="preserve">O registo arqueológico do Paleolítico médio.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ind w:firstLine="708"/>
        <w:jc w:val="both"/>
        <w:rPr>
          <w:b/>
          <w:color w:val="000000"/>
        </w:rPr>
      </w:pPr>
      <w:r w:rsidRPr="00F738D8">
        <w:rPr>
          <w:color w:val="000000"/>
        </w:rPr>
        <w:t>Para este capítulo, o artigo recente de João Luís Cardoso (Cardoso, 2006) apresenta uma súmula extremamente completa sobre esta temática. É nesse trabalho que se alicerçam as próximas linhas. Aos sítios mais importantes referidos no artigo de João Luís Cardoso juntar-se-á uma recolha de todos os sítios que deram entrada na base de dados da arqueologia portuguesa (</w:t>
      </w:r>
      <w:r w:rsidRPr="00F738D8">
        <w:rPr>
          <w:i/>
          <w:color w:val="000000"/>
        </w:rPr>
        <w:t>Endovellico</w:t>
      </w:r>
      <w:r w:rsidRPr="00F738D8">
        <w:rPr>
          <w:color w:val="000000"/>
        </w:rPr>
        <w:t xml:space="preserve">). Embora os fatores de adscrição cronológica de alguns desses sítios sejam frágeis, no conjunto, poderão permitir o esboçar da distribuição espacial das ocupações neandertalenses no território português e retirar algumas conclusões. </w:t>
      </w:r>
    </w:p>
    <w:p w:rsidR="00632F9C" w:rsidRDefault="00632F9C" w:rsidP="00632F9C">
      <w:pPr>
        <w:autoSpaceDE w:val="0"/>
        <w:autoSpaceDN w:val="0"/>
        <w:adjustRightInd w:val="0"/>
        <w:spacing w:line="360" w:lineRule="auto"/>
        <w:jc w:val="both"/>
        <w:rPr>
          <w:color w:val="000000"/>
        </w:rPr>
      </w:pPr>
    </w:p>
    <w:p w:rsidR="00632F9C"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r w:rsidRPr="00F738D8">
        <w:rPr>
          <w:color w:val="000000"/>
        </w:rPr>
        <w:lastRenderedPageBreak/>
        <w:t>4.4.2.1</w:t>
      </w:r>
      <w:r>
        <w:rPr>
          <w:color w:val="000000"/>
        </w:rPr>
        <w:t>-</w:t>
      </w:r>
      <w:r w:rsidRPr="00F738D8">
        <w:rPr>
          <w:color w:val="000000"/>
        </w:rPr>
        <w:t xml:space="preserve"> Zona de Lisboa</w:t>
      </w:r>
      <w:r>
        <w:rPr>
          <w:color w:val="000000"/>
        </w:rPr>
        <w:t>.</w:t>
      </w:r>
      <w:r w:rsidRPr="00F738D8">
        <w:rPr>
          <w:color w:val="000000"/>
        </w:rPr>
        <w:t xml:space="preserve">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O início da recolha de materiais de cronologia paleolítica na zona de Lisboa ocorreu no fim do séc. XIX, na zona de Monsanto. As coleções mais extensas localizaram-se no complexo basáltico de Lisboa que se estende de forma quase contínua entre Cascais e Loures. Em 1932, Afonso do Paço mapeou 94 estações paleolíticas na Zona de Lisboa. Muitos destes sítios tinham já sido localizados, independentemente, por Vergílio Correia e Joaquim Fontes. Este último investigador foi o responsável pela localização do sítio mais importante Casal do Monte, em 1909. Foi também ele, aparentemente, o primeiro a usar o termo Moustierense em Portugal (Cardoso, 2006, p. 26). È também dele a primeira súmula sobre o Moustierense em Portugal. Nos anos 40 Breuil e Zbyzewsky realizaram um estudo destes síti</w:t>
      </w:r>
      <w:r>
        <w:rPr>
          <w:color w:val="000000"/>
        </w:rPr>
        <w:t>os acrescentando outros dete</w:t>
      </w:r>
      <w:r w:rsidRPr="00F738D8">
        <w:rPr>
          <w:color w:val="000000"/>
        </w:rPr>
        <w:t xml:space="preserve">tados por eles </w:t>
      </w:r>
      <w:r w:rsidRPr="00F738D8">
        <w:t>(Breuil e Zbyzewsky, 1942).</w:t>
      </w:r>
      <w:r w:rsidRPr="00F738D8">
        <w:rPr>
          <w:color w:val="000000"/>
        </w:rPr>
        <w:t xml:space="preserve"> Mais recentemente</w:t>
      </w:r>
      <w:proofErr w:type="gramStart"/>
      <w:r w:rsidRPr="00F738D8">
        <w:rPr>
          <w:color w:val="000000"/>
        </w:rPr>
        <w:t>,</w:t>
      </w:r>
      <w:proofErr w:type="gramEnd"/>
      <w:r w:rsidRPr="00F738D8">
        <w:rPr>
          <w:color w:val="000000"/>
        </w:rPr>
        <w:t xml:space="preserve"> (</w:t>
      </w:r>
      <w:r w:rsidRPr="00F738D8">
        <w:t xml:space="preserve">Cardoso </w:t>
      </w:r>
      <w:r w:rsidRPr="00F738D8">
        <w:rPr>
          <w:i/>
        </w:rPr>
        <w:t>et al,</w:t>
      </w:r>
      <w:r w:rsidRPr="00F738D8">
        <w:t xml:space="preserve"> 1992</w:t>
      </w:r>
      <w:r w:rsidRPr="00F738D8">
        <w:rPr>
          <w:color w:val="000000"/>
        </w:rPr>
        <w:t xml:space="preserve">) realizou uma súmula dos conhecimentos existentes sobre ao Complexo Vulcânico Paleolítico de Lisboa. Este último estudo veio confirmar que a produção de artefactos era realizada com a matéria-prima local (Cardoso, 2006, p. 26). </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color w:val="000000"/>
        </w:rPr>
      </w:pPr>
      <w:r w:rsidRPr="00F738D8">
        <w:rPr>
          <w:color w:val="000000"/>
        </w:rPr>
        <w:t>4.4.2.2- Sítios dos terraços do Tejo e subsidiários da margem esquerda.</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A ausência dos sítios Vilas Ruivas e Foz do Enxarrique neste conjunto é propositada uma vez que irão ser tratados no capítulo relativo às Portas de Ródão (capítulo 4.2.5). Também a estação do Vale do Forno, referida anteriormente no parágrafo sobre o final do Paleolítico inferior (capítulo 4.1.2), embora localizada nesta área geográfica não será aqui mencionada.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6"/>
        </w:numPr>
        <w:autoSpaceDE w:val="0"/>
        <w:autoSpaceDN w:val="0"/>
        <w:adjustRightInd w:val="0"/>
        <w:spacing w:line="360" w:lineRule="auto"/>
        <w:jc w:val="both"/>
        <w:rPr>
          <w:color w:val="000000"/>
        </w:rPr>
      </w:pPr>
      <w:r w:rsidRPr="00F738D8">
        <w:rPr>
          <w:color w:val="000000"/>
        </w:rPr>
        <w:t>Arneiro Cortiço (Benavente).</w:t>
      </w:r>
    </w:p>
    <w:p w:rsidR="00632F9C" w:rsidRPr="00F738D8" w:rsidRDefault="00632F9C" w:rsidP="00632F9C">
      <w:pPr>
        <w:autoSpaceDE w:val="0"/>
        <w:autoSpaceDN w:val="0"/>
        <w:adjustRightInd w:val="0"/>
        <w:spacing w:line="360" w:lineRule="auto"/>
        <w:ind w:left="1080"/>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No seu estudo sobre os terraços do Baixo Tejo, Breuil e Zbyszewsky (Breuil e Zbyszewsky, 1945) localizaram um grande número de estações do Paleolítico nos terraços do rio Almansor. Posteriormente, durante as obras de construção da A13 foram localizados seis estações com interesse estratigráfico. Um desses sítios, Arneiro Cortiço fica situado num terraço da margem esquerda do rio Almansor. Foram recolhidos cerca </w:t>
      </w:r>
      <w:r w:rsidRPr="00F738D8">
        <w:rPr>
          <w:color w:val="000000"/>
        </w:rPr>
        <w:lastRenderedPageBreak/>
        <w:t xml:space="preserve">de 510 artefactos de uma indústria sobre lascas atribuível ao Paleolítico médio com um razão núcleo/lasca de 1/5 (Gaspar e Aldeias, 2005; Cardoso, 2006, p. 29).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6"/>
        </w:numPr>
        <w:autoSpaceDE w:val="0"/>
        <w:autoSpaceDN w:val="0"/>
        <w:adjustRightInd w:val="0"/>
        <w:spacing w:line="360" w:lineRule="auto"/>
        <w:jc w:val="both"/>
        <w:rPr>
          <w:color w:val="000000"/>
        </w:rPr>
      </w:pPr>
      <w:r w:rsidRPr="00F738D8">
        <w:rPr>
          <w:color w:val="000000"/>
        </w:rPr>
        <w:t xml:space="preserve">Santo Antão do Tojal (Loures). </w:t>
      </w:r>
    </w:p>
    <w:p w:rsidR="00632F9C" w:rsidRPr="00F738D8" w:rsidRDefault="00632F9C" w:rsidP="00632F9C">
      <w:pPr>
        <w:autoSpaceDE w:val="0"/>
        <w:autoSpaceDN w:val="0"/>
        <w:adjustRightInd w:val="0"/>
        <w:spacing w:line="360" w:lineRule="auto"/>
        <w:ind w:left="1080"/>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Nos cortes originados por valas de irrigação no vale do rio Trancão foram observados materiais Moustierenses. Estes estavam aparentemente associados a ossos de elefantes e cavalos. As datações (U/Th) realizadas sobre ossos de elefante apresentaram as datações de 81 900 + 4000/-3800 BP (Raposo, 1995; Cardoso, 2006, p. 29).</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6"/>
        </w:numPr>
        <w:autoSpaceDE w:val="0"/>
        <w:autoSpaceDN w:val="0"/>
        <w:adjustRightInd w:val="0"/>
        <w:spacing w:line="360" w:lineRule="auto"/>
        <w:jc w:val="both"/>
        <w:rPr>
          <w:b/>
          <w:color w:val="000000"/>
        </w:rPr>
      </w:pPr>
      <w:r w:rsidRPr="00F738D8">
        <w:rPr>
          <w:color w:val="000000"/>
        </w:rPr>
        <w:t xml:space="preserve">Cascalheira (Alcochete). </w:t>
      </w:r>
    </w:p>
    <w:p w:rsidR="00632F9C" w:rsidRPr="00F738D8" w:rsidRDefault="00632F9C" w:rsidP="00632F9C">
      <w:pPr>
        <w:autoSpaceDE w:val="0"/>
        <w:autoSpaceDN w:val="0"/>
        <w:adjustRightInd w:val="0"/>
        <w:spacing w:line="360" w:lineRule="auto"/>
        <w:ind w:left="1080"/>
        <w:jc w:val="both"/>
        <w:rPr>
          <w:b/>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Neste local foram identificados pontas e lâminas, raspadeiras, denticulados etc… mas foram os núcleos discóides que sobressaíram apresentando um talhe centrípeto tipicamente Moustierense. Sendo mais de 500,</w:t>
      </w:r>
      <w:r>
        <w:rPr>
          <w:color w:val="000000"/>
        </w:rPr>
        <w:t xml:space="preserve"> constituem a maior cole</w:t>
      </w:r>
      <w:r w:rsidRPr="00F738D8">
        <w:rPr>
          <w:color w:val="000000"/>
        </w:rPr>
        <w:t>ção até agora encontrada em Portugal (Careira e Raposo, 1994; Cardoso, 2006, p. 34).</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numPr>
          <w:ilvl w:val="0"/>
          <w:numId w:val="16"/>
        </w:numPr>
        <w:autoSpaceDE w:val="0"/>
        <w:autoSpaceDN w:val="0"/>
        <w:adjustRightInd w:val="0"/>
        <w:spacing w:line="360" w:lineRule="auto"/>
        <w:jc w:val="both"/>
        <w:rPr>
          <w:b/>
          <w:color w:val="000000"/>
        </w:rPr>
      </w:pPr>
      <w:r w:rsidRPr="00F738D8">
        <w:rPr>
          <w:color w:val="000000"/>
        </w:rPr>
        <w:t>Alto da Pacheca</w:t>
      </w:r>
      <w:r w:rsidRPr="00F738D8">
        <w:rPr>
          <w:b/>
          <w:color w:val="000000"/>
        </w:rPr>
        <w:t xml:space="preserve"> </w:t>
      </w:r>
      <w:r w:rsidRPr="00F738D8">
        <w:rPr>
          <w:color w:val="000000"/>
        </w:rPr>
        <w:t>(Alcochete).</w:t>
      </w:r>
    </w:p>
    <w:p w:rsidR="00632F9C" w:rsidRPr="00F738D8" w:rsidRDefault="00632F9C" w:rsidP="00632F9C">
      <w:pPr>
        <w:autoSpaceDE w:val="0"/>
        <w:autoSpaceDN w:val="0"/>
        <w:adjustRightInd w:val="0"/>
        <w:spacing w:line="360" w:lineRule="auto"/>
        <w:ind w:left="1080"/>
        <w:jc w:val="both"/>
        <w:rPr>
          <w:b/>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Este lo</w:t>
      </w:r>
      <w:r>
        <w:rPr>
          <w:color w:val="000000"/>
        </w:rPr>
        <w:t>cal situa-se nas imediações da C</w:t>
      </w:r>
      <w:r w:rsidRPr="00F738D8">
        <w:rPr>
          <w:color w:val="000000"/>
        </w:rPr>
        <w:t xml:space="preserve">ascalheira estando relacionado com o mesmo nível de terraço. A proliferação de núcleos também é uma característica deste sítio. Estratigraficamente poderá considerar-se este sítio, </w:t>
      </w:r>
      <w:r>
        <w:rPr>
          <w:color w:val="000000"/>
        </w:rPr>
        <w:t>datado do início da glaciação Wü</w:t>
      </w:r>
      <w:r w:rsidRPr="00F738D8">
        <w:rPr>
          <w:color w:val="000000"/>
        </w:rPr>
        <w:t xml:space="preserve">rm, compatível com o tipo de indústria aí localizado (Cardoso, 2006, p. 31).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6"/>
        </w:numPr>
        <w:autoSpaceDE w:val="0"/>
        <w:autoSpaceDN w:val="0"/>
        <w:adjustRightInd w:val="0"/>
        <w:spacing w:line="360" w:lineRule="auto"/>
        <w:jc w:val="both"/>
        <w:rPr>
          <w:color w:val="000000"/>
        </w:rPr>
      </w:pPr>
      <w:r w:rsidRPr="00F738D8">
        <w:rPr>
          <w:color w:val="000000"/>
        </w:rPr>
        <w:t>Conceição (Alcochete).</w:t>
      </w:r>
    </w:p>
    <w:p w:rsidR="00632F9C" w:rsidRPr="00F738D8" w:rsidRDefault="00632F9C" w:rsidP="00632F9C">
      <w:pPr>
        <w:autoSpaceDE w:val="0"/>
        <w:autoSpaceDN w:val="0"/>
        <w:adjustRightInd w:val="0"/>
        <w:spacing w:line="360" w:lineRule="auto"/>
        <w:ind w:left="360"/>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 Esta ocupação corresponde ao sítio que mais </w:t>
      </w:r>
      <w:proofErr w:type="gramStart"/>
      <w:r w:rsidRPr="00F738D8">
        <w:rPr>
          <w:color w:val="000000"/>
        </w:rPr>
        <w:t>dado</w:t>
      </w:r>
      <w:r>
        <w:rPr>
          <w:color w:val="000000"/>
        </w:rPr>
        <w:t xml:space="preserve">s </w:t>
      </w:r>
      <w:r w:rsidRPr="00F738D8">
        <w:rPr>
          <w:color w:val="000000"/>
        </w:rPr>
        <w:t>forneceu</w:t>
      </w:r>
      <w:proofErr w:type="gramEnd"/>
      <w:r w:rsidRPr="00F738D8">
        <w:rPr>
          <w:color w:val="000000"/>
        </w:rPr>
        <w:t xml:space="preserve"> na margem esquerda do estuário do Tejo (Raposo e Cardoso, 1998). Durante os trabalhos de construção de um acesso à Ponte Vasco da Gama, foi identificado um nível de cascalheira com materiais líticos frescos contemporâneos da formação deste depósito. Duas datações por OSL foram obtidas. A primeira sobre uma fina camada de siltes </w:t>
      </w:r>
      <w:r w:rsidRPr="00F738D8">
        <w:rPr>
          <w:color w:val="000000"/>
        </w:rPr>
        <w:lastRenderedPageBreak/>
        <w:t xml:space="preserve">/argilas que define o limite inferior da sequência forneceu uma idade de 74.5 </w:t>
      </w:r>
      <w:r>
        <w:rPr>
          <w:color w:val="000000"/>
        </w:rPr>
        <w:t>Ka</w:t>
      </w:r>
      <w:r w:rsidRPr="00F738D8">
        <w:rPr>
          <w:color w:val="000000"/>
        </w:rPr>
        <w:t xml:space="preserve"> BP (+ 11.6; -10.4 </w:t>
      </w:r>
      <w:r>
        <w:rPr>
          <w:color w:val="000000"/>
        </w:rPr>
        <w:t>Ka</w:t>
      </w:r>
      <w:r w:rsidRPr="00F738D8">
        <w:rPr>
          <w:color w:val="000000"/>
        </w:rPr>
        <w:t xml:space="preserve">). A segunda realizada sobre areias eólicas que recobriam o nível de cascalheira apresentou a idade de 27.2 </w:t>
      </w:r>
      <w:r>
        <w:rPr>
          <w:color w:val="000000"/>
        </w:rPr>
        <w:t>Ka</w:t>
      </w:r>
      <w:r w:rsidRPr="00F738D8">
        <w:rPr>
          <w:color w:val="000000"/>
        </w:rPr>
        <w:t xml:space="preserve"> BP (±2.5 </w:t>
      </w:r>
      <w:r>
        <w:rPr>
          <w:color w:val="000000"/>
        </w:rPr>
        <w:t>Ka</w:t>
      </w:r>
      <w:r w:rsidRPr="00F738D8">
        <w:rPr>
          <w:color w:val="000000"/>
        </w:rPr>
        <w:t>). Em termos estratigráficos, e segundo Raposo e Cardoso (1998), estes dados parecem indicar que a estação foi cob</w:t>
      </w:r>
      <w:r>
        <w:rPr>
          <w:color w:val="000000"/>
        </w:rPr>
        <w:t>erta rapidamente devido ao aspe</w:t>
      </w:r>
      <w:r w:rsidRPr="00F738D8">
        <w:rPr>
          <w:color w:val="000000"/>
        </w:rPr>
        <w:t xml:space="preserve">to fresco das peças, devendo a cascalheira corresponder ao princípio de um episódio regressivo. Desta forma a cronologia para a ocupação humana deverá ser a mesma apresentada pela Gruta da Figueira Brava, aproximadamente 36 </w:t>
      </w:r>
      <w:r>
        <w:rPr>
          <w:color w:val="000000"/>
        </w:rPr>
        <w:t>Ka</w:t>
      </w:r>
      <w:r w:rsidRPr="00F738D8">
        <w:rPr>
          <w:color w:val="000000"/>
        </w:rPr>
        <w:t xml:space="preserve"> BP. </w:t>
      </w:r>
      <w:r>
        <w:rPr>
          <w:color w:val="000000"/>
        </w:rPr>
        <w:t>A i</w:t>
      </w:r>
      <w:r w:rsidRPr="00F738D8">
        <w:rPr>
          <w:color w:val="000000"/>
        </w:rPr>
        <w:t xml:space="preserve">ndústria lítica, na ordem dos vários milhares, apresenta todas as fases de debitagem desde seixos apenas iniciados a núcleos discóides Moustierense. A técnica Levallois é evidente, resultando em lascas utilizadas diretamente ou transformadas em denticulados, entalhes, raspadeiras e furadores. Verifica-se uma estandardização dos processos técnicos utilizados, tirando vantagem da morfologia da matéria-prima disponível, seixos de quartzito (Cardoso, 2006, p. 31).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r w:rsidRPr="00F738D8">
        <w:rPr>
          <w:color w:val="000000"/>
        </w:rPr>
        <w:t xml:space="preserve"> 4.4.2.3- Sítios de ar livre no centro de Portugal.</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Neste conjunto de sítios identificados no centro de Portugal não se refere o sítio da Ribeira da Ponte da Pedra ou Ribeira da Atalaia, por já ter sido apresentado no capítulo 4.1.2. relativo ao final do Paleolítico inferior.</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numPr>
          <w:ilvl w:val="0"/>
          <w:numId w:val="17"/>
        </w:numPr>
        <w:autoSpaceDE w:val="0"/>
        <w:autoSpaceDN w:val="0"/>
        <w:adjustRightInd w:val="0"/>
        <w:spacing w:line="360" w:lineRule="auto"/>
        <w:jc w:val="both"/>
        <w:rPr>
          <w:color w:val="000000"/>
        </w:rPr>
      </w:pPr>
      <w:r w:rsidRPr="00F738D8">
        <w:rPr>
          <w:color w:val="000000"/>
        </w:rPr>
        <w:t>Estrada do Prado</w:t>
      </w:r>
      <w:r w:rsidRPr="00F738D8">
        <w:rPr>
          <w:b/>
          <w:color w:val="000000"/>
        </w:rPr>
        <w:t xml:space="preserve"> </w:t>
      </w:r>
      <w:r w:rsidRPr="00F738D8">
        <w:rPr>
          <w:color w:val="000000"/>
        </w:rPr>
        <w:t>(Tomar).</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É num terraço médio do rio Nabão que se localiza esta estação de ar livre. A indústria, abundante, parece ter sido o resultado de sucessivas ocupações deste local e foi coberta por uma camada de sedimento de textura fina com cerca de 2 metros (Mateus, 1984). A indústria lítica, cerca de 3000 peças foi produzida a partir de quartzito, quartzo, arenito e, em maior quantidade, de sílex. A análise de 584 artefactos permitiu verificar que o método Levallois e o método discóide foram utilizados. Alguns núcleos em sílex foram esgotados. As lascas apresentam um grande número de negativos na face dorsal (Cardoso, 2006, p. 32). </w:t>
      </w:r>
    </w:p>
    <w:p w:rsidR="00632F9C" w:rsidRDefault="00632F9C" w:rsidP="00632F9C">
      <w:pPr>
        <w:autoSpaceDE w:val="0"/>
        <w:autoSpaceDN w:val="0"/>
        <w:adjustRightInd w:val="0"/>
        <w:spacing w:line="360" w:lineRule="auto"/>
        <w:jc w:val="both"/>
        <w:rPr>
          <w:color w:val="000000"/>
        </w:rPr>
      </w:pPr>
    </w:p>
    <w:p w:rsidR="00B34B0F" w:rsidRDefault="00B34B0F" w:rsidP="00632F9C">
      <w:pPr>
        <w:autoSpaceDE w:val="0"/>
        <w:autoSpaceDN w:val="0"/>
        <w:adjustRightInd w:val="0"/>
        <w:spacing w:line="360" w:lineRule="auto"/>
        <w:jc w:val="both"/>
        <w:rPr>
          <w:color w:val="000000"/>
        </w:rPr>
      </w:pPr>
    </w:p>
    <w:p w:rsidR="00B34B0F" w:rsidRPr="00F738D8" w:rsidRDefault="00B34B0F" w:rsidP="00632F9C">
      <w:pPr>
        <w:autoSpaceDE w:val="0"/>
        <w:autoSpaceDN w:val="0"/>
        <w:adjustRightInd w:val="0"/>
        <w:spacing w:line="360" w:lineRule="auto"/>
        <w:jc w:val="both"/>
        <w:rPr>
          <w:color w:val="000000"/>
        </w:rPr>
      </w:pPr>
    </w:p>
    <w:p w:rsidR="00632F9C" w:rsidRPr="00F738D8" w:rsidRDefault="00632F9C" w:rsidP="00632F9C">
      <w:pPr>
        <w:numPr>
          <w:ilvl w:val="0"/>
          <w:numId w:val="17"/>
        </w:numPr>
        <w:autoSpaceDE w:val="0"/>
        <w:autoSpaceDN w:val="0"/>
        <w:adjustRightInd w:val="0"/>
        <w:spacing w:line="360" w:lineRule="auto"/>
        <w:jc w:val="both"/>
        <w:rPr>
          <w:color w:val="000000"/>
        </w:rPr>
      </w:pPr>
      <w:r w:rsidRPr="00F738D8">
        <w:rPr>
          <w:color w:val="000000"/>
        </w:rPr>
        <w:lastRenderedPageBreak/>
        <w:t>Santa Cita</w:t>
      </w:r>
      <w:r w:rsidRPr="00F738D8">
        <w:rPr>
          <w:b/>
          <w:color w:val="000000"/>
        </w:rPr>
        <w:t xml:space="preserve"> </w:t>
      </w:r>
      <w:r w:rsidRPr="00F738D8">
        <w:rPr>
          <w:color w:val="000000"/>
        </w:rPr>
        <w:t>(Tomar).</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Esta estação localiza-se na confluência do rio Nabão com a Ribeira da Bezelga, num terraço baixo o T6b na sequência regional. Sem, todavia, existir datações do sítio, este terraço deverá ter sido formado durante uma oscilação temperada, um interstadial</w:t>
      </w:r>
      <w:r>
        <w:rPr>
          <w:color w:val="000000"/>
        </w:rPr>
        <w:t xml:space="preserve"> wü</w:t>
      </w:r>
      <w:r w:rsidRPr="00F738D8">
        <w:rPr>
          <w:color w:val="000000"/>
        </w:rPr>
        <w:t xml:space="preserve">rmiano, durante o OIS 3, possivelmente entre 60 e 40 </w:t>
      </w:r>
      <w:r>
        <w:rPr>
          <w:color w:val="000000"/>
        </w:rPr>
        <w:t>Ka</w:t>
      </w:r>
      <w:r w:rsidRPr="00F738D8">
        <w:rPr>
          <w:color w:val="000000"/>
        </w:rPr>
        <w:t xml:space="preserve"> BP. A sequência estratigráfica recentemente definida (Lussu </w:t>
      </w:r>
      <w:r w:rsidRPr="00F738D8">
        <w:rPr>
          <w:i/>
          <w:color w:val="000000"/>
        </w:rPr>
        <w:t>et al</w:t>
      </w:r>
      <w:r w:rsidRPr="00F738D8">
        <w:rPr>
          <w:color w:val="000000"/>
        </w:rPr>
        <w:t>, 2001) apresentava dois níveis de ocupação Moustierenses. Um mais recente e outro mais antigo</w:t>
      </w:r>
      <w:r>
        <w:rPr>
          <w:color w:val="000000"/>
        </w:rPr>
        <w:t>,</w:t>
      </w:r>
      <w:r w:rsidRPr="00F738D8">
        <w:rPr>
          <w:color w:val="000000"/>
        </w:rPr>
        <w:t xml:space="preserve"> </w:t>
      </w:r>
      <w:proofErr w:type="gramStart"/>
      <w:r w:rsidRPr="00F738D8">
        <w:rPr>
          <w:color w:val="000000"/>
        </w:rPr>
        <w:t>separados por um depósito fino</w:t>
      </w:r>
      <w:proofErr w:type="gramEnd"/>
      <w:r w:rsidRPr="00F738D8">
        <w:rPr>
          <w:color w:val="000000"/>
        </w:rPr>
        <w:t xml:space="preserve">. Não parecem existir diferenças entre o material dos dois níveis, existindo remontagens entre material de ambas as ocupações. Os núcleos de quartzito foram talhados usando técnicas de redução pré-definidas tanto Levallois como centrípeta. No </w:t>
      </w:r>
      <w:r>
        <w:rPr>
          <w:color w:val="000000"/>
        </w:rPr>
        <w:t>trabalho realizado sobre a dire</w:t>
      </w:r>
      <w:r w:rsidRPr="00F738D8">
        <w:rPr>
          <w:color w:val="000000"/>
        </w:rPr>
        <w:t>ção de Nuno Bicho entre 1990 e 1997 (Bicho e Ferring, 2001), também foi definido um nível mais antigo M, equivalente ao Be e 6 equivalente ao nível B1 de Lussu. Neste trabalho a ocupação M que apresentou cerca de 5000 artefactos e uma possível estrutura, materializada por cinco buracos de poste de forma trap</w:t>
      </w:r>
      <w:r>
        <w:rPr>
          <w:color w:val="000000"/>
        </w:rPr>
        <w:t>ezoidal. No nível superior dete</w:t>
      </w:r>
      <w:r w:rsidRPr="00F738D8">
        <w:rPr>
          <w:color w:val="000000"/>
        </w:rPr>
        <w:t xml:space="preserve">taram-se cerca de 100 artefactos e alguns pequenos núcleos. Parece existir uma utilização preferida de quartzito/quartzo no nível inferior e quartzito/sílex no nível superior. Identificaram-se raspadeiras, denticulados e entalhes. Estes níveis poderão corresponder a verdadeiros níveis de ocupação como Foz do Enxarrique e Vilas Ruivas (Cardoso, 2006, p. 32).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r w:rsidRPr="00F738D8">
        <w:rPr>
          <w:color w:val="000000"/>
        </w:rPr>
        <w:t>4.4.2.4- Grutas da Estremadura e zonas adjacentes</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numPr>
          <w:ilvl w:val="0"/>
          <w:numId w:val="18"/>
        </w:numPr>
        <w:autoSpaceDE w:val="0"/>
        <w:autoSpaceDN w:val="0"/>
        <w:adjustRightInd w:val="0"/>
        <w:spacing w:line="360" w:lineRule="auto"/>
        <w:jc w:val="both"/>
        <w:rPr>
          <w:color w:val="000000"/>
        </w:rPr>
      </w:pPr>
      <w:r w:rsidRPr="00F738D8">
        <w:rPr>
          <w:color w:val="000000"/>
        </w:rPr>
        <w:t>Gruta da Buraca Escura</w:t>
      </w:r>
      <w:r w:rsidRPr="00F738D8">
        <w:rPr>
          <w:b/>
          <w:color w:val="000000"/>
        </w:rPr>
        <w:t xml:space="preserve"> (</w:t>
      </w:r>
      <w:r w:rsidRPr="00F738D8">
        <w:rPr>
          <w:color w:val="000000"/>
        </w:rPr>
        <w:t xml:space="preserve">Pombal). </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A Buraca escura corresponde a uma gruta, atualmente parcialmente preenchida por sedimentos silicoclásticos e carbonatados, situada a uma altitude de 223m a.n.m, na encosta Sul do profundamente inciso vale fluviocársico do Poio Novo. </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A Buraca Escura foi descoberta durante prospeções sistemáticas desta área e escavada entre 1991 e 1995 (Aubry e Moura, 1993; Aubry </w:t>
      </w:r>
      <w:r w:rsidRPr="00F738D8">
        <w:rPr>
          <w:i/>
          <w:color w:val="000000"/>
        </w:rPr>
        <w:t>et al</w:t>
      </w:r>
      <w:r w:rsidRPr="00F738D8">
        <w:rPr>
          <w:color w:val="000000"/>
        </w:rPr>
        <w:t xml:space="preserve"> 2001). A sequência estratigráfica desta gruta contém material lítico e faunístico desde o Paleolítico médio, passando pelo Paleolítico superior até ao Neolítico antigo (Aubry </w:t>
      </w:r>
      <w:r w:rsidRPr="00F738D8">
        <w:rPr>
          <w:i/>
          <w:color w:val="000000"/>
        </w:rPr>
        <w:t>et al</w:t>
      </w:r>
      <w:r w:rsidRPr="00F738D8">
        <w:rPr>
          <w:color w:val="000000"/>
        </w:rPr>
        <w:t xml:space="preserve">, 2001, 2006, 2011; Almeida </w:t>
      </w:r>
      <w:r w:rsidRPr="00F738D8">
        <w:rPr>
          <w:i/>
          <w:color w:val="000000"/>
        </w:rPr>
        <w:t>et al</w:t>
      </w:r>
      <w:r w:rsidRPr="00F738D8">
        <w:rPr>
          <w:color w:val="000000"/>
        </w:rPr>
        <w:t xml:space="preserve">, 2003). As atribuições culturais baseadas na tipologia da indústria </w:t>
      </w:r>
      <w:r w:rsidRPr="00F738D8">
        <w:rPr>
          <w:color w:val="000000"/>
        </w:rPr>
        <w:lastRenderedPageBreak/>
        <w:t>lítica forma confirmadas por datações de radiocarbono (</w:t>
      </w:r>
      <w:r w:rsidRPr="00F738D8">
        <w:rPr>
          <w:color w:val="000000"/>
          <w:vertAlign w:val="superscript"/>
        </w:rPr>
        <w:t>14</w:t>
      </w:r>
      <w:r w:rsidRPr="00F738D8">
        <w:rPr>
          <w:color w:val="000000"/>
        </w:rPr>
        <w:t xml:space="preserve">C) em ossos e séries de </w:t>
      </w:r>
      <w:r>
        <w:rPr>
          <w:color w:val="000000"/>
        </w:rPr>
        <w:t>u</w:t>
      </w:r>
      <w:r w:rsidRPr="00F738D8">
        <w:rPr>
          <w:color w:val="000000"/>
        </w:rPr>
        <w:t xml:space="preserve">rânio (U/Th) em dentes de cavalo. As ocupações humanas caracterizam-se por serem de curta duração num ambiente mais frio do que o que se faz sentir atualmente, como indica a presença de carvões de </w:t>
      </w:r>
      <w:r w:rsidRPr="00F738D8">
        <w:rPr>
          <w:i/>
        </w:rPr>
        <w:t xml:space="preserve">Pinus sylvestris, Buxus sempervirens, Ericaceae </w:t>
      </w:r>
      <w:r w:rsidRPr="00F738D8">
        <w:t>e</w:t>
      </w:r>
      <w:r w:rsidRPr="00F738D8">
        <w:rPr>
          <w:i/>
        </w:rPr>
        <w:t xml:space="preserve"> Leguminosae</w:t>
      </w:r>
      <w:r w:rsidRPr="00F738D8">
        <w:rPr>
          <w:color w:val="000000"/>
        </w:rPr>
        <w:t xml:space="preserve"> no nível 2A, datado do Último Máximo Glaciar. A curta duração das ocupações encontra justificação na localização da gruta na encosta Sul do vale, estando a entrada orientada a Norte, exposta a um</w:t>
      </w:r>
      <w:r>
        <w:rPr>
          <w:color w:val="000000"/>
        </w:rPr>
        <w:t>a</w:t>
      </w:r>
      <w:r w:rsidRPr="00F738D8">
        <w:rPr>
          <w:color w:val="000000"/>
        </w:rPr>
        <w:t xml:space="preserve"> baix</w:t>
      </w:r>
      <w:r>
        <w:rPr>
          <w:color w:val="000000"/>
        </w:rPr>
        <w:t>a</w:t>
      </w:r>
      <w:r w:rsidRPr="00F738D8">
        <w:rPr>
          <w:color w:val="000000"/>
        </w:rPr>
        <w:t xml:space="preserve"> radiação solar mormente num ambiente glaciar. Um conjunto lítico escasso (lascas Levallois durante o Paleolítico médio e lâminas, raspadeiras e micrólitos deteriorados, em sílex, parte de utensílios de caça compósitos, durante o Paleolítico superior) está associado a restos faunísticos descartados pelos humanos. Estes vestígios antrópicos alternam com restos de ocupações de outros animais, nomeadamente pássaros, pequenos vertebrados e carnívoros. </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A sequência arqueo-estratigráfica da Buraca Escura apresenta evidências de vários eventos de agradação de sedimentos, como fases erosivas, de lixiviação e de estabilização, durante o Pleistoceno final.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8"/>
        </w:numPr>
        <w:autoSpaceDE w:val="0"/>
        <w:autoSpaceDN w:val="0"/>
        <w:adjustRightInd w:val="0"/>
        <w:spacing w:line="360" w:lineRule="auto"/>
        <w:jc w:val="both"/>
        <w:rPr>
          <w:color w:val="000000"/>
        </w:rPr>
      </w:pPr>
      <w:r w:rsidRPr="00F738D8">
        <w:rPr>
          <w:color w:val="000000"/>
        </w:rPr>
        <w:t>Gruta do Ourão (Pombal).</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Esta gruta foi i</w:t>
      </w:r>
      <w:r>
        <w:rPr>
          <w:color w:val="000000"/>
        </w:rPr>
        <w:t>nicialmente escavada sob a dire</w:t>
      </w:r>
      <w:r w:rsidRPr="00F738D8">
        <w:rPr>
          <w:color w:val="000000"/>
        </w:rPr>
        <w:t>ção de J</w:t>
      </w:r>
      <w:r>
        <w:rPr>
          <w:color w:val="000000"/>
        </w:rPr>
        <w:t>ean</w:t>
      </w:r>
      <w:r w:rsidRPr="00F738D8">
        <w:rPr>
          <w:color w:val="000000"/>
        </w:rPr>
        <w:t xml:space="preserve"> Roche e João Pedro Cunha Ribeiro. As escavações for</w:t>
      </w:r>
      <w:r>
        <w:rPr>
          <w:color w:val="000000"/>
        </w:rPr>
        <w:t>am</w:t>
      </w:r>
      <w:r w:rsidRPr="00F738D8">
        <w:rPr>
          <w:color w:val="000000"/>
        </w:rPr>
        <w:t xml:space="preserve"> dirigidas por Thierry Aubry e Helena Moura em 1995 e 2002 (Aubry </w:t>
      </w:r>
      <w:r w:rsidRPr="00F738D8">
        <w:rPr>
          <w:i/>
          <w:color w:val="000000"/>
        </w:rPr>
        <w:t>et al</w:t>
      </w:r>
      <w:r>
        <w:rPr>
          <w:i/>
          <w:color w:val="000000"/>
        </w:rPr>
        <w:t>,</w:t>
      </w:r>
      <w:r w:rsidRPr="00F738D8">
        <w:rPr>
          <w:color w:val="000000"/>
        </w:rPr>
        <w:t xml:space="preserve"> 2006). Após um nível de ocupação funerária neolítica foi possível identificar níveis mais antigos com cerca de 1 m de espessura. Nesses níveis foi identificada uma ocupação que tecnologicamente se pode atribuir ao Paleolítico médio. Os núcleos, e lascas em quartzito, sílex e quartzo, aqui identificados apresentam uma hierarquia de redução centrípeta, progressiva com preparação da plataforma de percussão. Este processo está associado com um processo de redução Kombewa (Aubry </w:t>
      </w:r>
      <w:r w:rsidRPr="00F738D8">
        <w:rPr>
          <w:i/>
          <w:color w:val="000000"/>
        </w:rPr>
        <w:t>et al</w:t>
      </w:r>
      <w:r>
        <w:rPr>
          <w:color w:val="000000"/>
        </w:rPr>
        <w:t xml:space="preserve">, </w:t>
      </w:r>
      <w:r w:rsidRPr="00F738D8">
        <w:rPr>
          <w:color w:val="000000"/>
        </w:rPr>
        <w:t>2006).</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8"/>
        </w:numPr>
        <w:autoSpaceDE w:val="0"/>
        <w:autoSpaceDN w:val="0"/>
        <w:adjustRightInd w:val="0"/>
        <w:spacing w:line="360" w:lineRule="auto"/>
        <w:jc w:val="both"/>
        <w:rPr>
          <w:color w:val="000000"/>
        </w:rPr>
      </w:pPr>
      <w:r w:rsidRPr="00F738D8">
        <w:rPr>
          <w:color w:val="000000"/>
        </w:rPr>
        <w:t xml:space="preserve">Gruta do Caldeirão (Tomar). </w:t>
      </w:r>
    </w:p>
    <w:p w:rsidR="00632F9C" w:rsidRPr="00F738D8" w:rsidRDefault="00632F9C" w:rsidP="00632F9C">
      <w:pPr>
        <w:autoSpaceDE w:val="0"/>
        <w:autoSpaceDN w:val="0"/>
        <w:adjustRightInd w:val="0"/>
        <w:spacing w:line="360" w:lineRule="auto"/>
        <w:jc w:val="both"/>
        <w:rPr>
          <w:color w:val="000000"/>
        </w:rPr>
      </w:pPr>
    </w:p>
    <w:p w:rsidR="00632F9C" w:rsidRDefault="00632F9C" w:rsidP="00632F9C">
      <w:pPr>
        <w:autoSpaceDE w:val="0"/>
        <w:autoSpaceDN w:val="0"/>
        <w:adjustRightInd w:val="0"/>
        <w:spacing w:line="360" w:lineRule="auto"/>
        <w:ind w:firstLine="708"/>
        <w:jc w:val="both"/>
        <w:rPr>
          <w:color w:val="000000"/>
        </w:rPr>
      </w:pPr>
      <w:r w:rsidRPr="00F738D8">
        <w:rPr>
          <w:color w:val="000000"/>
        </w:rPr>
        <w:t>Esta gruta foi escavada de 1979 a 1988 por João Zilhão. Por baixo de sequência d</w:t>
      </w:r>
      <w:r>
        <w:rPr>
          <w:color w:val="000000"/>
        </w:rPr>
        <w:t>o Paleolítico superior foi dete</w:t>
      </w:r>
      <w:r w:rsidRPr="00F738D8">
        <w:rPr>
          <w:color w:val="000000"/>
        </w:rPr>
        <w:t xml:space="preserve">tada uma ocupação Moustierense de cerca de </w:t>
      </w:r>
      <w:smartTag w:uri="urn:schemas-microsoft-com:office:smarttags" w:element="metricconverter">
        <w:smartTagPr>
          <w:attr w:name="ProductID" w:val="1 m"/>
        </w:smartTagPr>
        <w:r w:rsidRPr="00F738D8">
          <w:rPr>
            <w:color w:val="000000"/>
          </w:rPr>
          <w:t>1 m</w:t>
        </w:r>
      </w:smartTag>
      <w:r w:rsidRPr="00F738D8">
        <w:rPr>
          <w:color w:val="000000"/>
        </w:rPr>
        <w:t xml:space="preserve"> de </w:t>
      </w:r>
      <w:r w:rsidRPr="00F738D8">
        <w:rPr>
          <w:color w:val="000000"/>
        </w:rPr>
        <w:lastRenderedPageBreak/>
        <w:t>espessura (níveis N a L). Este nível é separado dos outros níveis por uma descontinuidade de origem possivelmente erosiva atribuída ao interestadial de Dene</w:t>
      </w:r>
      <w:r>
        <w:rPr>
          <w:color w:val="000000"/>
        </w:rPr>
        <w:t>Ka</w:t>
      </w:r>
      <w:r w:rsidRPr="00F738D8">
        <w:rPr>
          <w:color w:val="000000"/>
        </w:rPr>
        <w:t xml:space="preserve">mp (Zilhão, 1997). O nível K proporcionou materiais exclusivamente Moustierenses, não muito numerosos mas associados a muitos restos ósseos. Como nos Níveis N a L, esta acumulação deverá ser </w:t>
      </w:r>
      <w:r>
        <w:rPr>
          <w:color w:val="000000"/>
        </w:rPr>
        <w:t>natural, talvez resultante da a</w:t>
      </w:r>
      <w:r w:rsidRPr="00F738D8">
        <w:rPr>
          <w:color w:val="000000"/>
        </w:rPr>
        <w:t xml:space="preserve">tividade de carnívoros. As datações realizadas sobre um osso apresentaram uma datação de 27.6± 0.6 </w:t>
      </w:r>
      <w:r>
        <w:rPr>
          <w:color w:val="000000"/>
        </w:rPr>
        <w:t>Ka</w:t>
      </w:r>
      <w:r w:rsidRPr="00F738D8">
        <w:rPr>
          <w:color w:val="000000"/>
        </w:rPr>
        <w:t xml:space="preserve"> correspondendo a data calibrada de ca. 32.4 </w:t>
      </w:r>
      <w:r>
        <w:rPr>
          <w:color w:val="000000"/>
        </w:rPr>
        <w:t>Ka</w:t>
      </w:r>
      <w:r w:rsidRPr="00F738D8">
        <w:rPr>
          <w:color w:val="000000"/>
        </w:rPr>
        <w:t xml:space="preserve"> (Zilhão, 2006). Após serem inicialmente aceites, o autor considera atualmente que o osso sobre o qual foi realizada a datação pode ter vindo do nível superior, Jb, de atribuição Paleolítico superior inicial. A análise faunística de roedores da camada K revelou a presença de espécies características de áreas abertas secas (Cardoso, 2006, p.36).</w:t>
      </w:r>
    </w:p>
    <w:p w:rsidR="00632F9C" w:rsidRPr="00A80485" w:rsidRDefault="00632F9C" w:rsidP="00632F9C">
      <w:pPr>
        <w:autoSpaceDE w:val="0"/>
        <w:autoSpaceDN w:val="0"/>
        <w:adjustRightInd w:val="0"/>
        <w:spacing w:line="360" w:lineRule="auto"/>
        <w:ind w:firstLine="708"/>
        <w:jc w:val="both"/>
        <w:rPr>
          <w:color w:val="000000"/>
        </w:rPr>
      </w:pPr>
    </w:p>
    <w:p w:rsidR="00632F9C" w:rsidRPr="00A80485"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8"/>
        </w:numPr>
        <w:autoSpaceDE w:val="0"/>
        <w:autoSpaceDN w:val="0"/>
        <w:adjustRightInd w:val="0"/>
        <w:spacing w:line="360" w:lineRule="auto"/>
        <w:jc w:val="both"/>
        <w:rPr>
          <w:color w:val="000000"/>
        </w:rPr>
      </w:pPr>
      <w:r w:rsidRPr="00F738D8">
        <w:rPr>
          <w:color w:val="000000"/>
        </w:rPr>
        <w:t xml:space="preserve">Gruta da Oliveira (Torres Novas). </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pPr>
      <w:r>
        <w:rPr>
          <w:color w:val="000000"/>
        </w:rPr>
        <w:t>A a</w:t>
      </w:r>
      <w:r w:rsidRPr="00F738D8">
        <w:rPr>
          <w:color w:val="000000"/>
        </w:rPr>
        <w:t>ção do rio Almonda no sistema Cársico homónimo originou a abertura de uma série de cavidades distribuídas por sucessivos patamares no arri</w:t>
      </w:r>
      <w:r>
        <w:rPr>
          <w:color w:val="000000"/>
        </w:rPr>
        <w:t>fe da serra de Aire</w:t>
      </w:r>
      <w:r w:rsidRPr="00F738D8">
        <w:rPr>
          <w:color w:val="000000"/>
        </w:rPr>
        <w:t xml:space="preserve"> e Candeeiros. É a meio deste arrife que se localiza a cavidade cársica conhecida como Oliveira. Esta gruta encontra-se em escavação por João Zilhão. </w:t>
      </w:r>
      <w:r>
        <w:t>A prospe</w:t>
      </w:r>
      <w:r w:rsidRPr="00F738D8">
        <w:t>ção espeleo</w:t>
      </w:r>
      <w:r w:rsidRPr="00F738D8">
        <w:rPr>
          <w:rFonts w:ascii="Calibri" w:hAnsi="Calibri"/>
        </w:rPr>
        <w:t>‐</w:t>
      </w:r>
      <w:r w:rsidRPr="00F738D8">
        <w:t>arqueológica levada a cabo em finais dos anos 80 do século passado, durante a campanha de escavação da Galeria da Cisterna, levou à descoberta, em 1989, de um depósito de sedimentos arenosos contendo numerosos restos de fauna e artefactos em excelente estado de conservação a que se deu o nome de Cone Moustierense (Matias, 2012). O depósito escavado no Cone, interpretado como tendo origem em escorrências a partir de uma fissura localiza por</w:t>
      </w:r>
      <w:r>
        <w:t xml:space="preserve"> cima deste, motivou uma prospe</w:t>
      </w:r>
      <w:r w:rsidRPr="00F738D8">
        <w:t xml:space="preserve">ção orientada para a localização da galeria a partir da qual estes sedimentos teriam origem. </w:t>
      </w:r>
      <w:r>
        <w:t>A prospe</w:t>
      </w:r>
      <w:r w:rsidRPr="00F738D8">
        <w:t xml:space="preserve">ção levou à descoberta de uma sala </w:t>
      </w:r>
      <w:r>
        <w:t>ba</w:t>
      </w:r>
      <w:r w:rsidRPr="00F738D8">
        <w:t>tizada Sala 27 de Setembro (Sala 27</w:t>
      </w:r>
      <w:r w:rsidRPr="00F738D8">
        <w:rPr>
          <w:rFonts w:ascii="Calibri" w:hAnsi="Calibri"/>
        </w:rPr>
        <w:t>‐</w:t>
      </w:r>
      <w:r w:rsidRPr="00F738D8">
        <w:t>S), preenchida quase até ao topo por sedimentos, cobertos parcialmente por uma crosta esta</w:t>
      </w:r>
      <w:r>
        <w:t>la</w:t>
      </w:r>
      <w:r w:rsidRPr="00F738D8">
        <w:t>gmítica, e onde se recolheram artefactos de tecnologia similar aos recolhidos no Cone. Uma vez localizada, a entrada da gruta</w:t>
      </w:r>
      <w:r>
        <w:t>, ba</w:t>
      </w:r>
      <w:r w:rsidRPr="00F738D8">
        <w:t>tizada de Gruta da Oliveira, foi objecto de trabalhos de desobstrução e escavação arqueológica, começados em 1991, num total de 20 campanhas realizadas até à presente data (Matias, 2012).</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lastRenderedPageBreak/>
        <w:t>Os resultados que se conhecem desta gruta são provisórios e correspondem a um depósito em</w:t>
      </w:r>
      <w:r>
        <w:rPr>
          <w:color w:val="000000"/>
        </w:rPr>
        <w:t xml:space="preserve"> posição secundária abaixo da a</w:t>
      </w:r>
      <w:r w:rsidRPr="00F738D8">
        <w:rPr>
          <w:color w:val="000000"/>
        </w:rPr>
        <w:t xml:space="preserve">tual entrada da Gruta, resultante do colapso de uma galeria. Os depósitos do cone moustierense contêm um grande número de fauna e cerca de 250 artefactos, maioritariamente em sílex, com grande incidência da técnica Levallois e muitos artefactos retocados (denticulados, raspadores). Foram conseguidas duas datas através de U/Th dando uma média de 61,5 </w:t>
      </w:r>
      <w:r>
        <w:rPr>
          <w:color w:val="000000"/>
        </w:rPr>
        <w:t>Ka</w:t>
      </w:r>
      <w:r w:rsidRPr="00F738D8">
        <w:rPr>
          <w:color w:val="000000"/>
        </w:rPr>
        <w:t xml:space="preserve"> calBp (Zilhão e McKinney, 1995, Zilhão </w:t>
      </w:r>
      <w:r w:rsidRPr="00F738D8">
        <w:rPr>
          <w:i/>
          <w:color w:val="000000"/>
        </w:rPr>
        <w:t>et al</w:t>
      </w:r>
      <w:r w:rsidRPr="00F738D8">
        <w:rPr>
          <w:color w:val="000000"/>
        </w:rPr>
        <w:t xml:space="preserve"> 2013). A crosta estalagmítica, que corresponde à base da sequência, foi datada entre 101.6 e 107.1 (Zilhão </w:t>
      </w:r>
      <w:r w:rsidRPr="00F738D8">
        <w:rPr>
          <w:i/>
          <w:color w:val="000000"/>
        </w:rPr>
        <w:t>et al</w:t>
      </w:r>
      <w:r w:rsidRPr="00F738D8">
        <w:rPr>
          <w:color w:val="000000"/>
        </w:rPr>
        <w:t>, 2013). No entanto este depósito corresponde à ocupação mais antiga da gruta que</w:t>
      </w:r>
      <w:r>
        <w:rPr>
          <w:color w:val="000000"/>
        </w:rPr>
        <w:t>,</w:t>
      </w:r>
      <w:r w:rsidRPr="00F738D8">
        <w:rPr>
          <w:color w:val="000000"/>
        </w:rPr>
        <w:t xml:space="preserve"> no total</w:t>
      </w:r>
      <w:r>
        <w:rPr>
          <w:color w:val="000000"/>
        </w:rPr>
        <w:t>,</w:t>
      </w:r>
      <w:r w:rsidRPr="00F738D8">
        <w:rPr>
          <w:color w:val="000000"/>
        </w:rPr>
        <w:t xml:space="preserve"> apresenta uma estratigrafia de </w:t>
      </w:r>
      <w:smartTag w:uri="urn:schemas-microsoft-com:office:smarttags" w:element="metricconverter">
        <w:smartTagPr>
          <w:attr w:name="ProductID" w:val="6 m"/>
        </w:smartTagPr>
        <w:r w:rsidRPr="00F738D8">
          <w:rPr>
            <w:color w:val="000000"/>
          </w:rPr>
          <w:t>6 m</w:t>
        </w:r>
      </w:smartTag>
      <w:r w:rsidRPr="00F738D8">
        <w:rPr>
          <w:color w:val="000000"/>
        </w:rPr>
        <w:t xml:space="preserve"> estando selada por um tecto de estalagmites. A ocupação mais recente, o nível 8, foi datad</w:t>
      </w:r>
      <w:r w:rsidR="00F97B11">
        <w:rPr>
          <w:color w:val="000000"/>
        </w:rPr>
        <w:t>a</w:t>
      </w:r>
      <w:r w:rsidRPr="00F738D8">
        <w:rPr>
          <w:color w:val="000000"/>
        </w:rPr>
        <w:t xml:space="preserve"> entre 38 e 37 </w:t>
      </w:r>
      <w:r>
        <w:rPr>
          <w:color w:val="000000"/>
        </w:rPr>
        <w:t>Ka</w:t>
      </w:r>
      <w:r w:rsidRPr="00F738D8">
        <w:rPr>
          <w:color w:val="000000"/>
        </w:rPr>
        <w:t xml:space="preserve"> </w:t>
      </w:r>
      <w:r w:rsidR="00F97B11" w:rsidRPr="00F738D8">
        <w:rPr>
          <w:color w:val="000000"/>
        </w:rPr>
        <w:t>calBp e</w:t>
      </w:r>
      <w:r w:rsidRPr="00F738D8">
        <w:rPr>
          <w:color w:val="000000"/>
        </w:rPr>
        <w:t xml:space="preserve"> uma data de 44-43 </w:t>
      </w:r>
      <w:r>
        <w:rPr>
          <w:color w:val="000000"/>
        </w:rPr>
        <w:t>Ka</w:t>
      </w:r>
      <w:r w:rsidRPr="00F738D8">
        <w:rPr>
          <w:color w:val="000000"/>
        </w:rPr>
        <w:t xml:space="preserve"> calBp foi conseguida para o nível 9 (Zilhão, 2006, Zilhão </w:t>
      </w:r>
      <w:r w:rsidRPr="00F738D8">
        <w:rPr>
          <w:i/>
          <w:color w:val="000000"/>
        </w:rPr>
        <w:t>et al</w:t>
      </w:r>
      <w:r w:rsidRPr="00F738D8">
        <w:rPr>
          <w:color w:val="000000"/>
        </w:rPr>
        <w:t xml:space="preserve"> 2013). </w:t>
      </w:r>
      <w:r w:rsidRPr="00F738D8">
        <w:t>Em relação à indústria lítica, o seu estudo completo está ainda por concluir, existindo apenas, de momento, dados preliminares para a</w:t>
      </w:r>
      <w:r w:rsidR="00F97B11">
        <w:t xml:space="preserve">s camadas 8 e 9, já publicados </w:t>
      </w:r>
      <w:r>
        <w:t>(</w:t>
      </w:r>
      <w:r w:rsidRPr="00F738D8">
        <w:t xml:space="preserve">Marks </w:t>
      </w:r>
      <w:r w:rsidRPr="00F738D8">
        <w:rPr>
          <w:i/>
          <w:iCs/>
        </w:rPr>
        <w:t>et al</w:t>
      </w:r>
      <w:r>
        <w:t xml:space="preserve">, </w:t>
      </w:r>
      <w:r w:rsidRPr="00F738D8">
        <w:t>2001). A amostra é reduzida (95 artefactos recolhidos na camada 8 e 112 artefactos na c</w:t>
      </w:r>
      <w:r>
        <w:t>amada 9) mas, ainda assim, pode</w:t>
      </w:r>
      <w:r w:rsidRPr="00F738D8">
        <w:t xml:space="preserve"> constatar</w:t>
      </w:r>
      <w:r w:rsidRPr="00F738D8">
        <w:rPr>
          <w:rFonts w:ascii="Calibri" w:hAnsi="Calibri"/>
        </w:rPr>
        <w:t>‐</w:t>
      </w:r>
      <w:r w:rsidRPr="00F738D8">
        <w:t xml:space="preserve">se diferenças entre os dois níveis, as quais se centram essencialmente na morfologia dos produtos debitados. Enquanto no nível superior se atesta a </w:t>
      </w:r>
      <w:r>
        <w:t>presença do método de debitagem</w:t>
      </w:r>
      <w:r w:rsidRPr="00F738D8">
        <w:rPr>
          <w:i/>
          <w:iCs/>
        </w:rPr>
        <w:t xml:space="preserve"> </w:t>
      </w:r>
      <w:r w:rsidRPr="00F738D8">
        <w:t>centrípeto e unidireccional, produzindo elemen</w:t>
      </w:r>
      <w:r>
        <w:t>tos com formas trapezoidais, re</w:t>
      </w:r>
      <w:r w:rsidRPr="00F738D8">
        <w:t>tangulares e ovoide</w:t>
      </w:r>
      <w:r>
        <w:t>s</w:t>
      </w:r>
      <w:r w:rsidRPr="00F738D8">
        <w:t>, em proporções idênticas, na camada 9, o padrão é a debitagem centrípeta, utilizando o mesmo método, produzindo essencialmente suportes de configuração ovoide. A presença de utensílios retocados é muito reduzida contando</w:t>
      </w:r>
      <w:r w:rsidRPr="00F738D8">
        <w:rPr>
          <w:rFonts w:ascii="Calibri" w:hAnsi="Calibri"/>
        </w:rPr>
        <w:t>‐</w:t>
      </w:r>
      <w:r w:rsidRPr="00F738D8">
        <w:t xml:space="preserve">se apenas 14 peças (lascas com retoque marginal, entalhes e denticulados) entre os dois níveis </w:t>
      </w:r>
      <w:r w:rsidRPr="00F738D8">
        <w:rPr>
          <w:color w:val="000000"/>
        </w:rPr>
        <w:t xml:space="preserve">(Marks </w:t>
      </w:r>
      <w:r w:rsidRPr="00F738D8">
        <w:rPr>
          <w:i/>
          <w:color w:val="000000"/>
        </w:rPr>
        <w:t>et al</w:t>
      </w:r>
      <w:r w:rsidRPr="00F738D8">
        <w:rPr>
          <w:color w:val="000000"/>
        </w:rPr>
        <w:t xml:space="preserve">, 2001). O recurso ao quartzito e ao quartzo não resultou em artefactos de menor qualidade. Pelo contrário, é nas peças de quartzito de grão fino que a técnica Levallois encontra a sua melhor expressão. </w:t>
      </w:r>
    </w:p>
    <w:p w:rsidR="00632F9C" w:rsidRPr="00F738D8" w:rsidRDefault="00632F9C" w:rsidP="00632F9C">
      <w:pPr>
        <w:autoSpaceDE w:val="0"/>
        <w:autoSpaceDN w:val="0"/>
        <w:adjustRightInd w:val="0"/>
        <w:spacing w:line="360" w:lineRule="auto"/>
        <w:ind w:firstLine="708"/>
        <w:jc w:val="both"/>
      </w:pPr>
      <w:r w:rsidRPr="00F738D8">
        <w:rPr>
          <w:color w:val="000000"/>
        </w:rPr>
        <w:t>Além das camadas 8 e 9, da camada 14,</w:t>
      </w:r>
      <w:r w:rsidRPr="00F738D8">
        <w:t xml:space="preserve"> com um total de cerca de 7700 artefactos líticos (entre material lítico talhado e manuportes – seixos não talhados), foi analisada uma amostra de 3071 peças que se consideram representativa</w:t>
      </w:r>
      <w:r>
        <w:t>s</w:t>
      </w:r>
      <w:r w:rsidRPr="00F738D8">
        <w:t xml:space="preserve"> da camada, por Henrique Matias (2012). Em termos de matéria-prima, verifica-se nesta camada o predomínio do quartzo (N =1366), seguido do quartzito (N=1052) e do sílex (N=631). Na indústria lítica dominam as lascas, seguidas dos núcleos sendo as lâminas residuais. No conjunto dos núcleos verifica-se que 46 são em quartzo, 19 em quartzito e 11 em </w:t>
      </w:r>
      <w:r w:rsidRPr="00F738D8">
        <w:lastRenderedPageBreak/>
        <w:t>sílex. Os utensílios retocados são poucos, sendo 29 realizados em sílex, 8 em quartzo e 9 em quartzito (Matias, 2012).</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Foram encontrados grande quantidade de restos de tartaruga e coelho apresentando indícios de terem servido para o consumo humano. A sedimentação é contínua até ao nível 9, mas entre este nível e o 8, existe uma crosta estalagmítica que indica uma descontinuidade na sedimentação. A fauna exumada também parece indicar uma alteração climática entre os níveis mais antigos caracterizados por fauna mais fria (cabra montês, cavalo, rinoceronte) e o nível 8 onde o veado predomina de forma quase exclusiva (Zilhão </w:t>
      </w:r>
      <w:r w:rsidRPr="00F738D8">
        <w:rPr>
          <w:i/>
          <w:color w:val="000000"/>
        </w:rPr>
        <w:t>et al</w:t>
      </w:r>
      <w:r w:rsidRPr="00F738D8">
        <w:rPr>
          <w:color w:val="000000"/>
        </w:rPr>
        <w:t xml:space="preserve">, 2010). Estes dados indiciam um aquecimento do clima após um eventual período mais frio a cerca de 38-37 </w:t>
      </w:r>
      <w:r>
        <w:rPr>
          <w:color w:val="000000"/>
        </w:rPr>
        <w:t>Ka</w:t>
      </w:r>
      <w:r w:rsidRPr="00F738D8">
        <w:rPr>
          <w:color w:val="000000"/>
        </w:rPr>
        <w:t>.</w:t>
      </w:r>
    </w:p>
    <w:p w:rsidR="00632F9C" w:rsidRDefault="00632F9C" w:rsidP="00632F9C">
      <w:pPr>
        <w:autoSpaceDE w:val="0"/>
        <w:autoSpaceDN w:val="0"/>
        <w:adjustRightInd w:val="0"/>
        <w:spacing w:line="360" w:lineRule="auto"/>
        <w:ind w:firstLine="708"/>
        <w:jc w:val="both"/>
      </w:pPr>
      <w:r w:rsidRPr="00F738D8">
        <w:t>A presença human</w:t>
      </w:r>
      <w:r>
        <w:t>a está igualmente atestada dire</w:t>
      </w:r>
      <w:r w:rsidRPr="00F738D8">
        <w:t>tamente pela presença de restos fósseis, identificados como pertencentes ao Homem de Neandertal. Identificaram-se vários vestígios osteológicos nomeadamente: uma falange recolhida na camada 9, um fragmento de cúbito na camada 10, uma falange e um dente pós</w:t>
      </w:r>
      <w:r w:rsidRPr="00F738D8">
        <w:rPr>
          <w:rFonts w:ascii="Calibri" w:hAnsi="Calibri"/>
        </w:rPr>
        <w:t>‐</w:t>
      </w:r>
      <w:r w:rsidRPr="00F738D8">
        <w:t>canino na interface entre a camada 17/18, dois fragmentos de úmero na camada 18, um fragmento de tíbia na camada 19, um molar e um pré</w:t>
      </w:r>
      <w:r w:rsidRPr="00F738D8">
        <w:rPr>
          <w:rFonts w:ascii="Calibri" w:hAnsi="Calibri"/>
        </w:rPr>
        <w:t>‐</w:t>
      </w:r>
      <w:r w:rsidRPr="00F738D8">
        <w:t>molar inferior da camada 22 (Trin</w:t>
      </w:r>
      <w:r>
        <w:t>ka</w:t>
      </w:r>
      <w:r w:rsidRPr="00F738D8">
        <w:t xml:space="preserve">us </w:t>
      </w:r>
      <w:r w:rsidRPr="00F738D8">
        <w:rPr>
          <w:i/>
          <w:iCs/>
        </w:rPr>
        <w:t>et al</w:t>
      </w:r>
      <w:r w:rsidRPr="00F738D8">
        <w:t>. 2007;</w:t>
      </w:r>
      <w:r w:rsidRPr="00F738D8">
        <w:rPr>
          <w:color w:val="FF0000"/>
        </w:rPr>
        <w:t xml:space="preserve"> </w:t>
      </w:r>
      <w:r w:rsidRPr="00F738D8">
        <w:t xml:space="preserve">Willman </w:t>
      </w:r>
      <w:r w:rsidRPr="00F738D8">
        <w:rPr>
          <w:i/>
          <w:iCs/>
        </w:rPr>
        <w:t>et al.</w:t>
      </w:r>
      <w:r w:rsidRPr="00F738D8">
        <w:t xml:space="preserve"> 2012).</w:t>
      </w:r>
    </w:p>
    <w:p w:rsidR="00632F9C" w:rsidRPr="00F738D8" w:rsidRDefault="00632F9C" w:rsidP="00B34B0F">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pPr>
    </w:p>
    <w:p w:rsidR="00B34B0F" w:rsidRDefault="00632F9C" w:rsidP="00632F9C">
      <w:pPr>
        <w:autoSpaceDE w:val="0"/>
        <w:autoSpaceDN w:val="0"/>
        <w:adjustRightInd w:val="0"/>
        <w:spacing w:line="360" w:lineRule="auto"/>
        <w:jc w:val="both"/>
        <w:rPr>
          <w:b/>
          <w:color w:val="000000"/>
        </w:rPr>
      </w:pPr>
      <w:r>
        <w:rPr>
          <w:b/>
          <w:noProof/>
          <w:color w:val="000000"/>
        </w:rPr>
        <w:drawing>
          <wp:inline distT="0" distB="0" distL="0" distR="0">
            <wp:extent cx="5400675" cy="3324225"/>
            <wp:effectExtent l="19050" t="0" r="9525" b="0"/>
            <wp:docPr id="18" name="Imagem 4" descr="Corte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te Oliveira"/>
                    <pic:cNvPicPr>
                      <a:picLocks noChangeAspect="1" noChangeArrowheads="1"/>
                    </pic:cNvPicPr>
                  </pic:nvPicPr>
                  <pic:blipFill>
                    <a:blip r:embed="rId25" cstate="print"/>
                    <a:srcRect/>
                    <a:stretch>
                      <a:fillRect/>
                    </a:stretch>
                  </pic:blipFill>
                  <pic:spPr bwMode="auto">
                    <a:xfrm>
                      <a:off x="0" y="0"/>
                      <a:ext cx="5400675" cy="3324225"/>
                    </a:xfrm>
                    <a:prstGeom prst="rect">
                      <a:avLst/>
                    </a:prstGeom>
                    <a:noFill/>
                    <a:ln w="9525">
                      <a:noFill/>
                      <a:miter lim="800000"/>
                      <a:headEnd/>
                      <a:tailEnd/>
                    </a:ln>
                  </pic:spPr>
                </pic:pic>
              </a:graphicData>
            </a:graphic>
          </wp:inline>
        </w:drawing>
      </w:r>
    </w:p>
    <w:p w:rsidR="00632F9C" w:rsidRDefault="00EA3774" w:rsidP="00632F9C">
      <w:pPr>
        <w:autoSpaceDE w:val="0"/>
        <w:autoSpaceDN w:val="0"/>
        <w:adjustRightInd w:val="0"/>
        <w:spacing w:line="360" w:lineRule="auto"/>
        <w:jc w:val="both"/>
        <w:rPr>
          <w:b/>
          <w:color w:val="000000"/>
        </w:rPr>
      </w:pPr>
      <w:r>
        <w:rPr>
          <w:b/>
          <w:noProof/>
          <w:color w:val="000000"/>
          <w:lang w:eastAsia="en-US"/>
        </w:rPr>
        <w:pict>
          <v:shape id="_x0000_s1605" type="#_x0000_t202" style="position:absolute;left:0;text-align:left;margin-left:-7.8pt;margin-top:11.95pt;width:437.25pt;height:45.15pt;z-index:251830272;mso-height-percent:200;mso-height-percent:200;mso-width-relative:margin;mso-height-relative:margin" stroked="f">
            <v:textbox style="mso-next-textbox:#_x0000_s1605;mso-fit-shape-to-text:t">
              <w:txbxContent>
                <w:p w:rsidR="00B34B0F" w:rsidRPr="00EF5EA5" w:rsidRDefault="00B34B0F" w:rsidP="00632F9C">
                  <w:pPr>
                    <w:autoSpaceDE w:val="0"/>
                    <w:autoSpaceDN w:val="0"/>
                    <w:adjustRightInd w:val="0"/>
                    <w:jc w:val="both"/>
                    <w:rPr>
                      <w:sz w:val="22"/>
                      <w:szCs w:val="22"/>
                    </w:rPr>
                  </w:pPr>
                  <w:r w:rsidRPr="00EF5EA5">
                    <w:rPr>
                      <w:sz w:val="22"/>
                      <w:szCs w:val="22"/>
                    </w:rPr>
                    <w:t>Figura 4.</w:t>
                  </w:r>
                  <w:r>
                    <w:rPr>
                      <w:sz w:val="22"/>
                      <w:szCs w:val="22"/>
                    </w:rPr>
                    <w:t>3</w:t>
                  </w:r>
                  <w:r w:rsidRPr="00EF5EA5">
                    <w:rPr>
                      <w:sz w:val="22"/>
                      <w:szCs w:val="22"/>
                    </w:rPr>
                    <w:t xml:space="preserve">. Gruta da Oliveira. Perfil estratigráfico esquemático com indicação dos principais conjuntos estratigráficos e resultados das datações obtidas por vários métodos (Retirado de </w:t>
                  </w:r>
                  <w:proofErr w:type="gramStart"/>
                  <w:r w:rsidRPr="00EF5EA5">
                    <w:rPr>
                      <w:sz w:val="22"/>
                      <w:szCs w:val="22"/>
                    </w:rPr>
                    <w:t xml:space="preserve">Zilhão  </w:t>
                  </w:r>
                  <w:r w:rsidRPr="00EF5EA5">
                    <w:rPr>
                      <w:i/>
                      <w:iCs/>
                      <w:sz w:val="22"/>
                      <w:szCs w:val="22"/>
                    </w:rPr>
                    <w:t>et</w:t>
                  </w:r>
                  <w:proofErr w:type="gramEnd"/>
                  <w:r w:rsidRPr="00EF5EA5">
                    <w:rPr>
                      <w:i/>
                      <w:iCs/>
                      <w:sz w:val="22"/>
                      <w:szCs w:val="22"/>
                    </w:rPr>
                    <w:t xml:space="preserve"> al. </w:t>
                  </w:r>
                  <w:r w:rsidRPr="00EF5EA5">
                    <w:rPr>
                      <w:sz w:val="22"/>
                      <w:szCs w:val="22"/>
                    </w:rPr>
                    <w:t>2013).</w:t>
                  </w:r>
                </w:p>
              </w:txbxContent>
            </v:textbox>
          </v:shape>
        </w:pic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numPr>
          <w:ilvl w:val="0"/>
          <w:numId w:val="18"/>
        </w:numPr>
        <w:autoSpaceDE w:val="0"/>
        <w:autoSpaceDN w:val="0"/>
        <w:adjustRightInd w:val="0"/>
        <w:spacing w:line="360" w:lineRule="auto"/>
        <w:jc w:val="both"/>
        <w:rPr>
          <w:color w:val="000000"/>
        </w:rPr>
      </w:pPr>
      <w:r w:rsidRPr="00F738D8">
        <w:rPr>
          <w:color w:val="000000"/>
        </w:rPr>
        <w:lastRenderedPageBreak/>
        <w:t>Gruta da Furninha (Peniche).</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Esta gruta situa-se junto ao mar, numa plataforma situada aproxi</w:t>
      </w:r>
      <w:r>
        <w:rPr>
          <w:color w:val="000000"/>
        </w:rPr>
        <w:t>madamente a 15 m acima do seu a</w:t>
      </w:r>
      <w:r w:rsidRPr="00F738D8">
        <w:rPr>
          <w:color w:val="000000"/>
        </w:rPr>
        <w:t xml:space="preserve">tual nível. Esta gruta foi escavada em 1879 por Nery Delgado, segundo os métodos científicos mais avançados para a época. Existem registos pormenorizados da estratigrafia, da posição da indústria lítica e da fauna exumada durante a escavação. A sequência plistocénica inicia-se com um conglomerado com pouca fauna sobre o qual se desenvolve um espesso complexo sedimentológico. Estes dois níveis encontram-se separados por uma crosta estalagmítica. O complexo sedimentodológico superior divide-se em sete níveis fossilíferos. Os níveis mais ricos, tanto em fauna como em indústria lítica, foram os terceiros e segundos níveis. Do terceiro nível saiu em biface alongado do Acheulense superior, em sílex, sem patine. A tipologia dos outros materiais em sílex associados foi atribuída ao Moustierense, e indicia alterações pós-deposicionais. Com os materiais Moustierenses foi recolhida uma fauna abundante muito provavelmente resultante da ocupação do espaço por carnívoros (hiena zebrada? e lobo). Foi conseguida uma datação de U/Th. De 80.88 </w:t>
      </w:r>
      <w:r>
        <w:rPr>
          <w:color w:val="000000"/>
        </w:rPr>
        <w:t>Ka</w:t>
      </w:r>
      <w:r w:rsidRPr="00F738D8">
        <w:rPr>
          <w:color w:val="000000"/>
        </w:rPr>
        <w:t xml:space="preserve"> BP (+ 42.42/-31.26 </w:t>
      </w:r>
      <w:r>
        <w:rPr>
          <w:color w:val="000000"/>
        </w:rPr>
        <w:t>Ka</w:t>
      </w:r>
      <w:r w:rsidRPr="00F738D8">
        <w:rPr>
          <w:color w:val="000000"/>
        </w:rPr>
        <w:t xml:space="preserve">). Esta data se bem que apresente muitas incertezas é plausível com uma cronologia do último interglaciário, quando a gruta foi formada. O enchimento superior corresponde ao último período glaciar apresentando pouca indústria do Paleolítico superior (Cardoso, 2006, p. 38). </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8"/>
        </w:numPr>
        <w:autoSpaceDE w:val="0"/>
        <w:autoSpaceDN w:val="0"/>
        <w:adjustRightInd w:val="0"/>
        <w:spacing w:line="360" w:lineRule="auto"/>
        <w:jc w:val="both"/>
        <w:rPr>
          <w:b/>
          <w:color w:val="000000"/>
        </w:rPr>
      </w:pPr>
      <w:r w:rsidRPr="00F738D8">
        <w:rPr>
          <w:b/>
          <w:color w:val="000000"/>
        </w:rPr>
        <w:t xml:space="preserve"> </w:t>
      </w:r>
      <w:r w:rsidRPr="00F738D8">
        <w:rPr>
          <w:color w:val="000000"/>
        </w:rPr>
        <w:t>Gruta Nova da Columbeira</w:t>
      </w:r>
      <w:r w:rsidRPr="00F738D8">
        <w:rPr>
          <w:b/>
          <w:color w:val="000000"/>
        </w:rPr>
        <w:t xml:space="preserve"> </w:t>
      </w:r>
      <w:r w:rsidRPr="00F738D8">
        <w:rPr>
          <w:color w:val="000000"/>
        </w:rPr>
        <w:t>(Bombarral).</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A importância desta estação, entre outras, tem a ver com as datações aqui obtidas, recorrentemente mencionadas na literatura como documentando a persistência do Paleolítico médio para além dos 30</w:t>
      </w:r>
      <w:r>
        <w:rPr>
          <w:color w:val="000000"/>
        </w:rPr>
        <w:t>Ka</w:t>
      </w:r>
      <w:r w:rsidRPr="00F738D8">
        <w:rPr>
          <w:color w:val="000000"/>
        </w:rPr>
        <w:t xml:space="preserve"> (Zilhão </w:t>
      </w:r>
      <w:r w:rsidRPr="00F738D8">
        <w:rPr>
          <w:i/>
          <w:color w:val="000000"/>
        </w:rPr>
        <w:t>et al,</w:t>
      </w:r>
      <w:r w:rsidRPr="00F738D8">
        <w:rPr>
          <w:color w:val="000000"/>
        </w:rPr>
        <w:t xml:space="preserve"> 2011). A G</w:t>
      </w:r>
      <w:r>
        <w:rPr>
          <w:color w:val="000000"/>
        </w:rPr>
        <w:t>ruta N</w:t>
      </w:r>
      <w:r w:rsidRPr="00F738D8">
        <w:rPr>
          <w:color w:val="000000"/>
        </w:rPr>
        <w:t>ova da Columbeira foi escavada por O</w:t>
      </w:r>
      <w:r>
        <w:rPr>
          <w:color w:val="000000"/>
        </w:rPr>
        <w:t>.</w:t>
      </w:r>
      <w:r w:rsidRPr="00F738D8">
        <w:rPr>
          <w:color w:val="000000"/>
        </w:rPr>
        <w:t xml:space="preserve"> da Veiga Ferreira e G. Zbyszewski em 1962. No princípio dos anos 1970, Jean Roche também dirigiu uma intervenção desta gruta. A </w:t>
      </w:r>
      <w:r>
        <w:rPr>
          <w:color w:val="000000"/>
        </w:rPr>
        <w:t>cavidade</w:t>
      </w:r>
      <w:r w:rsidRPr="00F738D8">
        <w:rPr>
          <w:color w:val="000000"/>
        </w:rPr>
        <w:t xml:space="preserve"> situa-se a meia encosta do maciço calcário, no vale do Roto, e corresponde a uma galeria com cerca de 20 metros de comprimento por 2 a 3 de largura e 10 de altura. A estratigrafia observada apresenta 10 níveis quase todos separados por uma fina camada estalagmítica num total de cerca de 3m de espessura. Obteve-se uma primeira datação C14 da base da sequência, no final dos anos 60 do século passado, que </w:t>
      </w:r>
      <w:r w:rsidRPr="00F738D8">
        <w:rPr>
          <w:color w:val="000000"/>
        </w:rPr>
        <w:lastRenderedPageBreak/>
        <w:t>apresentou um resultado de 22 350± 990 BP. Das intervenções de Jean Roche foram obtidas duas datações para a base da sequência com o</w:t>
      </w:r>
      <w:r w:rsidR="00F97B11">
        <w:rPr>
          <w:color w:val="000000"/>
        </w:rPr>
        <w:t xml:space="preserve">s seguintes resultados: 26.4 ± </w:t>
      </w:r>
      <w:r w:rsidRPr="00F738D8">
        <w:rPr>
          <w:color w:val="000000"/>
        </w:rPr>
        <w:t xml:space="preserve">0,75 </w:t>
      </w:r>
      <w:r>
        <w:rPr>
          <w:color w:val="000000"/>
        </w:rPr>
        <w:t>Ka</w:t>
      </w:r>
      <w:r w:rsidRPr="00F738D8">
        <w:rPr>
          <w:color w:val="000000"/>
        </w:rPr>
        <w:t xml:space="preserve"> C14 BP (nível 7) e 28.9 ± 0.95 </w:t>
      </w:r>
      <w:r>
        <w:rPr>
          <w:color w:val="000000"/>
        </w:rPr>
        <w:t>Ka</w:t>
      </w:r>
      <w:r w:rsidRPr="00F738D8">
        <w:rPr>
          <w:color w:val="000000"/>
        </w:rPr>
        <w:t xml:space="preserve"> C14 BP (nível 8). O laboratório que fez as análises alertou para a fraca qualidade das amostras. O nível 8 corresponde à mais intensiva ocupação da gruta tendo sido registado uma presença significativa de carvões e cinzas, associados a lareiras restos faunísticos, e indústria lítica. A indústria lítica da Gruta Nova da Columbeira, principalmente os níveis 8 e 7</w:t>
      </w:r>
      <w:r>
        <w:rPr>
          <w:color w:val="000000"/>
        </w:rPr>
        <w:t>,</w:t>
      </w:r>
      <w:r w:rsidRPr="00F738D8">
        <w:rPr>
          <w:color w:val="000000"/>
        </w:rPr>
        <w:t xml:space="preserve"> que constituem os principais níveis de ocupação desta </w:t>
      </w:r>
      <w:r>
        <w:rPr>
          <w:color w:val="000000"/>
        </w:rPr>
        <w:t>jazida</w:t>
      </w:r>
      <w:r w:rsidRPr="00F738D8">
        <w:rPr>
          <w:color w:val="000000"/>
        </w:rPr>
        <w:t>, for</w:t>
      </w:r>
      <w:r>
        <w:rPr>
          <w:color w:val="000000"/>
        </w:rPr>
        <w:t>am</w:t>
      </w:r>
      <w:r w:rsidRPr="00F738D8">
        <w:rPr>
          <w:color w:val="000000"/>
        </w:rPr>
        <w:t xml:space="preserve"> atribuídas ao complexo tecno-tipológico Moustierense, com denticulados com debitagem Levallois e fácies Levallois. Nesta gruta foi ainda recolhido espólio osteológico com vestígios de terem sido usados como ferramentas (Barandiarán e Ferreira, 1971). A matéria-prima utilizada, recolhida ao longo de toda a sequência, apresenta grande diversidade. Verifica-se um incremento do uso do sílex e uma diminuição do uso do quartzo de baixo para cima </w:t>
      </w:r>
      <w:r>
        <w:rPr>
          <w:color w:val="000000"/>
        </w:rPr>
        <w:t>n</w:t>
      </w:r>
      <w:r w:rsidRPr="00F738D8">
        <w:rPr>
          <w:color w:val="000000"/>
        </w:rPr>
        <w:t>a sequência, enquanto o uso do quartzito se mantém estável. Este aumento do uso de sílex não implica um aumento do território onde estes recursos poderiam ser recolhidos. O sílex, o quartzito e o quartzo são recorrentes nas imediações da gruta. Por outro lado, o aumento da procura do sílex não é acompanhado com um aumento dos utensílios produzidos nessa matér</w:t>
      </w:r>
      <w:r>
        <w:rPr>
          <w:color w:val="000000"/>
        </w:rPr>
        <w:t>ia-prima. A composição da macro-</w:t>
      </w:r>
      <w:r w:rsidRPr="00F738D8">
        <w:rPr>
          <w:color w:val="000000"/>
        </w:rPr>
        <w:t xml:space="preserve">fauna sugere um clima temperado, com alguns episódios frios e secos. Verifica-se a presença de </w:t>
      </w:r>
      <w:r w:rsidRPr="00F738D8">
        <w:rPr>
          <w:i/>
          <w:color w:val="000000"/>
        </w:rPr>
        <w:t>Capra pyrenaica</w:t>
      </w:r>
      <w:r w:rsidRPr="00F738D8">
        <w:rPr>
          <w:color w:val="000000"/>
        </w:rPr>
        <w:t xml:space="preserve"> e </w:t>
      </w:r>
      <w:r w:rsidRPr="00F738D8">
        <w:rPr>
          <w:i/>
          <w:color w:val="000000"/>
        </w:rPr>
        <w:t>Dicerorhinus hemitoechus</w:t>
      </w:r>
      <w:r w:rsidRPr="00F738D8">
        <w:rPr>
          <w:color w:val="000000"/>
        </w:rPr>
        <w:t xml:space="preserve"> mas num nível (6) que corresponde a </w:t>
      </w:r>
      <w:r>
        <w:rPr>
          <w:color w:val="000000"/>
        </w:rPr>
        <w:t>ocupações</w:t>
      </w:r>
      <w:r w:rsidRPr="00F738D8">
        <w:rPr>
          <w:color w:val="000000"/>
        </w:rPr>
        <w:t xml:space="preserve"> de hiena (Cardoso, 1993). Neste sítio foram ainda </w:t>
      </w:r>
      <w:r>
        <w:rPr>
          <w:color w:val="000000"/>
        </w:rPr>
        <w:t>exumados</w:t>
      </w:r>
      <w:r w:rsidRPr="00F738D8">
        <w:rPr>
          <w:color w:val="000000"/>
        </w:rPr>
        <w:t xml:space="preserve"> restos de tartaruga terrestre. No topo do nível 9 foi recolhido um dente de Neandertal numa zona de contacto com o nível 7 (Antunes </w:t>
      </w:r>
      <w:r w:rsidRPr="00F738D8">
        <w:rPr>
          <w:i/>
          <w:color w:val="000000"/>
        </w:rPr>
        <w:t>et al</w:t>
      </w:r>
      <w:r w:rsidRPr="00F738D8">
        <w:rPr>
          <w:color w:val="000000"/>
        </w:rPr>
        <w:t>, 2000).</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Para alguns autores, os níveis arqueológicos não foram alvo de alterações pós-deposicionais (Ferreira, 1984; Cardoso, Raposo e Ferreira, 2002). No início considerou-se que a associação dos artefactos a cada nível desta sequência encontra-se bem definida (Cardoso, 2006). Porém, outros au</w:t>
      </w:r>
      <w:r>
        <w:rPr>
          <w:color w:val="000000"/>
        </w:rPr>
        <w:t>tores consideram exa</w:t>
      </w:r>
      <w:r w:rsidRPr="00F738D8">
        <w:rPr>
          <w:color w:val="000000"/>
        </w:rPr>
        <w:t xml:space="preserve">tamente o contrário (Marks </w:t>
      </w:r>
      <w:r w:rsidRPr="00F738D8">
        <w:rPr>
          <w:i/>
          <w:color w:val="000000"/>
        </w:rPr>
        <w:t>et al</w:t>
      </w:r>
      <w:r w:rsidRPr="00F738D8">
        <w:rPr>
          <w:color w:val="000000"/>
        </w:rPr>
        <w:t xml:space="preserve">, 2001, Zilhão, 2006). </w:t>
      </w:r>
      <w:r>
        <w:rPr>
          <w:color w:val="000000"/>
        </w:rPr>
        <w:t>Com o obje</w:t>
      </w:r>
      <w:r w:rsidRPr="00F738D8">
        <w:rPr>
          <w:color w:val="000000"/>
        </w:rPr>
        <w:t xml:space="preserve">tivo de esclarecer as dúvidas suscitadas por esta estação foi recentemente realizado um novo estudo que se baseou na consulta da informação arquivada (datações, relatórios, diários de campo); novas datações, das mesmas amostras e com as mesmas técnicas, dos níveis datados anteriormente pelo laboratório de Gif-sur-Yvette e nas datações de utensílio sobre osso identificado na base da sequência Mousteriense por séries de Urânio (Zilhão </w:t>
      </w:r>
      <w:r w:rsidRPr="00F738D8">
        <w:rPr>
          <w:i/>
          <w:color w:val="000000"/>
        </w:rPr>
        <w:t>et al,</w:t>
      </w:r>
      <w:r w:rsidRPr="00F738D8">
        <w:rPr>
          <w:color w:val="000000"/>
        </w:rPr>
        <w:t xml:space="preserve"> 2011). Deste estudo parece indic</w:t>
      </w:r>
      <w:r>
        <w:rPr>
          <w:color w:val="000000"/>
        </w:rPr>
        <w:t>i</w:t>
      </w:r>
      <w:r w:rsidRPr="00F738D8">
        <w:rPr>
          <w:color w:val="000000"/>
        </w:rPr>
        <w:t xml:space="preserve">ar-se que as datações dos anos 60 e 70 do século passado deverão ser vistas como </w:t>
      </w:r>
      <w:r w:rsidRPr="00F738D8">
        <w:rPr>
          <w:color w:val="000000"/>
        </w:rPr>
        <w:lastRenderedPageBreak/>
        <w:t xml:space="preserve">idade mínima, não estando isentas da possibilidade de contaminação de materiais mais recentes. As amostras recolhidas propositadamente para este estudo vieram demonstrar isso mesmo, ao verificar que as amostras </w:t>
      </w:r>
      <w:r>
        <w:rPr>
          <w:color w:val="000000"/>
        </w:rPr>
        <w:t>inicialmente datadas</w:t>
      </w:r>
      <w:r w:rsidRPr="00F738D8">
        <w:rPr>
          <w:color w:val="000000"/>
        </w:rPr>
        <w:t xml:space="preserve"> continham carbono do Paleolítico superior ou ainda mais recente. As datações por séries de Urânio, realizadas </w:t>
      </w:r>
      <w:r>
        <w:rPr>
          <w:color w:val="000000"/>
        </w:rPr>
        <w:t>n</w:t>
      </w:r>
      <w:r w:rsidRPr="00F738D8">
        <w:rPr>
          <w:color w:val="000000"/>
        </w:rPr>
        <w:t xml:space="preserve">um fragmento de diáfise de tíbia de rinoceronte, apresentaram uma idade média de </w:t>
      </w:r>
      <w:r w:rsidRPr="00F738D8">
        <w:rPr>
          <w:rFonts w:eastAsia="HypatiaSansPro-Regular"/>
        </w:rPr>
        <w:t>87.1</w:t>
      </w:r>
      <w:r w:rsidRPr="00F738D8">
        <w:rPr>
          <w:color w:val="000000"/>
        </w:rPr>
        <w:t>±</w:t>
      </w:r>
      <w:r w:rsidRPr="00F738D8">
        <w:rPr>
          <w:rFonts w:eastAsia="HypatiaSansPro-Regular"/>
        </w:rPr>
        <w:t xml:space="preserve">6.3 </w:t>
      </w:r>
      <w:r>
        <w:rPr>
          <w:rFonts w:eastAsia="HypatiaSansPro-Regular"/>
        </w:rPr>
        <w:t>Ka</w:t>
      </w:r>
      <w:r w:rsidRPr="00F738D8">
        <w:rPr>
          <w:rFonts w:eastAsia="HypatiaSansPro-Regular"/>
        </w:rPr>
        <w:t xml:space="preserve"> </w:t>
      </w:r>
      <w:r w:rsidRPr="00F738D8">
        <w:rPr>
          <w:color w:val="000000"/>
        </w:rPr>
        <w:t xml:space="preserve">(Zilhão </w:t>
      </w:r>
      <w:r w:rsidRPr="00F738D8">
        <w:rPr>
          <w:i/>
          <w:color w:val="000000"/>
        </w:rPr>
        <w:t>et al,</w:t>
      </w:r>
      <w:r w:rsidRPr="00F738D8">
        <w:rPr>
          <w:color w:val="000000"/>
        </w:rPr>
        <w:t xml:space="preserve"> 2011). A análise da documentação arquivada permitiu verificar que a gruta teve, de facto, uma ocupação moustierense bem conservada na parte mais próxima da entrada, escavada nos anos 60 do século passado. Os níveis identificados durante a intervenção de Jean Roche serão mais recentes aos quais se terão junto materiais erodidos da ocupação moustierense, devido à inclinação natural da gruta para o interior.</w:t>
      </w:r>
    </w:p>
    <w:p w:rsidR="00632F9C"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numPr>
          <w:ilvl w:val="0"/>
          <w:numId w:val="18"/>
        </w:numPr>
        <w:autoSpaceDE w:val="0"/>
        <w:autoSpaceDN w:val="0"/>
        <w:adjustRightInd w:val="0"/>
        <w:spacing w:line="360" w:lineRule="auto"/>
        <w:jc w:val="both"/>
        <w:rPr>
          <w:b/>
          <w:color w:val="000000"/>
        </w:rPr>
      </w:pPr>
      <w:r w:rsidRPr="00F738D8">
        <w:rPr>
          <w:color w:val="000000"/>
        </w:rPr>
        <w:t>Gruta de Salema e Pedreira</w:t>
      </w:r>
      <w:r w:rsidRPr="00F738D8">
        <w:rPr>
          <w:b/>
          <w:color w:val="000000"/>
        </w:rPr>
        <w:t xml:space="preserve"> </w:t>
      </w:r>
      <w:r w:rsidRPr="00F738D8">
        <w:rPr>
          <w:color w:val="000000"/>
        </w:rPr>
        <w:t>(Loures).</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Esta gruta é mais famosa pelo conteúdo atribuído ao Paleolítico superior. Na</w:t>
      </w:r>
      <w:r>
        <w:rPr>
          <w:color w:val="000000"/>
        </w:rPr>
        <w:t xml:space="preserve"> base desse enchimento foi dete</w:t>
      </w:r>
      <w:r w:rsidRPr="00F738D8">
        <w:rPr>
          <w:color w:val="000000"/>
        </w:rPr>
        <w:t>tada uma ocupação do Paleolítico médio com algum material pouco comum neste tipo de ocupação. Neste nível foi ainda recolhido um dente decidual recentemente atribuído a um Neandertal (Antunes</w:t>
      </w:r>
      <w:r>
        <w:rPr>
          <w:color w:val="000000"/>
        </w:rPr>
        <w:t xml:space="preserve"> e Cardoso</w:t>
      </w:r>
      <w:r w:rsidRPr="00F738D8">
        <w:rPr>
          <w:color w:val="000000"/>
        </w:rPr>
        <w:t xml:space="preserve"> 2000</w:t>
      </w:r>
      <w:r>
        <w:rPr>
          <w:color w:val="000000"/>
        </w:rPr>
        <w:t xml:space="preserve">, Antunes </w:t>
      </w:r>
      <w:r w:rsidRPr="005E2C9E">
        <w:rPr>
          <w:i/>
          <w:color w:val="000000"/>
        </w:rPr>
        <w:t>et al</w:t>
      </w:r>
      <w:r>
        <w:rPr>
          <w:color w:val="000000"/>
        </w:rPr>
        <w:t>, 2000</w:t>
      </w:r>
      <w:r w:rsidRPr="00F738D8">
        <w:rPr>
          <w:color w:val="000000"/>
        </w:rPr>
        <w:t xml:space="preserve">). Nas imediações desta gruta, num abrigo situado defronte de uma pedreira, foi observada uma sucessão estratigráfica cujo nível de base apresenta um abundância de materiais moustierenses, talhados em sílex branco que nunca foi estudado, e fauna que foi datada entre 27.17 </w:t>
      </w:r>
      <w:r>
        <w:rPr>
          <w:color w:val="000000"/>
        </w:rPr>
        <w:t>Ka</w:t>
      </w:r>
      <w:r w:rsidRPr="00F738D8">
        <w:rPr>
          <w:color w:val="000000"/>
        </w:rPr>
        <w:t xml:space="preserve"> BP (+1.0; -0,9 </w:t>
      </w:r>
      <w:r>
        <w:rPr>
          <w:color w:val="000000"/>
        </w:rPr>
        <w:t>Ka</w:t>
      </w:r>
      <w:r w:rsidRPr="00F738D8">
        <w:rPr>
          <w:color w:val="000000"/>
        </w:rPr>
        <w:t xml:space="preserve">) e 29.82 </w:t>
      </w:r>
      <w:r>
        <w:rPr>
          <w:color w:val="000000"/>
        </w:rPr>
        <w:t>Ka</w:t>
      </w:r>
      <w:r w:rsidRPr="00F738D8">
        <w:rPr>
          <w:color w:val="000000"/>
        </w:rPr>
        <w:t xml:space="preserve"> BP (+ 1.13; -0.98 </w:t>
      </w:r>
      <w:r>
        <w:rPr>
          <w:color w:val="000000"/>
        </w:rPr>
        <w:t>Ka</w:t>
      </w:r>
      <w:r w:rsidRPr="00F738D8">
        <w:rPr>
          <w:color w:val="000000"/>
        </w:rPr>
        <w:t xml:space="preserve">) (Antunes </w:t>
      </w:r>
      <w:r w:rsidRPr="00F738D8">
        <w:rPr>
          <w:i/>
        </w:rPr>
        <w:t>et al</w:t>
      </w:r>
      <w:r w:rsidRPr="00F738D8">
        <w:t xml:space="preserve">, </w:t>
      </w:r>
      <w:r w:rsidRPr="00F738D8">
        <w:rPr>
          <w:color w:val="000000"/>
        </w:rPr>
        <w:t xml:space="preserve">1989) o que corresponde a uma idade calibrada de 34.6 </w:t>
      </w:r>
      <w:r>
        <w:rPr>
          <w:color w:val="000000"/>
        </w:rPr>
        <w:t>Ka</w:t>
      </w:r>
      <w:r w:rsidRPr="00F738D8">
        <w:rPr>
          <w:color w:val="000000"/>
        </w:rPr>
        <w:t xml:space="preserve"> calBP (Zilhão, 2006). Embora a fauna apenas tenha uma relação geológica com a indústria lítica parece não haver dúvidas da contemporaneidade de ambos os depósitos, certeza não reconhecida por Zilhão (Cardoso, 2006, p. 41).</w:t>
      </w: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8"/>
        </w:numPr>
        <w:autoSpaceDE w:val="0"/>
        <w:autoSpaceDN w:val="0"/>
        <w:adjustRightInd w:val="0"/>
        <w:spacing w:line="360" w:lineRule="auto"/>
        <w:jc w:val="both"/>
        <w:rPr>
          <w:b/>
          <w:color w:val="000000"/>
        </w:rPr>
      </w:pPr>
      <w:r w:rsidRPr="00F738D8">
        <w:rPr>
          <w:color w:val="000000"/>
        </w:rPr>
        <w:t>Gruta da Figueira Brava</w:t>
      </w:r>
      <w:r w:rsidRPr="00F738D8">
        <w:rPr>
          <w:b/>
          <w:color w:val="000000"/>
        </w:rPr>
        <w:t xml:space="preserve"> </w:t>
      </w:r>
      <w:r w:rsidRPr="00F738D8">
        <w:rPr>
          <w:color w:val="000000"/>
        </w:rPr>
        <w:t>(Setúbal).</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360"/>
        <w:jc w:val="both"/>
        <w:rPr>
          <w:color w:val="000000"/>
        </w:rPr>
      </w:pPr>
      <w:r w:rsidRPr="00F738D8">
        <w:rPr>
          <w:color w:val="000000"/>
        </w:rPr>
        <w:t>Esta gruta fica localizada no maciço calcário Miocénico da Serra da Arrábida, a oeste do Portinho da Arrábida mesmo na orla marinha Apenas um pequena parte da gruta foi escavada nos finais dos anos 80 (Antunes, 1990/1991</w:t>
      </w:r>
      <w:r w:rsidRPr="00F738D8">
        <w:rPr>
          <w:i/>
          <w:color w:val="000000"/>
        </w:rPr>
        <w:t>in</w:t>
      </w:r>
      <w:r w:rsidRPr="00F738D8">
        <w:rPr>
          <w:color w:val="000000"/>
        </w:rPr>
        <w:t xml:space="preserve">: Cardoso, 2006). A </w:t>
      </w:r>
      <w:r w:rsidRPr="00F738D8">
        <w:rPr>
          <w:color w:val="000000"/>
        </w:rPr>
        <w:lastRenderedPageBreak/>
        <w:t>sequência estratigráfica escavada nesta gruta resulta da remobilização de materiais que vieram de outras partes no interior da gruta. A base da sequência corresponde a um conglomerado relacionado com um nível elevado de praia 5/8 metros, bem preservado em toda a costa Sul da Arrábida. Esta praia pode ser atribuída a um interestadial no início da última glaciação. A escavação da sequência estratigráfica foi orientada para resultados</w:t>
      </w:r>
      <w:r>
        <w:rPr>
          <w:color w:val="000000"/>
        </w:rPr>
        <w:t xml:space="preserve"> paleo</w:t>
      </w:r>
      <w:r w:rsidRPr="00F738D8">
        <w:rPr>
          <w:color w:val="000000"/>
        </w:rPr>
        <w:t xml:space="preserve">ntológicos, não existindo informação dos padrões de distribuição vertical dos vários componentes dos depósitos escavados (Zilhão, 2006). </w:t>
      </w:r>
    </w:p>
    <w:p w:rsidR="00632F9C" w:rsidRPr="00F738D8" w:rsidRDefault="00632F9C" w:rsidP="00632F9C">
      <w:pPr>
        <w:autoSpaceDE w:val="0"/>
        <w:autoSpaceDN w:val="0"/>
        <w:adjustRightInd w:val="0"/>
        <w:spacing w:line="360" w:lineRule="auto"/>
        <w:ind w:firstLine="360"/>
        <w:jc w:val="both"/>
      </w:pPr>
      <w:r w:rsidRPr="00F738D8">
        <w:rPr>
          <w:color w:val="000000"/>
        </w:rPr>
        <w:t xml:space="preserve">Conseguiu-se uma data convencional de radiocarbono numa amostra de </w:t>
      </w:r>
      <w:r w:rsidRPr="00F738D8">
        <w:rPr>
          <w:i/>
          <w:color w:val="000000"/>
        </w:rPr>
        <w:t xml:space="preserve">Patella, </w:t>
      </w:r>
      <w:r w:rsidRPr="00F738D8">
        <w:t>recuperada no nível 2 em áreas não revolvidas, apresentando uma</w:t>
      </w:r>
      <w:r>
        <w:t xml:space="preserve"> </w:t>
      </w:r>
      <w:proofErr w:type="gramStart"/>
      <w:r>
        <w:t>patina</w:t>
      </w:r>
      <w:proofErr w:type="gramEnd"/>
      <w:r w:rsidRPr="00F738D8">
        <w:t xml:space="preserve"> e grau de fossilização uniforme. Esta amostra apresentou um resultado de ca. 36 </w:t>
      </w:r>
      <w:r>
        <w:t>Ka</w:t>
      </w:r>
      <w:r w:rsidRPr="00F738D8">
        <w:t xml:space="preserve"> cal BP (Antunes </w:t>
      </w:r>
      <w:r w:rsidRPr="00964B91">
        <w:rPr>
          <w:i/>
        </w:rPr>
        <w:t xml:space="preserve">et al </w:t>
      </w:r>
      <w:r w:rsidRPr="00F738D8">
        <w:t xml:space="preserve">1989, </w:t>
      </w:r>
      <w:r w:rsidR="00F97B11" w:rsidRPr="00F738D8">
        <w:t>Zilhão,</w:t>
      </w:r>
      <w:r w:rsidRPr="00F738D8">
        <w:t xml:space="preserve"> 2006). D</w:t>
      </w:r>
      <w:r w:rsidRPr="00F738D8">
        <w:rPr>
          <w:color w:val="000000"/>
        </w:rPr>
        <w:t xml:space="preserve">uas datações recentes sobre conchas do depósito conglomerado do Forte da Baralha, situado a oeste de Sesimbra, revelaram uma cronologia semelhante de cerca de 37 </w:t>
      </w:r>
      <w:r>
        <w:rPr>
          <w:color w:val="000000"/>
        </w:rPr>
        <w:t>Ka</w:t>
      </w:r>
      <w:r w:rsidRPr="00F738D8">
        <w:rPr>
          <w:color w:val="000000"/>
        </w:rPr>
        <w:t xml:space="preserve"> cal BP e 38 </w:t>
      </w:r>
      <w:r>
        <w:rPr>
          <w:color w:val="000000"/>
        </w:rPr>
        <w:t>Ka</w:t>
      </w:r>
      <w:r w:rsidRPr="00F738D8">
        <w:rPr>
          <w:color w:val="000000"/>
        </w:rPr>
        <w:t xml:space="preserve"> cal BP (Pereira e Angelucci, 2004). Para Cardoso (2006), estas datações parecem improváveis por duas razões ligadas à fauna recolhida na gruta. Seria impossível a existência de fauna de grande po</w:t>
      </w:r>
      <w:r>
        <w:rPr>
          <w:color w:val="000000"/>
        </w:rPr>
        <w:t>rte (elefante, mam</w:t>
      </w:r>
      <w:r w:rsidRPr="00F738D8">
        <w:rPr>
          <w:color w:val="000000"/>
        </w:rPr>
        <w:t xml:space="preserve">ute, auroque, rinoceronte ou cavalo) numa área de montanha que terminaria imediatamente no mar. Estas espécies só poderiam ser caçadas se existisse uma grande planície costeira (Antunes e Cardoso, 2000). Por outro lado verifica-se a presença de </w:t>
      </w:r>
      <w:r>
        <w:rPr>
          <w:i/>
          <w:color w:val="000000"/>
        </w:rPr>
        <w:t>Patella s</w:t>
      </w:r>
      <w:r w:rsidRPr="00F738D8">
        <w:rPr>
          <w:i/>
          <w:color w:val="000000"/>
        </w:rPr>
        <w:t>afiana</w:t>
      </w:r>
      <w:r w:rsidRPr="00F738D8">
        <w:rPr>
          <w:color w:val="000000"/>
        </w:rPr>
        <w:t>, um molusco de água quen</w:t>
      </w:r>
      <w:r>
        <w:rPr>
          <w:color w:val="000000"/>
        </w:rPr>
        <w:t>te, que a</w:t>
      </w:r>
      <w:r w:rsidRPr="00F738D8">
        <w:rPr>
          <w:color w:val="000000"/>
        </w:rPr>
        <w:t xml:space="preserve">tualmente se encontra em Marrocos. Estes dados tornam pouco plausíveis as datações referidas anteriormente (Cardoso, 2006, p. 41). Para Zilhão (2006), a total ausência de materiais do Paleolítico superior nos depósitos arqueológicos, a diferença do estado da superfície das conchas intrusivas do Holoceno quando comparadas com as </w:t>
      </w:r>
      <w:r>
        <w:rPr>
          <w:color w:val="000000"/>
        </w:rPr>
        <w:t>do Pleistoceno e a cuidada sele</w:t>
      </w:r>
      <w:r w:rsidRPr="00F738D8">
        <w:rPr>
          <w:color w:val="000000"/>
        </w:rPr>
        <w:t xml:space="preserve">ção </w:t>
      </w:r>
      <w:r>
        <w:rPr>
          <w:color w:val="000000"/>
        </w:rPr>
        <w:t>das conchas datadas, com o obje</w:t>
      </w:r>
      <w:r w:rsidRPr="00F738D8">
        <w:rPr>
          <w:color w:val="000000"/>
        </w:rPr>
        <w:t xml:space="preserve">tivo de evitar contaminações mais recentes, permitem concluir legitimamente que existia ocupação do Paleolítico médio nesta gruta, por volta de </w:t>
      </w:r>
      <w:r w:rsidRPr="00F738D8">
        <w:t xml:space="preserve">36 </w:t>
      </w:r>
      <w:r>
        <w:t>Ka</w:t>
      </w:r>
      <w:r w:rsidRPr="00F738D8">
        <w:t xml:space="preserve"> cal BP.</w:t>
      </w:r>
    </w:p>
    <w:p w:rsidR="00632F9C" w:rsidRPr="00F738D8" w:rsidRDefault="00632F9C" w:rsidP="00632F9C">
      <w:pPr>
        <w:autoSpaceDE w:val="0"/>
        <w:autoSpaceDN w:val="0"/>
        <w:adjustRightInd w:val="0"/>
        <w:spacing w:line="360" w:lineRule="auto"/>
        <w:jc w:val="both"/>
      </w:pP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color w:val="000000"/>
          <w:lang w:val="en-US"/>
        </w:rPr>
      </w:pPr>
      <w:r w:rsidRPr="00F738D8">
        <w:rPr>
          <w:color w:val="000000"/>
          <w:lang w:val="en-US"/>
        </w:rPr>
        <w:t>4.4.2.5- Algarve</w:t>
      </w:r>
    </w:p>
    <w:p w:rsidR="00632F9C" w:rsidRPr="00F738D8" w:rsidRDefault="00632F9C" w:rsidP="00632F9C">
      <w:pPr>
        <w:autoSpaceDE w:val="0"/>
        <w:autoSpaceDN w:val="0"/>
        <w:adjustRightInd w:val="0"/>
        <w:spacing w:line="360" w:lineRule="auto"/>
        <w:jc w:val="both"/>
        <w:rPr>
          <w:b/>
          <w:color w:val="000000"/>
          <w:lang w:val="en-US"/>
        </w:rPr>
      </w:pPr>
    </w:p>
    <w:p w:rsidR="00632F9C" w:rsidRPr="00A80485" w:rsidRDefault="00632F9C" w:rsidP="00632F9C">
      <w:pPr>
        <w:numPr>
          <w:ilvl w:val="0"/>
          <w:numId w:val="19"/>
        </w:numPr>
        <w:autoSpaceDE w:val="0"/>
        <w:autoSpaceDN w:val="0"/>
        <w:adjustRightInd w:val="0"/>
        <w:spacing w:line="360" w:lineRule="auto"/>
        <w:jc w:val="both"/>
        <w:rPr>
          <w:b/>
          <w:color w:val="000000"/>
        </w:rPr>
      </w:pPr>
      <w:r w:rsidRPr="00F738D8">
        <w:rPr>
          <w:color w:val="000000"/>
        </w:rPr>
        <w:t>Gruta de Ibn Amar</w:t>
      </w:r>
      <w:r w:rsidRPr="00F738D8">
        <w:rPr>
          <w:b/>
          <w:color w:val="000000"/>
        </w:rPr>
        <w:t xml:space="preserve"> </w:t>
      </w:r>
      <w:r w:rsidRPr="00F738D8">
        <w:rPr>
          <w:color w:val="000000"/>
        </w:rPr>
        <w:t>(Portimão)</w:t>
      </w:r>
      <w:r w:rsidRPr="00F738D8">
        <w:rPr>
          <w:b/>
          <w:color w:val="000000"/>
        </w:rPr>
        <w:t>.</w:t>
      </w: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Os primeiros indícios de ocupações do Paleolítico médio no Algarve surgiram com os trabalhos pioneiros de Zbyzewski e Viana nos anos 40 (Viana e Zbyzewsky, 1949). Os materiais recolhidos em superfície já evidenciavam a existência de matérias </w:t>
      </w:r>
      <w:r w:rsidRPr="00F738D8">
        <w:rPr>
          <w:color w:val="000000"/>
        </w:rPr>
        <w:lastRenderedPageBreak/>
        <w:t>atribuíveis ao Moustierense, nomeadamente núcleos discóides centrípetos. Mais recentemente esta área foi alvo de um estudo sistemático com vista ao estudo da estratégia de ocupação e aos recursos bióticos durante o Moustierense (Bicho, 2004). Na gruta de Ibn Amar foi recolhido um importante espólio osteológico e malacológico que indica uma dieta rica em peixe e moluscos e em mamíferos terrestres de pequeno porte. A alta densidade da ocupação é comprovada pela grande quantidade de material arqueológico recolhido em 1m², cerca de 200 peças com características moustierenses entre os quais um núcleo discóide (Cardoso, 2006, p. 44).</w:t>
      </w:r>
    </w:p>
    <w:p w:rsidR="00632F9C" w:rsidRDefault="00632F9C" w:rsidP="00632F9C">
      <w:pPr>
        <w:autoSpaceDE w:val="0"/>
        <w:autoSpaceDN w:val="0"/>
        <w:adjustRightInd w:val="0"/>
        <w:spacing w:line="360" w:lineRule="auto"/>
        <w:jc w:val="both"/>
        <w:rPr>
          <w:color w:val="000000"/>
        </w:rPr>
      </w:pPr>
    </w:p>
    <w:p w:rsidR="00632F9C" w:rsidRPr="00F738D8" w:rsidRDefault="00632F9C" w:rsidP="00632F9C">
      <w:pPr>
        <w:autoSpaceDE w:val="0"/>
        <w:autoSpaceDN w:val="0"/>
        <w:adjustRightInd w:val="0"/>
        <w:spacing w:line="360" w:lineRule="auto"/>
        <w:jc w:val="both"/>
        <w:rPr>
          <w:color w:val="000000"/>
        </w:rPr>
      </w:pPr>
    </w:p>
    <w:p w:rsidR="00632F9C" w:rsidRPr="00F738D8" w:rsidRDefault="00632F9C" w:rsidP="00632F9C">
      <w:pPr>
        <w:numPr>
          <w:ilvl w:val="0"/>
          <w:numId w:val="19"/>
        </w:numPr>
        <w:autoSpaceDE w:val="0"/>
        <w:autoSpaceDN w:val="0"/>
        <w:adjustRightInd w:val="0"/>
        <w:spacing w:line="360" w:lineRule="auto"/>
        <w:jc w:val="both"/>
        <w:rPr>
          <w:color w:val="000000"/>
        </w:rPr>
      </w:pPr>
      <w:r w:rsidRPr="00F738D8">
        <w:rPr>
          <w:color w:val="000000"/>
        </w:rPr>
        <w:t>Vale Boi (Vila do Bispo).</w:t>
      </w:r>
    </w:p>
    <w:p w:rsidR="00632F9C" w:rsidRPr="00F738D8" w:rsidRDefault="00632F9C" w:rsidP="00632F9C">
      <w:pPr>
        <w:autoSpaceDE w:val="0"/>
        <w:autoSpaceDN w:val="0"/>
        <w:adjustRightInd w:val="0"/>
        <w:spacing w:line="360" w:lineRule="auto"/>
        <w:ind w:firstLine="708"/>
        <w:jc w:val="both"/>
        <w:rPr>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Esta estação apresenta níveis de ocupação que vão do Paleolítico inferior ao Neolítico, embora sejam os níveis do Paleolítico superior os melhores estudados (Bicho </w:t>
      </w:r>
      <w:r w:rsidRPr="00F738D8">
        <w:rPr>
          <w:i/>
          <w:color w:val="000000"/>
        </w:rPr>
        <w:t>et al</w:t>
      </w:r>
      <w:r>
        <w:rPr>
          <w:i/>
          <w:color w:val="000000"/>
        </w:rPr>
        <w:t>,</w:t>
      </w:r>
      <w:r w:rsidRPr="00F738D8">
        <w:rPr>
          <w:color w:val="000000"/>
        </w:rPr>
        <w:t xml:space="preserve"> 2010). Cerca de 0.35 m abaixo do último nível do Paleolítico superior, separado por um nível estéril em termos arqueológicos, foi identificad</w:t>
      </w:r>
      <w:r>
        <w:rPr>
          <w:color w:val="000000"/>
        </w:rPr>
        <w:t>a</w:t>
      </w:r>
      <w:r w:rsidRPr="00F738D8">
        <w:rPr>
          <w:color w:val="000000"/>
        </w:rPr>
        <w:t xml:space="preserve"> uma ocupação do Paleolítico m</w:t>
      </w:r>
      <w:r>
        <w:rPr>
          <w:color w:val="000000"/>
        </w:rPr>
        <w:t xml:space="preserve">édio, que forneceu </w:t>
      </w:r>
      <w:r w:rsidRPr="00F738D8">
        <w:rPr>
          <w:color w:val="000000"/>
        </w:rPr>
        <w:t xml:space="preserve">uma indústria atípica em quartzo, sílex e quartzito. Este material estava associado a ossos queimados, principalmente de coelho, e bivalves (Cardoso, 2006, p. 44). </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jc w:val="both"/>
        <w:rPr>
          <w:color w:val="000000"/>
        </w:rPr>
      </w:pPr>
      <w:r w:rsidRPr="00F738D8">
        <w:rPr>
          <w:color w:val="000000"/>
        </w:rPr>
        <w:t>4.4.2.6 – Síntese das datações existentes relativas ao Paleolítico médio português</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 xml:space="preserve">Em alguns dos locais anteriormente referidos conseguiram-se datações absolutas que permitem enquadrar cronologicamente as indústrias identificadas nestas estações. Estas datações são fundamentais para se poder retirar alguma conclusão sobre a evolução diacrónica do Paleolítico médio e sobre a possibilidade de comparar as indústrias das várias estações cronologicamente “contemporâneas”. </w:t>
      </w:r>
      <w:r>
        <w:rPr>
          <w:color w:val="000000"/>
        </w:rPr>
        <w:t xml:space="preserve">De forma a se conseguir esse prepósito, apresenta-se de seguida, na tabela 4.1, que se divide pelas duas páginas seguintes, a recapitulação das datações existentes para o Paleolítico médio português. </w:t>
      </w:r>
    </w:p>
    <w:p w:rsidR="00B64639" w:rsidRDefault="00B64639" w:rsidP="00B64639">
      <w:pPr>
        <w:sectPr w:rsidR="00B64639" w:rsidSect="00AC7B53">
          <w:footerReference w:type="default" r:id="rId26"/>
          <w:pgSz w:w="11907" w:h="16840" w:code="9"/>
          <w:pgMar w:top="1418" w:right="1701" w:bottom="1435" w:left="1701" w:header="0" w:footer="0" w:gutter="0"/>
          <w:pgNumType w:start="0"/>
          <w:cols w:space="708"/>
          <w:docGrid w:linePitch="360"/>
        </w:sectPr>
      </w:pPr>
    </w:p>
    <w:p w:rsidR="00632F9C" w:rsidRDefault="00B64639" w:rsidP="00B64639">
      <w:r>
        <w:rPr>
          <w:noProof/>
        </w:rPr>
        <w:lastRenderedPageBreak/>
        <w:drawing>
          <wp:inline distT="0" distB="0" distL="0" distR="0">
            <wp:extent cx="8837871" cy="5530986"/>
            <wp:effectExtent l="19050" t="0" r="1329" b="0"/>
            <wp:docPr id="451" name="Imagem 449" descr="dataçõe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ções1.tif"/>
                    <pic:cNvPicPr/>
                  </pic:nvPicPr>
                  <pic:blipFill>
                    <a:blip r:embed="rId27" cstate="print"/>
                    <a:stretch>
                      <a:fillRect/>
                    </a:stretch>
                  </pic:blipFill>
                  <pic:spPr>
                    <a:xfrm>
                      <a:off x="0" y="0"/>
                      <a:ext cx="8842410" cy="5533827"/>
                    </a:xfrm>
                    <a:prstGeom prst="rect">
                      <a:avLst/>
                    </a:prstGeom>
                  </pic:spPr>
                </pic:pic>
              </a:graphicData>
            </a:graphic>
          </wp:inline>
        </w:drawing>
      </w:r>
    </w:p>
    <w:p w:rsidR="00B64639" w:rsidRDefault="00B64639" w:rsidP="00916B39">
      <w:pPr>
        <w:ind w:left="-284"/>
        <w:sectPr w:rsidR="00B64639" w:rsidSect="00D92F53">
          <w:pgSz w:w="16840" w:h="11907" w:orient="landscape" w:code="9"/>
          <w:pgMar w:top="1701" w:right="1418" w:bottom="1701" w:left="1435" w:header="0" w:footer="0" w:gutter="0"/>
          <w:pgNumType w:start="68"/>
          <w:cols w:space="708"/>
          <w:docGrid w:linePitch="360"/>
        </w:sectPr>
      </w:pPr>
      <w:r>
        <w:rPr>
          <w:noProof/>
        </w:rPr>
        <w:lastRenderedPageBreak/>
        <w:drawing>
          <wp:inline distT="0" distB="0" distL="0" distR="0">
            <wp:extent cx="9455169" cy="5401339"/>
            <wp:effectExtent l="19050" t="0" r="0" b="0"/>
            <wp:docPr id="452" name="Imagem 451" descr="dataçõe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ções2.tif"/>
                    <pic:cNvPicPr/>
                  </pic:nvPicPr>
                  <pic:blipFill>
                    <a:blip r:embed="rId28" cstate="print"/>
                    <a:stretch>
                      <a:fillRect/>
                    </a:stretch>
                  </pic:blipFill>
                  <pic:spPr>
                    <a:xfrm>
                      <a:off x="0" y="0"/>
                      <a:ext cx="9468093" cy="5408722"/>
                    </a:xfrm>
                    <a:prstGeom prst="rect">
                      <a:avLst/>
                    </a:prstGeom>
                  </pic:spPr>
                </pic:pic>
              </a:graphicData>
            </a:graphic>
          </wp:inline>
        </w:drawing>
      </w:r>
    </w:p>
    <w:p w:rsidR="00632F9C" w:rsidRPr="00632F9C" w:rsidRDefault="00632F9C" w:rsidP="00632F9C">
      <w:pPr>
        <w:ind w:left="-284" w:firstLine="284"/>
        <w:rPr>
          <w:color w:val="FF0000"/>
        </w:rPr>
      </w:pPr>
      <w:r w:rsidRPr="00F738D8">
        <w:rPr>
          <w:b/>
        </w:rPr>
        <w:lastRenderedPageBreak/>
        <w:t xml:space="preserve">4.4.3 - </w:t>
      </w:r>
      <w:proofErr w:type="gramStart"/>
      <w:r w:rsidRPr="00F738D8">
        <w:t xml:space="preserve">Os estudos </w:t>
      </w:r>
      <w:r>
        <w:t>sobre o</w:t>
      </w:r>
      <w:r w:rsidRPr="00F738D8">
        <w:t xml:space="preserve"> Paleolítico no Alentejo, na Estremadura espanhola</w:t>
      </w:r>
      <w:proofErr w:type="gramEnd"/>
      <w:r w:rsidRPr="00F738D8">
        <w:t>, no Nordeste alentejano e nas Portas de Ródão.</w:t>
      </w:r>
    </w:p>
    <w:p w:rsidR="00632F9C" w:rsidRPr="00F738D8" w:rsidRDefault="00632F9C" w:rsidP="00632F9C">
      <w:pPr>
        <w:spacing w:line="360" w:lineRule="auto"/>
        <w:rPr>
          <w:b/>
        </w:rPr>
      </w:pPr>
    </w:p>
    <w:p w:rsidR="00632F9C" w:rsidRPr="00F738D8" w:rsidRDefault="00632F9C" w:rsidP="00632F9C">
      <w:pPr>
        <w:spacing w:line="360" w:lineRule="auto"/>
        <w:rPr>
          <w:b/>
          <w:u w:val="single"/>
        </w:rPr>
      </w:pPr>
    </w:p>
    <w:p w:rsidR="00632F9C" w:rsidRPr="00F738D8" w:rsidRDefault="00632F9C" w:rsidP="00632F9C">
      <w:pPr>
        <w:spacing w:line="360" w:lineRule="auto"/>
        <w:rPr>
          <w:b/>
        </w:rPr>
      </w:pPr>
      <w:r w:rsidRPr="00F738D8">
        <w:t>4.4.3.1 -</w:t>
      </w:r>
      <w:r w:rsidRPr="00F738D8">
        <w:rPr>
          <w:b/>
        </w:rPr>
        <w:t xml:space="preserve"> </w:t>
      </w:r>
      <w:r w:rsidRPr="00F738D8">
        <w:t>O Paleolítico médio no Alentejo</w:t>
      </w:r>
      <w:r w:rsidRPr="00F738D8">
        <w:rPr>
          <w:b/>
        </w:rPr>
        <w:t>.</w:t>
      </w:r>
    </w:p>
    <w:p w:rsidR="00632F9C" w:rsidRPr="00F738D8" w:rsidRDefault="00632F9C" w:rsidP="00632F9C">
      <w:pPr>
        <w:autoSpaceDE w:val="0"/>
        <w:autoSpaceDN w:val="0"/>
        <w:adjustRightInd w:val="0"/>
        <w:spacing w:line="360" w:lineRule="auto"/>
        <w:jc w:val="both"/>
        <w:rPr>
          <w:b/>
          <w:color w:val="000000"/>
        </w:rPr>
      </w:pPr>
    </w:p>
    <w:p w:rsidR="00632F9C" w:rsidRPr="00F738D8" w:rsidRDefault="00632F9C" w:rsidP="00632F9C">
      <w:pPr>
        <w:autoSpaceDE w:val="0"/>
        <w:autoSpaceDN w:val="0"/>
        <w:adjustRightInd w:val="0"/>
        <w:spacing w:line="360" w:lineRule="auto"/>
        <w:ind w:firstLine="708"/>
        <w:jc w:val="both"/>
        <w:rPr>
          <w:color w:val="000000"/>
        </w:rPr>
      </w:pPr>
      <w:r w:rsidRPr="00F738D8">
        <w:rPr>
          <w:color w:val="000000"/>
        </w:rPr>
        <w:t>A gruta do Escoural representa um marco incontornável quando se centram as atenções no Paleolítico alentejano. Não só pela sua importância como recipiente de arte parietal mas também pela presença de níveis arqueológicos atribuídos ao Paleolítico médio. O maciço calcário onde esta cavidade cársica se insere foi descoberto acidentalmente durante a exploração de uma pedreira. Os primeiros vestígios a serem descobertos relacionam-se com arte rupestre que decorava a ca</w:t>
      </w:r>
      <w:r>
        <w:rPr>
          <w:color w:val="000000"/>
        </w:rPr>
        <w:t>vidade. Os primeiros vestígios m</w:t>
      </w:r>
      <w:r w:rsidRPr="00F738D8">
        <w:rPr>
          <w:color w:val="000000"/>
        </w:rPr>
        <w:t>oustierenses foram recolhidos, e estudados, junto a uma fissura por Farinha dos Santos (Silva, 2011). A gruta do Escoural foi alvo de novos trabalhos entre 1989 e 1992 (Araujo e Lejeune, 1995) na área onde se devia situar a entrada original. O nível com Paleolítico médio apresentou também uma grande concentr</w:t>
      </w:r>
      <w:r>
        <w:rPr>
          <w:color w:val="000000"/>
        </w:rPr>
        <w:t>ação de ossos de Hiena e copróli</w:t>
      </w:r>
      <w:r w:rsidRPr="00F738D8">
        <w:rPr>
          <w:color w:val="000000"/>
        </w:rPr>
        <w:t xml:space="preserve">tos deste mesmo animal. Uma datação de U/Th, realizada sobre um dente de veado, forneceu uma data de 48.9 </w:t>
      </w:r>
      <w:r>
        <w:rPr>
          <w:color w:val="000000"/>
        </w:rPr>
        <w:t>Ka</w:t>
      </w:r>
      <w:r w:rsidRPr="00F738D8">
        <w:rPr>
          <w:color w:val="000000"/>
        </w:rPr>
        <w:t xml:space="preserve"> BP +5.8;-5.5 </w:t>
      </w:r>
      <w:r>
        <w:rPr>
          <w:color w:val="000000"/>
        </w:rPr>
        <w:t>Ka</w:t>
      </w:r>
      <w:r w:rsidRPr="00F738D8">
        <w:rPr>
          <w:color w:val="000000"/>
        </w:rPr>
        <w:t xml:space="preserve"> (Araujo e Lejeune, 1995; Cardoso, 2006). A indústria lítica apresenta-se abundante (mais de 900 peças), realizada quase exclusivamente em quartzo, mas deverá encontrar-se em posição secundária (Jean-Marc Leotard, com. pessoal). </w:t>
      </w:r>
    </w:p>
    <w:p w:rsidR="00632F9C" w:rsidRPr="00F738D8" w:rsidRDefault="00632F9C" w:rsidP="00632F9C">
      <w:pPr>
        <w:spacing w:line="360" w:lineRule="auto"/>
        <w:ind w:firstLine="708"/>
        <w:jc w:val="both"/>
      </w:pPr>
      <w:r w:rsidRPr="00F738D8">
        <w:t xml:space="preserve">Além da ocupação do Paleolítico médio identificada na gruta do Escoural e já acima referida, realizaram-se recentemente algumas intervenções no Alentejo que merecem ser referidas. As primeiras dessas intervenções encontram a sua origem nos trabalhos de minimização realizados aquando da construção da barragem de Alqueva. Como resultado desta obra foram identificados dois sítios que posteriormente foram intervencionados.  </w:t>
      </w:r>
    </w:p>
    <w:p w:rsidR="00632F9C" w:rsidRPr="00F738D8" w:rsidRDefault="00632F9C" w:rsidP="00632F9C">
      <w:pPr>
        <w:spacing w:line="360" w:lineRule="auto"/>
        <w:ind w:firstLine="708"/>
        <w:jc w:val="both"/>
      </w:pPr>
      <w:r w:rsidRPr="00F738D8">
        <w:t xml:space="preserve">O primeiro desses sítios, Sapateiros 2, foi identificado aquando dos trabalhos de acompanhamento das obras com vista à implantação do estaleiro de construção da nova ponte sobre o Guadiana, entre Reguengos de Monsaraz e Mourão. Esta estação situava-se sobre uma plataforma que culminava a cerca de 20 m do leito do Guadiana, estendendo-se paralelamente a este ao longo da sua margem direita (Cunha Ribeiro e Cura, 2013). O espólio arqueológico é constituído apenas por indústria lítica, num total de 1065 peças. A matéria-prima mais utilizada é o quartzito (83,8%) seguido do quartzo </w:t>
      </w:r>
      <w:r w:rsidRPr="00F738D8">
        <w:lastRenderedPageBreak/>
        <w:t xml:space="preserve">(14,3%) e de outras rochas (1,7%). A atribuição ao Paleolítico médio advém do facto </w:t>
      </w:r>
      <w:proofErr w:type="gramStart"/>
      <w:r w:rsidRPr="00F738D8">
        <w:t>da</w:t>
      </w:r>
      <w:proofErr w:type="gramEnd"/>
      <w:r w:rsidRPr="00F738D8">
        <w:t xml:space="preserve"> indústria ter como</w:t>
      </w:r>
      <w:r>
        <w:t xml:space="preserve"> obje</w:t>
      </w:r>
      <w:r w:rsidRPr="00F738D8">
        <w:t>tivo a produção de lascas (56% do total da indústria) através de debitagem discóide e Levallois (Cunha Ribeiro e Cura, 2004).</w:t>
      </w:r>
    </w:p>
    <w:p w:rsidR="00632F9C" w:rsidRPr="00F738D8" w:rsidRDefault="00632F9C" w:rsidP="00632F9C">
      <w:pPr>
        <w:spacing w:line="360" w:lineRule="auto"/>
        <w:ind w:firstLine="708"/>
        <w:jc w:val="both"/>
      </w:pPr>
      <w:r w:rsidRPr="00F738D8">
        <w:t xml:space="preserve">Um outro sítio identificado durante os trabalhos de minimização de construção da Barragem de Alqueva e que foi associado tecno-tipologicamente ao Paleolítico médio, corresponde à estação de Porto Meirinho 1. Este sítio está implantado na confluência da Ribeira de Alcarrache com o rio Guadiana, administrativamente pertence à freguesia da Luz, concelho de Mourão. A intervenção neste sítio realizou-se em duas fases distintas caracterizada por arqueólogos diferentes e métodos de escavação diferentes. Os primeiros trabalhos foram dirigidos por António Valera sendo a segunda fase de escavação realizada sob a </w:t>
      </w:r>
      <w:r>
        <w:t>dire</w:t>
      </w:r>
      <w:r w:rsidRPr="00F738D8">
        <w:t>ção de Francisco Almeida. O total do material</w:t>
      </w:r>
      <w:r>
        <w:t xml:space="preserve"> escavado (1535 peças) foi obje</w:t>
      </w:r>
      <w:r w:rsidRPr="00F738D8">
        <w:t xml:space="preserve">to de um estudo sendo apresentado como tese de mestrado por parte de Joana Carrondo (Carrondo, 2013). A matéria-prima predominante neste conjunto consiste no quartzito com 55,8% do total seguido pelo quartzo com 41,2%. As restantes </w:t>
      </w:r>
      <w:r>
        <w:t>rochas representadas nesta cole</w:t>
      </w:r>
      <w:r w:rsidRPr="00F738D8">
        <w:t>ção somam 3,1% do total. Entre os tipos de debitagem identificados</w:t>
      </w:r>
      <w:r>
        <w:t xml:space="preserve"> nesta cole</w:t>
      </w:r>
      <w:r w:rsidRPr="00F738D8">
        <w:t>ção sobressaem a debitagem discoíde e a debitagem Levallois centrípeta recorrente, somando a primeira 27,2% do contingente nuclear e a segunda 23,6%. Esta debitagem, além do propósito de conseguir grandes utensílios, intentava lascas não corticais de pequena e média dimensão, relativamente pouco espessas de morfologia ovalares, quadrangulares ou alongadas (Carrondo, 2013).</w:t>
      </w:r>
    </w:p>
    <w:p w:rsidR="00632F9C" w:rsidRPr="00F738D8" w:rsidRDefault="00632F9C" w:rsidP="00632F9C">
      <w:pPr>
        <w:spacing w:line="360" w:lineRule="auto"/>
        <w:ind w:firstLine="708"/>
        <w:jc w:val="both"/>
      </w:pPr>
      <w:r w:rsidRPr="00F738D8">
        <w:t xml:space="preserve">Infelizmente, estes dois contextos não foram datados, o que prejudica substancialmente a utilização dos excelentes dados apurados.    </w:t>
      </w:r>
    </w:p>
    <w:p w:rsidR="00632F9C" w:rsidRPr="00F738D8" w:rsidRDefault="00632F9C" w:rsidP="00632F9C">
      <w:pPr>
        <w:spacing w:line="360" w:lineRule="auto"/>
        <w:ind w:firstLine="708"/>
        <w:jc w:val="both"/>
      </w:pPr>
      <w:r w:rsidRPr="00F738D8">
        <w:t>Finalmente</w:t>
      </w:r>
      <w:proofErr w:type="gramStart"/>
      <w:r w:rsidRPr="00F738D8">
        <w:t>,</w:t>
      </w:r>
      <w:proofErr w:type="gramEnd"/>
      <w:r w:rsidRPr="00F738D8">
        <w:t xml:space="preserve"> desenvolveu-se recentemente, no</w:t>
      </w:r>
      <w:r>
        <w:t>utra área do Alentejo, um proje</w:t>
      </w:r>
      <w:r w:rsidRPr="00F738D8">
        <w:t xml:space="preserve">to de investigação liderado pela Ariane Burke da Universidade de Montreal (Burke </w:t>
      </w:r>
      <w:r w:rsidRPr="00F738D8">
        <w:rPr>
          <w:i/>
        </w:rPr>
        <w:t>et al</w:t>
      </w:r>
      <w:r w:rsidRPr="00F738D8">
        <w:t xml:space="preserve">, 2011). Este trabalho que analisou a ocupação humana paleolíticas na </w:t>
      </w:r>
      <w:proofErr w:type="gramStart"/>
      <w:r w:rsidRPr="00F738D8">
        <w:t>bacia</w:t>
      </w:r>
      <w:proofErr w:type="gramEnd"/>
      <w:r w:rsidRPr="00F738D8">
        <w:t xml:space="preserve"> </w:t>
      </w:r>
      <w:proofErr w:type="gramStart"/>
      <w:r w:rsidRPr="00F738D8">
        <w:t>drenante</w:t>
      </w:r>
      <w:proofErr w:type="gramEnd"/>
      <w:r w:rsidRPr="00F738D8">
        <w:t xml:space="preserve"> do Sado permitiu a identificação de um grande número de sítios (82) sendo </w:t>
      </w:r>
      <w:r>
        <w:t>n</w:t>
      </w:r>
      <w:r w:rsidRPr="00F738D8">
        <w:t>a sua grande maioria atribuídos ao Paleolítico médio. Alguns destes sítios (Mina do Paço, Moinhos 1, Moinhos 2 por ex.) estariam associados à aquisição de matéria-prima prontificando junto dos afloramentos de jaspe abundantes na região. É o jaspe, aliás, a m</w:t>
      </w:r>
      <w:r>
        <w:t>atéria-prima dominante nas cole</w:t>
      </w:r>
      <w:r w:rsidRPr="00F738D8">
        <w:t xml:space="preserve">ções recolhidas durante este trabalho. Outras destas estações estariam associadas a lagoas temporárias que se formariam durante o Plistocénico na zona mais setentrional da bacia do Sado (Burke </w:t>
      </w:r>
      <w:r w:rsidRPr="00F738D8">
        <w:rPr>
          <w:i/>
        </w:rPr>
        <w:t>et al</w:t>
      </w:r>
      <w:r w:rsidRPr="00F738D8">
        <w:t xml:space="preserve">, 2011). </w:t>
      </w:r>
    </w:p>
    <w:p w:rsidR="00632F9C" w:rsidRPr="00F738D8" w:rsidRDefault="00632F9C" w:rsidP="00632F9C">
      <w:pPr>
        <w:spacing w:line="360" w:lineRule="auto"/>
        <w:rPr>
          <w:b/>
          <w:u w:val="single"/>
        </w:rPr>
      </w:pPr>
    </w:p>
    <w:p w:rsidR="00632F9C" w:rsidRPr="00F738D8" w:rsidRDefault="00632F9C" w:rsidP="00632F9C">
      <w:pPr>
        <w:spacing w:line="360" w:lineRule="auto"/>
        <w:rPr>
          <w:b/>
          <w:u w:val="single"/>
        </w:rPr>
      </w:pPr>
    </w:p>
    <w:p w:rsidR="00632F9C" w:rsidRPr="00F738D8" w:rsidRDefault="00632F9C" w:rsidP="00632F9C">
      <w:pPr>
        <w:spacing w:line="360" w:lineRule="auto"/>
      </w:pPr>
      <w:r w:rsidRPr="00F738D8">
        <w:lastRenderedPageBreak/>
        <w:t>4.4.3.2 - O Paleolítico médio na Extremadura espanhola</w:t>
      </w:r>
      <w:r>
        <w:t>.</w:t>
      </w:r>
    </w:p>
    <w:p w:rsidR="00632F9C" w:rsidRPr="00F738D8" w:rsidRDefault="00632F9C" w:rsidP="00632F9C">
      <w:pPr>
        <w:spacing w:line="360" w:lineRule="auto"/>
        <w:rPr>
          <w:b/>
          <w:u w:val="single"/>
        </w:rPr>
      </w:pPr>
    </w:p>
    <w:p w:rsidR="00632F9C" w:rsidRPr="00F738D8" w:rsidRDefault="00632F9C" w:rsidP="00632F9C">
      <w:pPr>
        <w:spacing w:line="360" w:lineRule="auto"/>
        <w:ind w:firstLine="708"/>
        <w:jc w:val="both"/>
      </w:pPr>
      <w:r w:rsidRPr="00F738D8">
        <w:t xml:space="preserve">Do outro lado da fronteira, na Extremadura espanhola o grupo de investigação </w:t>
      </w:r>
      <w:r w:rsidRPr="00F738D8">
        <w:rPr>
          <w:i/>
        </w:rPr>
        <w:t>Primeros Pobladores de Extremadura</w:t>
      </w:r>
      <w:r w:rsidRPr="00F738D8">
        <w:t xml:space="preserve"> tem lev</w:t>
      </w:r>
      <w:r>
        <w:t>ado a cabo trabalhos de prospeç</w:t>
      </w:r>
      <w:r w:rsidRPr="00F738D8">
        <w:t xml:space="preserve">ão e escavação na zona de Cáceres, tendo já identificado um número importante de sítios atribuídos ao Paleolítico médio (Canals </w:t>
      </w:r>
      <w:r w:rsidRPr="00F738D8">
        <w:rPr>
          <w:i/>
        </w:rPr>
        <w:t xml:space="preserve">et al </w:t>
      </w:r>
      <w:r w:rsidRPr="00F738D8">
        <w:t xml:space="preserve">2004, Mejias, 2009). Um desses sítios, Vendimia, caracteriza-se por ser um sítio de ar livre num contexto geológico de granitos com um único nível arqueológico. Nesta estação foram recolhidas 2164 peças na sua maioria em quartzo (95%), seguido do quartzito (com cerca de 3%). O quartzo é de origem local, estando a fonte de matéria-prima situada a cerca de 300 m da estação (Mejias, 2009). Em termos de indústria lítica os núcleos Levallois estão presentes, como também os núcleos discóides. A presença de núcleos mais expeditos, com menor número de levantamentos, representa cerca de 70 % do total dos núcleos. No que aos utensílios diz respeito, identificaram-se nesta estação vinte raspadeiras, sete denticulados, treze entalhes, duas pontas e uma ponta denticulada (Mejias, 2009). As datações por OSL, realizadas na camada arenosa/arcósica imediatamente acima do nível arqueológico, foram inconclusivas dando uma data de aproximadamente 6 </w:t>
      </w:r>
      <w:r>
        <w:t>Ka</w:t>
      </w:r>
      <w:r w:rsidRPr="00F738D8">
        <w:t xml:space="preserve"> BP. Outra jazida intervencionada na região de Cáceres corresponde ao sítio de El Millar e enquadra-se geomorfologicamente num mesmo contexto que a estação de Vendimia. Embora nesta estação o registo arqueológico já tenha atingido cerca de 8 000 peças, apenas cerca de 800 forma já estudadas (Mejias, 2009). Nesta c</w:t>
      </w:r>
      <w:r>
        <w:t>ole</w:t>
      </w:r>
      <w:r w:rsidRPr="00F738D8">
        <w:t>ção continua a dominar o quartzo com 96.4 % do total de matéria-prima estudada, seguido do quartzo hialino e do quartzito. A indústria recolhida nesta estação apresentava dois tipos de estado de conservação diferentes. No material não rolado, as estratégias de talhe identificadas na estação de El Millar são muito variadas, aparecendo talhe discóide e Levallois o que indicia uma atribuição ao Paleolítico médio (Mejias, 2009).</w:t>
      </w:r>
    </w:p>
    <w:p w:rsidR="00632F9C" w:rsidRPr="00F738D8" w:rsidRDefault="00632F9C" w:rsidP="00632F9C">
      <w:pPr>
        <w:spacing w:line="360" w:lineRule="auto"/>
        <w:ind w:firstLine="708"/>
        <w:jc w:val="both"/>
      </w:pPr>
      <w:r w:rsidRPr="00F738D8">
        <w:t xml:space="preserve">Ainda nesta zona da Península Ibérica, mas já dentro do complexo cársico carcerenho, encontra-se identificada a Gruta de Santa Ana. Nesta cavidade realizaram-se trabalhos e escavação desde os anos 70 do século passado mas </w:t>
      </w:r>
      <w:r>
        <w:t>foi com o proje</w:t>
      </w:r>
      <w:r w:rsidRPr="00F738D8">
        <w:t xml:space="preserve">to </w:t>
      </w:r>
      <w:r w:rsidRPr="00F738D8">
        <w:rPr>
          <w:i/>
        </w:rPr>
        <w:t>Primeros Pobladores de Extremadura</w:t>
      </w:r>
      <w:r w:rsidRPr="00F738D8">
        <w:t xml:space="preserve"> que se intensificou a exploração arqueológica deste sítio (Carbonell </w:t>
      </w:r>
      <w:r w:rsidRPr="00F738D8">
        <w:rPr>
          <w:i/>
        </w:rPr>
        <w:t>et al</w:t>
      </w:r>
      <w:r w:rsidRPr="00F738D8">
        <w:t xml:space="preserve">, 2005). Foram identificadas 7 unidades estratigráficas na área interna da cavidade, tendo-se obtido a data de 130 ± 8 </w:t>
      </w:r>
      <w:r>
        <w:t>Ka</w:t>
      </w:r>
      <w:r w:rsidRPr="00F738D8">
        <w:t xml:space="preserve"> através do método de U-Th para camada 6, a segunda mais recente em termos de deposição. A indústria lítica </w:t>
      </w:r>
      <w:r w:rsidRPr="00F738D8">
        <w:lastRenderedPageBreak/>
        <w:t>recolhida nas várias áreas</w:t>
      </w:r>
      <w:r>
        <w:t xml:space="preserve"> intervencionadas somam 199 efe</w:t>
      </w:r>
      <w:r w:rsidRPr="00F738D8">
        <w:t xml:space="preserve">tivos, destes, 87 não tem adscrição estratigráfica (Mejias, 2009). </w:t>
      </w:r>
    </w:p>
    <w:p w:rsidR="00632F9C" w:rsidRPr="00964B91" w:rsidRDefault="00632F9C" w:rsidP="00632F9C">
      <w:pPr>
        <w:spacing w:line="360" w:lineRule="auto"/>
        <w:ind w:firstLine="708"/>
        <w:jc w:val="both"/>
      </w:pPr>
      <w:r w:rsidRPr="00F738D8">
        <w:t xml:space="preserve">Outra cavidade </w:t>
      </w:r>
      <w:r>
        <w:t>obje</w:t>
      </w:r>
      <w:r w:rsidRPr="00F738D8">
        <w:t xml:space="preserve">to de intervenções arqueológicas é a gruta de Maltraviesos situada dentro do perímetro urbano de Cáceres. A descoberta deste complexo cársico, em 1956, deveu-se a trabalhos de laboração de uma pedreira cuja finalidade era fornecer calcários para os fornos de cal da zona. As primeiras investigações permitiram identificar espólio pré-histórico recente numeroso e, posteriormente, arte paleolítica. As intervenções arqueológicas mais recentes, iniciadas em 2002, desenvolveram-se, principalmente, em duas salas: a sala de los Huesos e a sala de las Chimeneas (Mejias, 2009). Na sala de los Huesos, a matéria lítica predominante é o quartzo com 95% do total, seguido pelo quartzito que representa os restantes 5% do conjunto. Neste conjunto estão representados todas as fases da cadeia operatória, tendo sido identificados 13 percutores, 17 núcleos e 78 produtos de talhe. Esse último valor era, também, o número da indústria lítica recolhida até 2006 na sala de las Chimeneas. A matéria-prima mais representada neste conjunto continua a ser o quartzo (76%), seguido pelo sílex (19%) e, finalmente, o quartzito (4%). Os núcleos registados reduzem-se a 2 e os utensílios, 5 peças, são dominados pelos denticulados. As datações radiométricas realizadas em duas crostas estalagmíticas diferentes da sala de los Huesos apresentaram um resultado de </w:t>
      </w:r>
      <w:r w:rsidRPr="00F738D8">
        <w:rPr>
          <w:rFonts w:eastAsia="TimesNewRomanPSMT"/>
        </w:rPr>
        <w:t xml:space="preserve">117 +17 / -14 </w:t>
      </w:r>
      <w:r>
        <w:rPr>
          <w:rFonts w:eastAsia="TimesNewRomanPSMT"/>
        </w:rPr>
        <w:t>Ka</w:t>
      </w:r>
      <w:r w:rsidRPr="00F738D8">
        <w:rPr>
          <w:rFonts w:eastAsia="TimesNewRomanPSMT"/>
        </w:rPr>
        <w:t xml:space="preserve"> e de 183 +14 / -12 </w:t>
      </w:r>
      <w:r>
        <w:rPr>
          <w:rFonts w:eastAsia="TimesNewRomanPSMT"/>
        </w:rPr>
        <w:t>Ka respe</w:t>
      </w:r>
      <w:r w:rsidRPr="00F738D8">
        <w:rPr>
          <w:rFonts w:eastAsia="TimesNewRomanPSMT"/>
        </w:rPr>
        <w:t>tivamente (Mejias, 2009). Os materiais recolhidos na sala de las Chimeneas, não se encontram datados mas deverão ser de cronologia do Plistocénico final.</w:t>
      </w:r>
    </w:p>
    <w:p w:rsidR="00632F9C" w:rsidRPr="00F738D8" w:rsidRDefault="00632F9C" w:rsidP="00632F9C">
      <w:pPr>
        <w:spacing w:line="360" w:lineRule="auto"/>
        <w:jc w:val="both"/>
        <w:rPr>
          <w:b/>
        </w:rPr>
      </w:pPr>
    </w:p>
    <w:p w:rsidR="00632F9C" w:rsidRPr="00F738D8" w:rsidRDefault="00632F9C" w:rsidP="00632F9C">
      <w:pPr>
        <w:spacing w:line="360" w:lineRule="auto"/>
        <w:jc w:val="both"/>
        <w:rPr>
          <w:b/>
        </w:rPr>
      </w:pPr>
    </w:p>
    <w:p w:rsidR="00632F9C" w:rsidRPr="00F738D8" w:rsidRDefault="00632F9C" w:rsidP="00632F9C">
      <w:pPr>
        <w:spacing w:line="360" w:lineRule="auto"/>
        <w:jc w:val="both"/>
      </w:pPr>
      <w:r w:rsidRPr="00F738D8">
        <w:t>4.4.3.3- O Paleolítico médio das Portas de Ródão.</w:t>
      </w:r>
    </w:p>
    <w:p w:rsidR="00632F9C" w:rsidRPr="00F738D8" w:rsidRDefault="00632F9C" w:rsidP="00632F9C">
      <w:pPr>
        <w:spacing w:line="360" w:lineRule="auto"/>
        <w:jc w:val="both"/>
        <w:rPr>
          <w:color w:val="FF0000"/>
        </w:rPr>
      </w:pPr>
    </w:p>
    <w:p w:rsidR="00632F9C" w:rsidRPr="00F738D8" w:rsidRDefault="00632F9C" w:rsidP="00632F9C">
      <w:pPr>
        <w:pStyle w:val="Avanodecorpodetexto"/>
        <w:spacing w:line="360" w:lineRule="auto"/>
        <w:ind w:left="0" w:firstLine="708"/>
        <w:jc w:val="both"/>
      </w:pPr>
      <w:r w:rsidRPr="00F738D8">
        <w:t>Na margem direita do Tejo vários foram os investigadores que se dedicaram ao estudo da ocupação paleolítica. Os trabalhos desenvolvidos no concelho de Vila Velha do Ródão contaram com a importante contribuição do Grupo para o Estudo do Paleolítico Português (G. E. P. P., 1977 e 1983). Posteriormente</w:t>
      </w:r>
      <w:proofErr w:type="gramStart"/>
      <w:r w:rsidRPr="00F738D8">
        <w:t>,</w:t>
      </w:r>
      <w:proofErr w:type="gramEnd"/>
      <w:r w:rsidRPr="00F738D8">
        <w:t xml:space="preserve"> foram os trabalhos do arqueólogo Luís Raposo e António Carlos Silva, nos sítios do Paleolítico médio de Vilas Ruivas e Foz do Enxarrique, que propulsaram esta área para a vanguarda do estudo do Paleolítico em</w:t>
      </w:r>
      <w:r>
        <w:t xml:space="preserve"> Portugal (Raposo e Silva, 1985,</w:t>
      </w:r>
      <w:r w:rsidRPr="00F738D8">
        <w:t xml:space="preserve"> Raposo, 1987, 2002).  </w:t>
      </w:r>
    </w:p>
    <w:p w:rsidR="00632F9C" w:rsidRPr="00F738D8" w:rsidRDefault="00632F9C" w:rsidP="00632F9C">
      <w:pPr>
        <w:spacing w:line="360" w:lineRule="auto"/>
        <w:ind w:firstLine="708"/>
        <w:jc w:val="both"/>
      </w:pPr>
      <w:r w:rsidRPr="00F738D8">
        <w:lastRenderedPageBreak/>
        <w:t>No sítio do Monte do Famaco foi recolhida uma indústria constituída por 34 peças roladas em quartzito, numa cascalheira com cerca de 0,5 m de espessura do Terraço T4. Esta indústria foi atribuída ao Acheulense médio i</w:t>
      </w:r>
      <w:r>
        <w:t>nicial (Raposo e Silva, 1985;</w:t>
      </w:r>
      <w:r w:rsidRPr="00F738D8">
        <w:t xml:space="preserve"> Raposo, 1987). No topo deste mesmo terraço foram recolhidos cerca de 1500 peças em quartzito, entre bifaces, machados e raspadeiras, com evidência de abrasão eólica, também associadas a Acheulense médio inicial (Raposo, 1987). A base do T4 foi datada por IRSL (Luminescência Estimulada por Infravermelhos) em 280 </w:t>
      </w:r>
      <w:r>
        <w:t>Ka</w:t>
      </w:r>
      <w:r w:rsidRPr="00F738D8">
        <w:t xml:space="preserve"> </w:t>
      </w:r>
      <w:r w:rsidRPr="00F738D8">
        <w:rPr>
          <w:rFonts w:eastAsia="Calibri"/>
        </w:rPr>
        <w:t xml:space="preserve">(Martins </w:t>
      </w:r>
      <w:r w:rsidRPr="00F738D8">
        <w:rPr>
          <w:i/>
          <w:lang w:eastAsia="ko-KR"/>
        </w:rPr>
        <w:t>et al</w:t>
      </w:r>
      <w:r w:rsidRPr="00F738D8">
        <w:rPr>
          <w:rFonts w:eastAsia="Calibri"/>
        </w:rPr>
        <w:t xml:space="preserve">, 2010b). Verifica-se, no entanto, que esta idade está subestimada, podendo a idade da base do T4, e os materiais do Acheulense médio inicial aí recolhidos, chegar perto dos 340 </w:t>
      </w:r>
      <w:r>
        <w:rPr>
          <w:rFonts w:eastAsia="Calibri"/>
        </w:rPr>
        <w:t>Ka</w:t>
      </w:r>
      <w:r w:rsidRPr="00F738D8">
        <w:rPr>
          <w:rFonts w:eastAsia="Calibri"/>
        </w:rPr>
        <w:t xml:space="preserve">. </w:t>
      </w:r>
    </w:p>
    <w:p w:rsidR="00632F9C" w:rsidRPr="00F738D8" w:rsidRDefault="00632F9C" w:rsidP="00632F9C">
      <w:pPr>
        <w:spacing w:line="360" w:lineRule="auto"/>
        <w:ind w:firstLine="708"/>
        <w:jc w:val="both"/>
      </w:pPr>
      <w:r w:rsidRPr="00F738D8">
        <w:t xml:space="preserve">No sítio do Caminho da Celulose (perto da Foz do Enxarrique) foram recolhidos artefactos moustierenses </w:t>
      </w:r>
      <w:proofErr w:type="gramStart"/>
      <w:r w:rsidRPr="00F738D8">
        <w:rPr>
          <w:i/>
        </w:rPr>
        <w:t>in situ</w:t>
      </w:r>
      <w:proofErr w:type="gramEnd"/>
      <w:r w:rsidRPr="00F738D8">
        <w:t xml:space="preserve"> (G.E.P.P., 1977; Luis Raposo, comunicação pessoal).</w:t>
      </w:r>
    </w:p>
    <w:p w:rsidR="00632F9C" w:rsidRPr="00F738D8" w:rsidRDefault="00632F9C" w:rsidP="00632F9C">
      <w:pPr>
        <w:autoSpaceDE w:val="0"/>
        <w:autoSpaceDN w:val="0"/>
        <w:adjustRightInd w:val="0"/>
        <w:spacing w:line="360" w:lineRule="auto"/>
        <w:jc w:val="both"/>
        <w:rPr>
          <w:color w:val="000000"/>
        </w:rPr>
      </w:pPr>
      <w:r w:rsidRPr="00F738D8">
        <w:t xml:space="preserve">A escavação arqueológica do sítio da Foz do Enxarrique (Raposo </w:t>
      </w:r>
      <w:r w:rsidRPr="00F738D8">
        <w:rPr>
          <w:i/>
          <w:lang w:eastAsia="ko-KR"/>
        </w:rPr>
        <w:t>et al</w:t>
      </w:r>
      <w:r w:rsidRPr="00F738D8">
        <w:t>., 1985; Raposo, 1987) revelou uma i</w:t>
      </w:r>
      <w:r>
        <w:t>ndústria m</w:t>
      </w:r>
      <w:r w:rsidRPr="00F738D8">
        <w:t xml:space="preserve">oustierense abundante (cerca de 10 000 peças em quartzito-67%, quartzo leitoso - 23% e sílex). </w:t>
      </w:r>
      <w:r w:rsidRPr="00F738D8">
        <w:rPr>
          <w:color w:val="000000"/>
        </w:rPr>
        <w:t xml:space="preserve">A indústria lítica apresenta debitagem Levallois frequente, estando </w:t>
      </w:r>
      <w:r>
        <w:rPr>
          <w:color w:val="000000"/>
        </w:rPr>
        <w:t>identificadas</w:t>
      </w:r>
      <w:r w:rsidRPr="00F738D8">
        <w:rPr>
          <w:color w:val="000000"/>
        </w:rPr>
        <w:t xml:space="preserve"> todas as etapas da cadeia operatória. A presença de utensílios retocados é reduzida, pelo que os produtos de talhe deverão ter sido utilizados em bruto. Pela abundância da indústria como de fauna, este sítio representa um dos sítios mais importantes da península ibérica quando se fala em Paleolítico médio. </w:t>
      </w:r>
      <w:r w:rsidRPr="00F738D8">
        <w:t>Esta indústria espalhava-se pelos depósitos do T4 e T5. Também foram identificados restos de megafauna (</w:t>
      </w:r>
      <w:r w:rsidRPr="00F738D8">
        <w:rPr>
          <w:i/>
        </w:rPr>
        <w:t>Cervus elaphus</w:t>
      </w:r>
      <w:r w:rsidRPr="00F738D8">
        <w:t>,</w:t>
      </w:r>
      <w:r w:rsidRPr="00F738D8">
        <w:rPr>
          <w:i/>
        </w:rPr>
        <w:t xml:space="preserve"> Equus sp</w:t>
      </w:r>
      <w:r w:rsidRPr="00F738D8">
        <w:t xml:space="preserve">., </w:t>
      </w:r>
      <w:r w:rsidRPr="00F738D8">
        <w:rPr>
          <w:i/>
        </w:rPr>
        <w:t>Bos primigenius</w:t>
      </w:r>
      <w:r w:rsidRPr="00F738D8">
        <w:t xml:space="preserve">, </w:t>
      </w:r>
      <w:r w:rsidRPr="00F738D8">
        <w:rPr>
          <w:i/>
        </w:rPr>
        <w:t>Elephas antiquus</w:t>
      </w:r>
      <w:r w:rsidRPr="00F738D8">
        <w:t xml:space="preserve"> e rinoceronte) outros mamíferos (ex. raposa, hiena e coelho) avifauna e ictiofauna (Brugal e Raposo, 1999; Cardoso, 1993). A indústria lítica e a fauna associada assentavam numa camada de seixos e estavam recobertos por uma camada de areias finas e siltes. Esta camada foi datada por IRSL em 39 e 32 </w:t>
      </w:r>
      <w:r>
        <w:t>Ka</w:t>
      </w:r>
      <w:r w:rsidRPr="00F738D8">
        <w:t xml:space="preserve"> (Cunha </w:t>
      </w:r>
      <w:r w:rsidRPr="00F738D8">
        <w:rPr>
          <w:i/>
        </w:rPr>
        <w:t>et al</w:t>
      </w:r>
      <w:r w:rsidRPr="00F738D8">
        <w:t xml:space="preserve"> 2008). Datações por Series de Urânio, realizadas em três dentes recolhidos durante a intervenção arque</w:t>
      </w:r>
      <w:r>
        <w:t xml:space="preserve">ológica, apresentaram uma idade média </w:t>
      </w:r>
      <w:r w:rsidRPr="00F738D8">
        <w:t xml:space="preserve">de 33.6 </w:t>
      </w:r>
      <w:r w:rsidRPr="00F738D8">
        <w:rPr>
          <w:rFonts w:eastAsia="Calibri"/>
        </w:rPr>
        <w:t>±0.5</w:t>
      </w:r>
      <w:r w:rsidRPr="00F738D8">
        <w:t xml:space="preserve"> </w:t>
      </w:r>
      <w:r>
        <w:t>Ka</w:t>
      </w:r>
      <w:r w:rsidRPr="00F738D8">
        <w:t xml:space="preserve"> </w:t>
      </w:r>
      <w:r w:rsidRPr="00F738D8">
        <w:rPr>
          <w:rFonts w:eastAsia="Calibri"/>
        </w:rPr>
        <w:t>(Raposo, 1995).</w:t>
      </w:r>
    </w:p>
    <w:p w:rsidR="00632F9C" w:rsidRPr="00F738D8" w:rsidRDefault="00632F9C" w:rsidP="00632F9C">
      <w:pPr>
        <w:spacing w:line="360" w:lineRule="auto"/>
        <w:ind w:firstLine="708"/>
        <w:jc w:val="both"/>
      </w:pPr>
      <w:r w:rsidRPr="00F738D8">
        <w:t>A escavação do sítio de Vilas Ruivas (G.E.P.P., 19</w:t>
      </w:r>
      <w:r>
        <w:t>80; Raposo &amp; Silva, 1985</w:t>
      </w:r>
      <w:r w:rsidRPr="00F738D8">
        <w:t xml:space="preserve">; Raposo, 1987) permitiu verificar que o T4 é composto por uma camada de 4 m de espessura de areias grosseiras compactas de cor vermelha que embalavam seis peças roladas de tipologia Acheulense e uma outra camada superior também com 4 m constituída por seixos. A superfície do terraço situa-se a 124 m a.n.m. Vilas Ruivas também apresenta no seu registo sedimentar vestígio do paleovale dum tributário do </w:t>
      </w:r>
      <w:r w:rsidRPr="00F738D8">
        <w:lastRenderedPageBreak/>
        <w:t xml:space="preserve">Tejo (provavelmente da ribeira de Vilas Ruivas antes de ser capturada), inciso no T4 (Silva </w:t>
      </w:r>
      <w:r w:rsidRPr="00F738D8">
        <w:rPr>
          <w:i/>
          <w:lang w:eastAsia="ko-KR"/>
        </w:rPr>
        <w:t>et al,</w:t>
      </w:r>
      <w:r w:rsidRPr="00F738D8">
        <w:t xml:space="preserve"> 1981). </w:t>
      </w:r>
      <w:r w:rsidRPr="00F738D8">
        <w:rPr>
          <w:color w:val="000000"/>
        </w:rPr>
        <w:t xml:space="preserve">O principal interesse desta estação assenta na existência de duas estruturas em arco constituídas por pedras, </w:t>
      </w:r>
      <w:r>
        <w:rPr>
          <w:color w:val="000000"/>
        </w:rPr>
        <w:t>cujo intuito parece ser a prote</w:t>
      </w:r>
      <w:r w:rsidRPr="00F738D8">
        <w:rPr>
          <w:color w:val="000000"/>
        </w:rPr>
        <w:t xml:space="preserve">ção de três lareiras inseridas nessa mesma estrutura. Além </w:t>
      </w:r>
      <w:r>
        <w:rPr>
          <w:color w:val="000000"/>
        </w:rPr>
        <w:t>destes “para-ventos” foram dete</w:t>
      </w:r>
      <w:r w:rsidRPr="00F738D8">
        <w:rPr>
          <w:color w:val="000000"/>
        </w:rPr>
        <w:t xml:space="preserve">tadas ainda o que poderão ser quatro buracos de poste, com cerca de </w:t>
      </w:r>
      <w:smartTag w:uri="urn:schemas-microsoft-com:office:smarttags" w:element="metricconverter">
        <w:smartTagPr>
          <w:attr w:name="ProductID" w:val="20 cm"/>
        </w:smartTagPr>
        <w:r w:rsidRPr="00F738D8">
          <w:rPr>
            <w:color w:val="000000"/>
          </w:rPr>
          <w:t>20 cm</w:t>
        </w:r>
      </w:smartTag>
      <w:r w:rsidRPr="00F738D8">
        <w:rPr>
          <w:color w:val="000000"/>
        </w:rPr>
        <w:t xml:space="preserve"> de circunferência (Raposo, 1995; GEPP, 1977)</w:t>
      </w:r>
      <w:r w:rsidRPr="00F738D8">
        <w:t xml:space="preserve">. A indústria Moustierense recolhida neste local, mais de 500 peças, foi maioritariamente obtida através de talhe Levallois. Estes artefactos foram encontrados num nível de siltes com espessura variando entre 0,5 e 1 m que se sobrepõe a um nível de areão com cerca de 0,2-0,5 m de espessura, de onde forma obtidas datas TL subestimadas de 68 </w:t>
      </w:r>
      <w:r>
        <w:t>Ka</w:t>
      </w:r>
      <w:r w:rsidRPr="00F738D8">
        <w:t xml:space="preserve"> +35 </w:t>
      </w:r>
      <w:r>
        <w:t>Ka</w:t>
      </w:r>
      <w:r w:rsidRPr="00F738D8">
        <w:t>/-26</w:t>
      </w:r>
      <w:r>
        <w:t>Ka</w:t>
      </w:r>
      <w:r w:rsidRPr="00F738D8">
        <w:t xml:space="preserve"> and 51 </w:t>
      </w:r>
      <w:r>
        <w:t>Ka</w:t>
      </w:r>
      <w:r w:rsidRPr="00F738D8">
        <w:t xml:space="preserve"> +13 </w:t>
      </w:r>
      <w:r>
        <w:t>Ka</w:t>
      </w:r>
      <w:r w:rsidRPr="00F738D8">
        <w:t>/-12</w:t>
      </w:r>
      <w:r>
        <w:t>Ka</w:t>
      </w:r>
      <w:r w:rsidRPr="00F738D8">
        <w:t xml:space="preserve"> </w:t>
      </w:r>
      <w:r w:rsidRPr="00F738D8">
        <w:rPr>
          <w:rFonts w:eastAsia="Calibri"/>
        </w:rPr>
        <w:t>(Raposo, 1995)</w:t>
      </w:r>
      <w:r w:rsidRPr="00F738D8">
        <w:t xml:space="preserve"> e datas IRSL de 113</w:t>
      </w:r>
      <w:r w:rsidRPr="00F738D8">
        <w:rPr>
          <w:rFonts w:eastAsia="Calibri"/>
        </w:rPr>
        <w:t>±6</w:t>
      </w:r>
      <w:r w:rsidRPr="00F738D8">
        <w:t xml:space="preserve"> </w:t>
      </w:r>
      <w:r>
        <w:t>Ka</w:t>
      </w:r>
      <w:r w:rsidRPr="00F738D8">
        <w:t xml:space="preserve"> e 105</w:t>
      </w:r>
      <w:r w:rsidRPr="00F738D8">
        <w:rPr>
          <w:rFonts w:eastAsia="Calibri"/>
        </w:rPr>
        <w:t>±5</w:t>
      </w:r>
      <w:r w:rsidRPr="00F738D8">
        <w:t xml:space="preserve"> </w:t>
      </w:r>
      <w:r>
        <w:t>Ka</w:t>
      </w:r>
      <w:r w:rsidRPr="00F738D8">
        <w:t xml:space="preserve"> (Cunha </w:t>
      </w:r>
      <w:r w:rsidRPr="00F738D8">
        <w:rPr>
          <w:i/>
          <w:lang w:eastAsia="ko-KR"/>
        </w:rPr>
        <w:t>et al</w:t>
      </w:r>
      <w:r w:rsidRPr="00F738D8">
        <w:t>, 2008). No topo da sequência sedimentológica foi recolhida uma indústria lítica, provavelmente Madalenense, associada a escassas areias eólicas</w:t>
      </w:r>
      <w:r w:rsidRPr="00F738D8">
        <w:rPr>
          <w:lang w:eastAsia="ko-KR"/>
        </w:rPr>
        <w:t xml:space="preserve"> (Raposo, 1987).</w:t>
      </w:r>
    </w:p>
    <w:p w:rsidR="00632F9C" w:rsidRPr="00F738D8" w:rsidRDefault="00632F9C" w:rsidP="00632F9C">
      <w:pPr>
        <w:spacing w:line="360" w:lineRule="auto"/>
      </w:pPr>
    </w:p>
    <w:p w:rsidR="00632F9C" w:rsidRPr="00F738D8" w:rsidRDefault="00632F9C" w:rsidP="00632F9C">
      <w:pPr>
        <w:spacing w:line="360" w:lineRule="auto"/>
      </w:pPr>
    </w:p>
    <w:p w:rsidR="00632F9C" w:rsidRPr="00F738D8" w:rsidRDefault="00632F9C" w:rsidP="00632F9C">
      <w:pPr>
        <w:spacing w:line="360" w:lineRule="auto"/>
      </w:pPr>
      <w:r w:rsidRPr="00F738D8">
        <w:t>4.4.3.4 - O Paleolítico no Nordeste Alentejano</w:t>
      </w:r>
    </w:p>
    <w:p w:rsidR="00632F9C" w:rsidRPr="00F738D8" w:rsidRDefault="00632F9C" w:rsidP="00632F9C">
      <w:pPr>
        <w:spacing w:line="360" w:lineRule="auto"/>
        <w:rPr>
          <w:b/>
          <w:u w:val="single"/>
        </w:rPr>
      </w:pPr>
    </w:p>
    <w:p w:rsidR="00632F9C" w:rsidRPr="00F738D8" w:rsidRDefault="00632F9C" w:rsidP="00632F9C">
      <w:pPr>
        <w:pStyle w:val="Avanodecorpodetexto"/>
        <w:spacing w:after="0" w:line="360" w:lineRule="auto"/>
        <w:ind w:left="0" w:firstLine="708"/>
        <w:jc w:val="both"/>
      </w:pPr>
      <w:r w:rsidRPr="00F738D8">
        <w:t>Como não poderia deixar de ser, iniciamos a investigação sobre o Paleolítico no Nordeste alentejano com a recolha da bibliografia existente sobre esta temática. Quando encetamos esta investigação, os dados disponíveis sobre a temática abordada eram escassos. A recolha bibliográfica realizada revela-nos que esta área só atraiu a atenção dos investigadores na primeira metade do século passado e, principalmente</w:t>
      </w:r>
      <w:proofErr w:type="gramStart"/>
      <w:r w:rsidRPr="00F738D8">
        <w:t>,</w:t>
      </w:r>
      <w:proofErr w:type="gramEnd"/>
      <w:r w:rsidRPr="00F738D8">
        <w:t xml:space="preserve"> para a parte mais meridional da região. Os primeiros passos foram dados ainda pelo abade Breuil, corria o ano de 1917, na área do Guadiana (Breuil, 1917). Três anos depois, e novamente pelo mesmo investigador, encontramos novo artigo publicado desta vez versando o Paleolítico de Arronches (Breuil, 1920). E</w:t>
      </w:r>
      <w:r>
        <w:t>ste mesmo sítio será ainda obje</w:t>
      </w:r>
      <w:r w:rsidRPr="00F738D8">
        <w:t>to de outro artigo da autoria de Leite de Vasconcelos (Leite de Vasconcelos, 1920). Ainda nos anos vinte, Lereno Antunes (1924) apresentou um trabalho sobre o Paleolítico de Elvas.</w:t>
      </w:r>
    </w:p>
    <w:p w:rsidR="00632F9C" w:rsidRPr="00F738D8" w:rsidRDefault="00632F9C" w:rsidP="00632F9C">
      <w:pPr>
        <w:pStyle w:val="Avanodecorpodetexto"/>
        <w:spacing w:after="0" w:line="360" w:lineRule="auto"/>
        <w:ind w:left="0" w:firstLine="708"/>
        <w:jc w:val="both"/>
      </w:pPr>
      <w:r w:rsidRPr="00F738D8">
        <w:t>Posteriormente, Afonso do Paço refere-se à zona em questão em dois artigos: “Carta Paleolítica e Epipaleolítica de Portugal” (Paço, 1934.) e “Revisões dos Problemas do Paleolítico, Mesolítico e Asturiense”</w:t>
      </w:r>
      <w:r w:rsidRPr="00F738D8">
        <w:rPr>
          <w:i/>
        </w:rPr>
        <w:t xml:space="preserve"> </w:t>
      </w:r>
      <w:r w:rsidRPr="00F738D8">
        <w:t>(Paço, 1940.). Da pena deste autor saiu, ainda, a “Carta Arqueológica do Concelho de Marvão” (Paço, 1950).</w:t>
      </w:r>
    </w:p>
    <w:p w:rsidR="00632F9C" w:rsidRPr="00F738D8" w:rsidRDefault="00632F9C" w:rsidP="00632F9C">
      <w:pPr>
        <w:spacing w:line="360" w:lineRule="auto"/>
        <w:ind w:firstLine="708"/>
        <w:jc w:val="both"/>
      </w:pPr>
      <w:r w:rsidRPr="00F738D8">
        <w:lastRenderedPageBreak/>
        <w:t xml:space="preserve">Na segunda metade do séc. XX, Manuel Heleno e alguns trabalhadores do Museu Nacional de Arqueologia </w:t>
      </w:r>
      <w:r>
        <w:t>prospe</w:t>
      </w:r>
      <w:r w:rsidRPr="00F738D8">
        <w:t>taram as margens da ribeira de Avis, aquando dos trabalhos em Torre de Palma, publicando os resultados no Arqueólogo Português (Heleno, 1962).</w:t>
      </w:r>
    </w:p>
    <w:p w:rsidR="00632F9C" w:rsidRPr="00F738D8" w:rsidRDefault="00632F9C" w:rsidP="00632F9C">
      <w:pPr>
        <w:pStyle w:val="Avanodecorpodetexto"/>
        <w:spacing w:after="0" w:line="360" w:lineRule="auto"/>
        <w:ind w:left="0" w:firstLine="708"/>
        <w:jc w:val="both"/>
      </w:pPr>
      <w:r w:rsidRPr="00F738D8">
        <w:t>Nos princípios da década de 70 do século passado</w:t>
      </w:r>
      <w:r>
        <w:t>,</w:t>
      </w:r>
      <w:r w:rsidRPr="00F738D8">
        <w:t xml:space="preserve"> inici</w:t>
      </w:r>
      <w:r>
        <w:t>aram-se trabalhos de prospeção na bacia do Caia sob a dire</w:t>
      </w:r>
      <w:r w:rsidRPr="00F738D8">
        <w:t>ção de Vítor Oliveira Jorge (Jorge, 1972). Estes trabalhos tiveram continuação nos princípios dos anos 90 desse mesmo século, com os trabalhos desenvolvidos por Sérgio Rodrigues (Rodrigues, 1996) para a sua tese de mestrado.</w:t>
      </w:r>
    </w:p>
    <w:p w:rsidR="00632F9C" w:rsidRPr="00F738D8" w:rsidRDefault="00632F9C" w:rsidP="00632F9C">
      <w:pPr>
        <w:pStyle w:val="Avanodecorpodetexto"/>
        <w:spacing w:after="0" w:line="360" w:lineRule="auto"/>
        <w:ind w:left="0" w:firstLine="708"/>
        <w:jc w:val="both"/>
      </w:pPr>
      <w:r w:rsidRPr="00F738D8">
        <w:t>Embora resumidos, estes são os dados existentes sobre o Paleolítico médio. Verificam-se disparidades regionais nos resultados disponíveis e mesmo entre sítios relativamente próximos geograficamente. Nalguns casos temos excelentes correlações crono-estratigráficas, enquanto para outros conjuntos líticos nem sempre existem datações</w:t>
      </w:r>
      <w:r>
        <w:t xml:space="preserve"> recentes e fidedignas. As cole</w:t>
      </w:r>
      <w:r w:rsidRPr="00F738D8">
        <w:t xml:space="preserve">ções recolhidas em estações deste período nem sempre foram devidamente estudadas, inviabilizando análises e comparações. Este </w:t>
      </w:r>
      <w:r w:rsidRPr="00F738D8">
        <w:rPr>
          <w:i/>
        </w:rPr>
        <w:t>corpus</w:t>
      </w:r>
      <w:r w:rsidRPr="00F738D8">
        <w:t xml:space="preserve"> de dados apresenta-se, no entanto, como um bom ponto de partida para se iniciar o estudo mais específico do Paleolítico médio da Bacia do Arneiro.  </w:t>
      </w:r>
    </w:p>
    <w:p w:rsidR="00632F9C" w:rsidRPr="00F738D8" w:rsidRDefault="00632F9C" w:rsidP="00632F9C">
      <w:pPr>
        <w:spacing w:line="360" w:lineRule="auto"/>
      </w:pPr>
    </w:p>
    <w:p w:rsidR="00632F9C" w:rsidRPr="00F738D8" w:rsidRDefault="00632F9C" w:rsidP="00632F9C">
      <w:pPr>
        <w:spacing w:line="360" w:lineRule="auto"/>
      </w:pPr>
    </w:p>
    <w:p w:rsidR="00632F9C" w:rsidRPr="00F738D8" w:rsidRDefault="00632F9C" w:rsidP="00632F9C">
      <w:pPr>
        <w:autoSpaceDE w:val="0"/>
        <w:autoSpaceDN w:val="0"/>
        <w:adjustRightInd w:val="0"/>
        <w:spacing w:line="360" w:lineRule="auto"/>
        <w:jc w:val="both"/>
        <w:rPr>
          <w:b/>
          <w:color w:val="000000"/>
        </w:rPr>
      </w:pPr>
    </w:p>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Pr="000F617F" w:rsidRDefault="00A34B7A" w:rsidP="00A34B7A">
      <w:pPr>
        <w:rPr>
          <w:b/>
          <w:i/>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Default="00A34B7A"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Pr="000F617F" w:rsidRDefault="00B64639"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A34B7A" w:rsidRPr="000F617F" w:rsidRDefault="00A34B7A" w:rsidP="00A34B7A">
      <w:pPr>
        <w:rPr>
          <w:b/>
        </w:rPr>
      </w:pPr>
    </w:p>
    <w:p w:rsidR="006D3B05" w:rsidRDefault="006D3B05" w:rsidP="00A34B7A">
      <w:pPr>
        <w:jc w:val="right"/>
        <w:rPr>
          <w:b/>
          <w:u w:val="single"/>
        </w:rPr>
      </w:pPr>
    </w:p>
    <w:p w:rsidR="006D3B05" w:rsidRDefault="006D3B05" w:rsidP="00A34B7A">
      <w:pPr>
        <w:jc w:val="right"/>
        <w:rPr>
          <w:b/>
          <w:u w:val="single"/>
        </w:rPr>
      </w:pPr>
    </w:p>
    <w:p w:rsidR="006D3B05" w:rsidRDefault="006D3B05" w:rsidP="00A34B7A">
      <w:pPr>
        <w:jc w:val="right"/>
        <w:rPr>
          <w:b/>
          <w:u w:val="single"/>
        </w:rPr>
      </w:pPr>
    </w:p>
    <w:p w:rsidR="00A34B7A" w:rsidRPr="000F617F" w:rsidRDefault="00A34B7A" w:rsidP="00A34B7A">
      <w:pPr>
        <w:jc w:val="right"/>
        <w:rPr>
          <w:b/>
          <w:u w:val="single"/>
        </w:rPr>
      </w:pPr>
      <w:r w:rsidRPr="000F617F">
        <w:rPr>
          <w:b/>
          <w:u w:val="single"/>
        </w:rPr>
        <w:t>V- METODOLOGIA</w:t>
      </w:r>
    </w:p>
    <w:p w:rsidR="00A34B7A" w:rsidRPr="000F617F" w:rsidRDefault="00A34B7A" w:rsidP="00A34B7A">
      <w:pPr>
        <w:rPr>
          <w:b/>
        </w:rPr>
      </w:pPr>
    </w:p>
    <w:p w:rsidR="00A34B7A" w:rsidRDefault="00A34B7A" w:rsidP="00A34B7A">
      <w:pPr>
        <w:rPr>
          <w:b/>
        </w:rPr>
      </w:pPr>
    </w:p>
    <w:p w:rsidR="00B64639" w:rsidRDefault="00B64639" w:rsidP="00A34B7A">
      <w:pPr>
        <w:rPr>
          <w:b/>
        </w:rPr>
      </w:pPr>
    </w:p>
    <w:p w:rsidR="00B64639" w:rsidRDefault="00B64639" w:rsidP="00A34B7A">
      <w:pPr>
        <w:rPr>
          <w:b/>
        </w:rPr>
      </w:pPr>
    </w:p>
    <w:p w:rsidR="00B64639" w:rsidRDefault="00B64639" w:rsidP="00A34B7A">
      <w:pPr>
        <w:rPr>
          <w:b/>
        </w:rPr>
      </w:pPr>
    </w:p>
    <w:p w:rsidR="00B64639" w:rsidRPr="000F617F" w:rsidRDefault="00B64639" w:rsidP="00A34B7A">
      <w:pPr>
        <w:rPr>
          <w:b/>
        </w:rPr>
      </w:pPr>
    </w:p>
    <w:p w:rsidR="00A34B7A" w:rsidRPr="000F617F" w:rsidRDefault="00A34B7A" w:rsidP="00A34B7A">
      <w:pPr>
        <w:rPr>
          <w:b/>
        </w:rPr>
      </w:pPr>
    </w:p>
    <w:p w:rsidR="00A34B7A" w:rsidRPr="000F617F" w:rsidRDefault="00A34B7A" w:rsidP="00A34B7A">
      <w:pPr>
        <w:rPr>
          <w:b/>
        </w:rPr>
      </w:pPr>
      <w:r w:rsidRPr="000F617F">
        <w:rPr>
          <w:b/>
        </w:rPr>
        <w:t>5.1- Metodologia geral</w:t>
      </w:r>
    </w:p>
    <w:p w:rsidR="00A34B7A" w:rsidRPr="000F617F" w:rsidRDefault="00A34B7A" w:rsidP="00A34B7A">
      <w:pPr>
        <w:autoSpaceDE w:val="0"/>
        <w:autoSpaceDN w:val="0"/>
        <w:adjustRightInd w:val="0"/>
      </w:pPr>
    </w:p>
    <w:p w:rsidR="00A34B7A" w:rsidRPr="000F617F" w:rsidRDefault="00A34B7A" w:rsidP="00A34B7A">
      <w:pPr>
        <w:autoSpaceDE w:val="0"/>
        <w:autoSpaceDN w:val="0"/>
        <w:adjustRightInd w:val="0"/>
        <w:rPr>
          <w:b/>
        </w:rPr>
      </w:pPr>
      <w:r w:rsidRPr="000F617F">
        <w:rPr>
          <w:b/>
        </w:rPr>
        <w:t>5.1.1</w:t>
      </w:r>
      <w:r w:rsidRPr="000F617F">
        <w:t>- Prospeções.</w:t>
      </w:r>
    </w:p>
    <w:p w:rsidR="00A34B7A" w:rsidRPr="000F617F" w:rsidRDefault="00A34B7A" w:rsidP="00A34B7A">
      <w:pPr>
        <w:autoSpaceDE w:val="0"/>
        <w:autoSpaceDN w:val="0"/>
        <w:adjustRightInd w:val="0"/>
        <w:spacing w:line="360" w:lineRule="auto"/>
        <w:rPr>
          <w:b/>
          <w:u w:val="single"/>
        </w:rPr>
      </w:pPr>
    </w:p>
    <w:p w:rsidR="00A34B7A" w:rsidRPr="000F617F" w:rsidRDefault="00A34B7A" w:rsidP="00A34B7A">
      <w:pPr>
        <w:autoSpaceDE w:val="0"/>
        <w:autoSpaceDN w:val="0"/>
        <w:adjustRightInd w:val="0"/>
        <w:spacing w:line="360" w:lineRule="auto"/>
        <w:ind w:firstLine="708"/>
        <w:jc w:val="both"/>
      </w:pPr>
      <w:r w:rsidRPr="000F617F">
        <w:t>As características do Plano Nacional de Trabalhos Arqueológicos (</w:t>
      </w:r>
      <w:r w:rsidRPr="000F617F">
        <w:rPr>
          <w:i/>
        </w:rPr>
        <w:t>Pré-história Antiga no Nordeste Alentejano</w:t>
      </w:r>
      <w:r w:rsidRPr="000F617F">
        <w:t xml:space="preserve">) que deram origem a este trabalho implicaram a necessidade de começar uma investigação do zero. Ao investigar uma área onde o registo paleolítico era quase ausente (nordeste alentejano) surgia a necessidade de começar com todo um trabalho de prospeções de forma a caracterizar a área e verificar do seu potencial arqueológico. Obviamente que os dados arqueológicos existentes na margem norte do rio Tejo eram um forte indício que esta tarefa poderia ser levada a bom </w:t>
      </w:r>
      <w:proofErr w:type="gramStart"/>
      <w:r w:rsidRPr="000F617F">
        <w:t>porto</w:t>
      </w:r>
      <w:proofErr w:type="gramEnd"/>
      <w:r w:rsidRPr="000F617F">
        <w:t xml:space="preserve">.   </w:t>
      </w:r>
    </w:p>
    <w:p w:rsidR="00A34B7A" w:rsidRPr="000F617F" w:rsidRDefault="00A34B7A" w:rsidP="00A34B7A">
      <w:pPr>
        <w:spacing w:after="226" w:line="360" w:lineRule="auto"/>
        <w:ind w:firstLine="720"/>
        <w:jc w:val="both"/>
        <w:rPr>
          <w:rFonts w:eastAsia="Arial Unicode MS"/>
          <w:bCs/>
          <w:color w:val="000000"/>
        </w:rPr>
      </w:pPr>
      <w:r w:rsidRPr="000F617F">
        <w:rPr>
          <w:rFonts w:eastAsia="Arial Unicode MS"/>
        </w:rPr>
        <w:t xml:space="preserve">A metodologia adotada </w:t>
      </w:r>
      <w:r w:rsidRPr="000F617F">
        <w:rPr>
          <w:rFonts w:eastAsia="Arial Unicode MS"/>
          <w:bCs/>
          <w:color w:val="000000"/>
        </w:rPr>
        <w:t>centrou-se na experiência adquirida ao longo de seis anos de acompanhamento das obras de implantação do gasoduto nacional de gás natural, nomeadamente com as trocas de experiências com os membros da equipa que me acompanharam nesta tarefa.</w:t>
      </w:r>
    </w:p>
    <w:p w:rsidR="00A34B7A" w:rsidRPr="000F617F" w:rsidRDefault="00A34B7A" w:rsidP="00A34B7A">
      <w:pPr>
        <w:spacing w:line="360" w:lineRule="auto"/>
        <w:jc w:val="both"/>
        <w:rPr>
          <w:rFonts w:eastAsia="Arial Unicode MS"/>
        </w:rPr>
      </w:pPr>
      <w:r w:rsidRPr="000F617F">
        <w:rPr>
          <w:rFonts w:eastAsia="Arial Unicode MS"/>
        </w:rPr>
        <w:t xml:space="preserve">Por conseguinte, a metodologia </w:t>
      </w:r>
      <w:r>
        <w:rPr>
          <w:rFonts w:eastAsia="Arial Unicode MS"/>
        </w:rPr>
        <w:t>adotada</w:t>
      </w:r>
      <w:r w:rsidRPr="000F617F">
        <w:rPr>
          <w:rFonts w:eastAsia="Arial Unicode MS"/>
        </w:rPr>
        <w:t xml:space="preserve"> dividiu-se nas seguintes fases:</w:t>
      </w: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Análise prévia da bibliografia e documentação existente tanto nos arquivos digitais internacionais e nacionais, como em diversas bibliotecas e instituições da zona. Além de uma clara procura referente ao património arqueológico optou-se ainda por uma óbvia consulta à bibliografia geológica e geomorfológica da área das Portas de Ródão; </w:t>
      </w:r>
    </w:p>
    <w:p w:rsidR="00A34B7A" w:rsidRPr="000F617F" w:rsidRDefault="00A34B7A" w:rsidP="00A34B7A">
      <w:pPr>
        <w:spacing w:line="360" w:lineRule="auto"/>
        <w:ind w:left="720"/>
        <w:jc w:val="both"/>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Análise da documentação cartográfica topográfica e geológica existente sobre a área em estudo. O estudo cartográfico teve por </w:t>
      </w:r>
      <w:r>
        <w:rPr>
          <w:rFonts w:eastAsia="Arial Unicode MS"/>
        </w:rPr>
        <w:t>objetivo</w:t>
      </w:r>
      <w:r w:rsidRPr="000F617F">
        <w:rPr>
          <w:rFonts w:eastAsia="Arial Unicode MS"/>
        </w:rPr>
        <w:t xml:space="preserve"> a identificação de áreas que devido às suas características geológicas, geomorfológicas e topográficas poderiam revelar uma forte probabilidade de existência de vestígios arqueológicos;</w:t>
      </w:r>
    </w:p>
    <w:p w:rsidR="00A34B7A" w:rsidRPr="000F617F" w:rsidRDefault="00A34B7A" w:rsidP="00A34B7A">
      <w:pPr>
        <w:spacing w:line="360" w:lineRule="auto"/>
        <w:jc w:val="both"/>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w:t>
      </w:r>
      <w:r>
        <w:rPr>
          <w:rFonts w:eastAsia="Arial Unicode MS"/>
        </w:rPr>
        <w:t>Prospeção</w:t>
      </w:r>
      <w:r w:rsidRPr="000F617F">
        <w:rPr>
          <w:rFonts w:eastAsia="Arial Unicode MS"/>
        </w:rPr>
        <w:t xml:space="preserve"> de campo, nas áreas definidas previamente em gabinete. Esta </w:t>
      </w:r>
      <w:r>
        <w:rPr>
          <w:rFonts w:eastAsia="Arial Unicode MS"/>
        </w:rPr>
        <w:t>prospeção</w:t>
      </w:r>
      <w:r w:rsidRPr="000F617F">
        <w:rPr>
          <w:rFonts w:eastAsia="Arial Unicode MS"/>
        </w:rPr>
        <w:t xml:space="preserve"> desenvolve-se por três fases diferentes;</w:t>
      </w:r>
    </w:p>
    <w:p w:rsidR="00A34B7A" w:rsidRPr="000F617F" w:rsidRDefault="00A34B7A" w:rsidP="00A34B7A">
      <w:pPr>
        <w:pStyle w:val="PargrafodaLista"/>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w:t>
      </w:r>
      <w:r>
        <w:rPr>
          <w:rFonts w:eastAsia="Arial Unicode MS"/>
        </w:rPr>
        <w:t>Prospeção</w:t>
      </w:r>
      <w:r w:rsidRPr="000F617F">
        <w:rPr>
          <w:rFonts w:eastAsia="Arial Unicode MS"/>
        </w:rPr>
        <w:t xml:space="preserve"> geral de abordagem ao terreno, realizada em veículo automóvel cujo </w:t>
      </w:r>
      <w:r>
        <w:rPr>
          <w:rFonts w:eastAsia="Arial Unicode MS"/>
        </w:rPr>
        <w:t>objetivo</w:t>
      </w:r>
      <w:r w:rsidRPr="000F617F">
        <w:rPr>
          <w:rFonts w:eastAsia="Arial Unicode MS"/>
        </w:rPr>
        <w:t xml:space="preserve"> é confrontar a informação recolhida </w:t>
      </w:r>
      <w:r w:rsidRPr="000F617F">
        <w:rPr>
          <w:rFonts w:eastAsia="Arial Unicode MS"/>
        </w:rPr>
        <w:lastRenderedPageBreak/>
        <w:t>bibliograficamente e cartograficamente com a sua verdadeira expressão física. Esta fase permite reduzir o número de áreas que podem ter apresentado características positivas numa primeira análise mas que se revelam, após observação visual, aquém das expectativas traçadas (foto n.º 5.1);</w:t>
      </w:r>
    </w:p>
    <w:p w:rsidR="00A34B7A" w:rsidRPr="000F617F" w:rsidRDefault="00A34B7A" w:rsidP="00A34B7A">
      <w:pPr>
        <w:spacing w:line="360" w:lineRule="auto"/>
        <w:jc w:val="both"/>
        <w:rPr>
          <w:rFonts w:eastAsia="Arial Unicode MS"/>
        </w:rPr>
      </w:pPr>
    </w:p>
    <w:p w:rsidR="00A34B7A" w:rsidRPr="000F617F" w:rsidRDefault="00EA3774" w:rsidP="00A34B7A">
      <w:pPr>
        <w:spacing w:line="360" w:lineRule="auto"/>
        <w:jc w:val="center"/>
        <w:rPr>
          <w:rFonts w:eastAsia="Arial Unicode MS"/>
        </w:rPr>
      </w:pPr>
      <w:r>
        <w:rPr>
          <w:rFonts w:eastAsia="Arial Unicode MS"/>
          <w:noProof/>
          <w:lang w:eastAsia="en-US"/>
        </w:rPr>
        <w:pict>
          <v:shape id="_x0000_s1049" type="#_x0000_t202" style="position:absolute;left:0;text-align:left;margin-left:-6.05pt;margin-top:288.35pt;width:427.25pt;height:55.15pt;z-index:251688960;mso-height-percent:200;mso-height-percent:200;mso-width-relative:margin;mso-height-relative:margin" stroked="f">
            <v:textbox style="mso-next-textbox:#_x0000_s1049;mso-fit-shape-to-text:t">
              <w:txbxContent>
                <w:p w:rsidR="00B34B0F" w:rsidRPr="00402B83" w:rsidRDefault="00B34B0F" w:rsidP="00A34B7A">
                  <w:pPr>
                    <w:jc w:val="both"/>
                  </w:pPr>
                  <w:r w:rsidRPr="00402B83">
                    <w:t xml:space="preserve">Foto n.º 5.1- </w:t>
                  </w:r>
                  <w:r>
                    <w:t>Aspeto de um momento de prospeções</w:t>
                  </w:r>
                  <w:r w:rsidRPr="00402B83">
                    <w:t xml:space="preserve"> gerais do terreno (</w:t>
                  </w:r>
                  <w:r>
                    <w:t>alínea</w:t>
                  </w:r>
                  <w:r w:rsidRPr="00402B83">
                    <w:t xml:space="preserve"> </w:t>
                  </w:r>
                  <w:r>
                    <w:t>iv</w:t>
                  </w:r>
                  <w:r w:rsidRPr="00402B83">
                    <w:t>).</w:t>
                  </w:r>
                  <w:r>
                    <w:t xml:space="preserve"> Contato com a população local que permitiu a identificação de um aqueduto romano, não contemplado neste estudo.</w:t>
                  </w:r>
                </w:p>
              </w:txbxContent>
            </v:textbox>
          </v:shape>
        </w:pict>
      </w:r>
      <w:r w:rsidR="00A34B7A">
        <w:rPr>
          <w:rFonts w:eastAsia="Arial Unicode MS"/>
          <w:noProof/>
        </w:rPr>
        <w:drawing>
          <wp:inline distT="0" distB="0" distL="0" distR="0">
            <wp:extent cx="5314950" cy="3657600"/>
            <wp:effectExtent l="19050" t="0" r="0" b="0"/>
            <wp:docPr id="19" name="Imagem 2" descr="prospecçõ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specções"/>
                    <pic:cNvPicPr>
                      <a:picLocks noChangeAspect="1" noChangeArrowheads="1"/>
                    </pic:cNvPicPr>
                  </pic:nvPicPr>
                  <pic:blipFill>
                    <a:blip r:embed="rId29" cstate="print"/>
                    <a:srcRect/>
                    <a:stretch>
                      <a:fillRect/>
                    </a:stretch>
                  </pic:blipFill>
                  <pic:spPr bwMode="auto">
                    <a:xfrm>
                      <a:off x="0" y="0"/>
                      <a:ext cx="5314950" cy="3657600"/>
                    </a:xfrm>
                    <a:prstGeom prst="rect">
                      <a:avLst/>
                    </a:prstGeom>
                    <a:noFill/>
                    <a:ln w="9525">
                      <a:noFill/>
                      <a:miter lim="800000"/>
                      <a:headEnd/>
                      <a:tailEnd/>
                    </a:ln>
                  </pic:spPr>
                </pic:pic>
              </a:graphicData>
            </a:graphic>
          </wp:inline>
        </w:drawing>
      </w:r>
    </w:p>
    <w:p w:rsidR="00A34B7A" w:rsidRPr="000F617F" w:rsidRDefault="00A34B7A" w:rsidP="00A34B7A">
      <w:pPr>
        <w:spacing w:line="360" w:lineRule="auto"/>
        <w:jc w:val="both"/>
        <w:rPr>
          <w:rFonts w:eastAsia="Arial Unicode MS"/>
        </w:rPr>
      </w:pPr>
    </w:p>
    <w:p w:rsidR="00A34B7A" w:rsidRPr="000F617F" w:rsidRDefault="00A34B7A" w:rsidP="00A34B7A">
      <w:pPr>
        <w:spacing w:line="360" w:lineRule="auto"/>
        <w:jc w:val="both"/>
        <w:rPr>
          <w:rFonts w:eastAsia="Arial Unicode MS"/>
        </w:rPr>
      </w:pPr>
    </w:p>
    <w:p w:rsidR="00A34B7A" w:rsidRPr="000F617F" w:rsidRDefault="00A34B7A" w:rsidP="00A34B7A">
      <w:pPr>
        <w:spacing w:line="360" w:lineRule="auto"/>
        <w:jc w:val="both"/>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w:t>
      </w:r>
      <w:r>
        <w:rPr>
          <w:rFonts w:eastAsia="Arial Unicode MS"/>
        </w:rPr>
        <w:t>Prospeção</w:t>
      </w:r>
      <w:r w:rsidRPr="000F617F">
        <w:rPr>
          <w:rFonts w:eastAsia="Arial Unicode MS"/>
        </w:rPr>
        <w:t xml:space="preserve"> sistemática, pedestre, das zonas que passaram pelo crivo da anterior alínea. Nesta fase, a equipa de </w:t>
      </w:r>
      <w:r>
        <w:rPr>
          <w:rFonts w:eastAsia="Arial Unicode MS"/>
        </w:rPr>
        <w:t>prospeção</w:t>
      </w:r>
      <w:r w:rsidRPr="000F617F">
        <w:rPr>
          <w:rFonts w:eastAsia="Arial Unicode MS"/>
        </w:rPr>
        <w:t xml:space="preserve"> realiza a </w:t>
      </w:r>
      <w:r>
        <w:rPr>
          <w:rFonts w:eastAsia="Arial Unicode MS"/>
        </w:rPr>
        <w:t>prospeção</w:t>
      </w:r>
      <w:r w:rsidRPr="000F617F">
        <w:rPr>
          <w:rFonts w:eastAsia="Arial Unicode MS"/>
        </w:rPr>
        <w:t xml:space="preserve"> sistemática de uma determinada área de forma a verificar a existência de materiais arqueológicos que possam indiciar a presença de estações arqueológicas do período Paleolítico;</w:t>
      </w:r>
    </w:p>
    <w:p w:rsidR="00A34B7A" w:rsidRPr="000F617F" w:rsidRDefault="00A34B7A" w:rsidP="00A34B7A">
      <w:pPr>
        <w:pStyle w:val="PargrafodaLista"/>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Prospeção </w:t>
      </w:r>
      <w:proofErr w:type="gramStart"/>
      <w:r w:rsidRPr="000F617F">
        <w:rPr>
          <w:rFonts w:eastAsia="Arial Unicode MS"/>
        </w:rPr>
        <w:t>pedestre de pormenor dos locais identificad</w:t>
      </w:r>
      <w:r>
        <w:rPr>
          <w:rFonts w:eastAsia="Arial Unicode MS"/>
        </w:rPr>
        <w:t>os como potenciais</w:t>
      </w:r>
      <w:proofErr w:type="gramEnd"/>
      <w:r>
        <w:rPr>
          <w:rFonts w:eastAsia="Arial Unicode MS"/>
        </w:rPr>
        <w:t xml:space="preserve"> </w:t>
      </w:r>
      <w:r w:rsidRPr="000F617F">
        <w:rPr>
          <w:rFonts w:eastAsia="Arial Unicode MS"/>
        </w:rPr>
        <w:t xml:space="preserve">estações do Paleolítico. Esta fase tem como </w:t>
      </w:r>
      <w:r>
        <w:rPr>
          <w:rFonts w:eastAsia="Arial Unicode MS"/>
        </w:rPr>
        <w:t>objetivo</w:t>
      </w:r>
      <w:r w:rsidRPr="000F617F">
        <w:rPr>
          <w:rFonts w:eastAsia="Arial Unicode MS"/>
        </w:rPr>
        <w:t xml:space="preserve"> a definição de áreas de dispersão de materiais, zonas de concentração de vestígios e, se possível, caracterização tipo-tecnológica mais precisa dos vestígios e atribuição cronológica da ocupação;</w:t>
      </w:r>
    </w:p>
    <w:p w:rsidR="00A34B7A" w:rsidRPr="000F617F" w:rsidRDefault="00A34B7A" w:rsidP="00A34B7A">
      <w:pPr>
        <w:pStyle w:val="PargrafodaLista"/>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     Os sítios identificados foram descritos nas fichas de </w:t>
      </w:r>
      <w:r>
        <w:rPr>
          <w:rFonts w:eastAsia="Arial Unicode MS"/>
        </w:rPr>
        <w:t>prospeção</w:t>
      </w:r>
      <w:r w:rsidRPr="000F617F">
        <w:rPr>
          <w:rFonts w:eastAsia="Arial Unicode MS"/>
        </w:rPr>
        <w:t>, que seguiam, na generalidade, o formato das fichas de sítio aconselhadas pela tutela. Realizou-se também um registo fotográfico de inserção paisagística da ár</w:t>
      </w:r>
      <w:r>
        <w:rPr>
          <w:rFonts w:eastAsia="Arial Unicode MS"/>
        </w:rPr>
        <w:t>ea envolvente, da ocupação dete</w:t>
      </w:r>
      <w:r w:rsidRPr="000F617F">
        <w:rPr>
          <w:rFonts w:eastAsia="Arial Unicode MS"/>
        </w:rPr>
        <w:t>tada propriamente dita e dos materiais mais relevantes encontrados. O registo cartográfico realizou-se sobre carta militar à escala 1:25000, sendo representados por pontos nos casos de estações de menores dimensão e por manchas de dispersão no caso das estações com maior área.</w:t>
      </w:r>
    </w:p>
    <w:p w:rsidR="00A34B7A" w:rsidRPr="000F617F" w:rsidRDefault="00A34B7A" w:rsidP="00A34B7A">
      <w:pPr>
        <w:pStyle w:val="PargrafodaLista"/>
        <w:rPr>
          <w:rFonts w:eastAsia="Arial Unicode MS"/>
        </w:rPr>
      </w:pPr>
    </w:p>
    <w:p w:rsidR="00A34B7A" w:rsidRPr="000F617F" w:rsidRDefault="00A34B7A" w:rsidP="00A34B7A">
      <w:pPr>
        <w:numPr>
          <w:ilvl w:val="0"/>
          <w:numId w:val="9"/>
        </w:numPr>
        <w:spacing w:line="360" w:lineRule="auto"/>
        <w:jc w:val="both"/>
        <w:rPr>
          <w:rFonts w:eastAsia="Arial Unicode MS"/>
        </w:rPr>
      </w:pPr>
      <w:r w:rsidRPr="000F617F">
        <w:rPr>
          <w:rFonts w:eastAsia="Arial Unicode MS"/>
        </w:rPr>
        <w:t xml:space="preserve">Durante estas fases e a posterior fase de escavações sempre se privilegiou o contacto </w:t>
      </w:r>
      <w:r>
        <w:rPr>
          <w:rFonts w:eastAsia="Arial Unicode MS"/>
        </w:rPr>
        <w:t>direto</w:t>
      </w:r>
      <w:r w:rsidRPr="000F617F">
        <w:rPr>
          <w:rFonts w:eastAsia="Arial Unicode MS"/>
        </w:rPr>
        <w:t xml:space="preserve"> com os arqueólogos, investigadores, instituições e associações que trabalham na área onde se desenvolvia esta PNTA com o intuito de fomentar o diálogo e o fluxo de informação sobre o quaternário desta área. Este procedimento viria a revelar-se fundamental para a consecução dos </w:t>
      </w:r>
      <w:r>
        <w:rPr>
          <w:rFonts w:eastAsia="Arial Unicode MS"/>
        </w:rPr>
        <w:t>objetivo</w:t>
      </w:r>
      <w:r w:rsidRPr="000F617F">
        <w:rPr>
          <w:rFonts w:eastAsia="Arial Unicode MS"/>
        </w:rPr>
        <w:t>s propostos nesta tese, nomeadamente nas parcerias conseguidas com as universidades de Ghent (Bélgica), Coimbra e Évora para a realização de datações das jazidas apresentadas nesta dissertação. A cooperação realizada com a universidade de Coimbra foi ainda fulcral para uma melhor definição dos terraços quaternários do Tejo na envolvente às Portas de Ródão.</w:t>
      </w:r>
    </w:p>
    <w:p w:rsidR="00A34B7A" w:rsidRPr="000F617F" w:rsidRDefault="00A34B7A" w:rsidP="00A34B7A">
      <w:pPr>
        <w:autoSpaceDE w:val="0"/>
        <w:autoSpaceDN w:val="0"/>
        <w:adjustRightInd w:val="0"/>
        <w:rPr>
          <w:b/>
          <w:u w:val="single"/>
        </w:rPr>
      </w:pPr>
    </w:p>
    <w:p w:rsidR="00A34B7A" w:rsidRPr="000F617F" w:rsidRDefault="00A34B7A" w:rsidP="00A34B7A">
      <w:pPr>
        <w:autoSpaceDE w:val="0"/>
        <w:autoSpaceDN w:val="0"/>
        <w:adjustRightInd w:val="0"/>
        <w:rPr>
          <w:b/>
          <w:u w:val="single"/>
        </w:rPr>
      </w:pPr>
    </w:p>
    <w:p w:rsidR="00A34B7A" w:rsidRPr="000F617F" w:rsidRDefault="00A34B7A" w:rsidP="00A34B7A">
      <w:pPr>
        <w:autoSpaceDE w:val="0"/>
        <w:autoSpaceDN w:val="0"/>
        <w:adjustRightInd w:val="0"/>
        <w:rPr>
          <w:b/>
          <w:u w:val="single"/>
        </w:rPr>
      </w:pPr>
    </w:p>
    <w:p w:rsidR="00A34B7A" w:rsidRPr="000F617F" w:rsidRDefault="00A34B7A" w:rsidP="00A34B7A">
      <w:pPr>
        <w:numPr>
          <w:ilvl w:val="2"/>
          <w:numId w:val="1"/>
        </w:numPr>
        <w:autoSpaceDE w:val="0"/>
        <w:autoSpaceDN w:val="0"/>
        <w:adjustRightInd w:val="0"/>
      </w:pPr>
      <w:r w:rsidRPr="000F617F">
        <w:t>Escavações.</w:t>
      </w:r>
    </w:p>
    <w:p w:rsidR="00A34B7A" w:rsidRPr="000F617F" w:rsidRDefault="00A34B7A" w:rsidP="00A34B7A">
      <w:pPr>
        <w:autoSpaceDE w:val="0"/>
        <w:autoSpaceDN w:val="0"/>
        <w:adjustRightInd w:val="0"/>
        <w:ind w:left="720"/>
        <w:rPr>
          <w:b/>
        </w:rPr>
      </w:pPr>
    </w:p>
    <w:p w:rsidR="00A34B7A" w:rsidRPr="000F617F" w:rsidRDefault="00A34B7A" w:rsidP="00A34B7A">
      <w:pPr>
        <w:autoSpaceDE w:val="0"/>
        <w:autoSpaceDN w:val="0"/>
        <w:adjustRightInd w:val="0"/>
        <w:rPr>
          <w:b/>
          <w:u w:val="single"/>
        </w:rPr>
      </w:pPr>
    </w:p>
    <w:p w:rsidR="00A34B7A" w:rsidRPr="000F617F" w:rsidRDefault="00A34B7A" w:rsidP="00A34B7A">
      <w:pPr>
        <w:autoSpaceDE w:val="0"/>
        <w:autoSpaceDN w:val="0"/>
        <w:adjustRightInd w:val="0"/>
        <w:spacing w:line="360" w:lineRule="auto"/>
        <w:ind w:firstLine="480"/>
        <w:jc w:val="both"/>
      </w:pPr>
      <w:r w:rsidRPr="000F617F">
        <w:t xml:space="preserve">Para conseguir as </w:t>
      </w:r>
      <w:r>
        <w:t>coleções</w:t>
      </w:r>
      <w:r w:rsidRPr="000F617F">
        <w:t xml:space="preserve"> arqueológicas inéditas que constituem a espinha vertebral deste trabalho foi necessário recorrer a escavações. Uma vez a fase de </w:t>
      </w:r>
      <w:r>
        <w:t>prospeções</w:t>
      </w:r>
      <w:r w:rsidRPr="000F617F">
        <w:t xml:space="preserve"> concluídas e o diagnóstico prévio das estações realizado, definiram-se três ocupações humanas com indícios de poderem fornecer elementos relevantes sobre a temática em estudo: Pegos do Tejo 2, Azinhal e Tapada do Montinho. Foi </w:t>
      </w:r>
      <w:r>
        <w:t>adotada</w:t>
      </w:r>
      <w:r w:rsidRPr="000F617F">
        <w:t xml:space="preserve"> uma metodologia geral para todos estes sítios que partiu da implantação de uma quadrícula ortogonal no terreno, com uma malha de um metro quadrado nas áreas anteriormente definidas como mais auspiciosas. Esta quadrícula seguiu, genericamente mas não unicamente, o método de Meroc e Laplace (Laplace, 1971). Cada quadrado desta rede é </w:t>
      </w:r>
      <w:r w:rsidRPr="000F617F">
        <w:lastRenderedPageBreak/>
        <w:t xml:space="preserve">nomeado através de um código alfanumérico. Para permitir termos de comparação decidiu-se escavar aproximadamente a mesma área nas três estações em causa, cerca de oito metros quadrados. Apenas na estação Pegos do Tejo 2 esta área foi inferior tendo sido escavados cerca de sete metros quadrados. </w:t>
      </w:r>
    </w:p>
    <w:p w:rsidR="00A34B7A" w:rsidRPr="000F617F" w:rsidRDefault="00A34B7A" w:rsidP="00A34B7A">
      <w:pPr>
        <w:autoSpaceDE w:val="0"/>
        <w:autoSpaceDN w:val="0"/>
        <w:adjustRightInd w:val="0"/>
        <w:spacing w:line="360" w:lineRule="auto"/>
        <w:ind w:firstLine="480"/>
        <w:jc w:val="both"/>
      </w:pPr>
      <w:r w:rsidRPr="000F617F">
        <w:t>No que ao método de escavação propriamente diz respeito, recorreu-se ao método de decapagem por camadas naturais no sentido inverso ao da sua deposição natural. De forma a identificar possíveis diferenças estratigráficas e, devido à espessura das camadas naturais, optou-se também por subdividir estas em níveis artificiais de 10 cm e, no caso dos Pegos do Tejo 2, em níveis de 5 cm. Os sedimentos, tendo em conta o tipo de solo da área, foram crivados a seco com recurso a crivos com malha de 3 mm. O material exumado foi devidamente processado e georreferenciado tridimensionalmente, embora em alguns casos se tenha optado por escavação por quadrante como se verá mais adiante. Cada nível artificial foi alvo de registo gráfico em escala 1/10 e registo fotográfico em suporte digital.</w:t>
      </w: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r w:rsidRPr="000F617F">
        <w:rPr>
          <w:b/>
        </w:rPr>
        <w:t xml:space="preserve">5.1.3- </w:t>
      </w:r>
      <w:r w:rsidRPr="000F617F">
        <w:t>Estratigrafia.</w:t>
      </w:r>
    </w:p>
    <w:p w:rsidR="00A34B7A" w:rsidRPr="000F617F" w:rsidRDefault="00A34B7A" w:rsidP="00A34B7A">
      <w:pPr>
        <w:autoSpaceDE w:val="0"/>
        <w:autoSpaceDN w:val="0"/>
        <w:adjustRightInd w:val="0"/>
        <w:spacing w:line="360" w:lineRule="auto"/>
        <w:ind w:firstLine="708"/>
        <w:jc w:val="both"/>
        <w:rPr>
          <w:color w:val="FF0000"/>
        </w:rPr>
      </w:pPr>
    </w:p>
    <w:p w:rsidR="00A34B7A" w:rsidRPr="000F617F" w:rsidRDefault="00A34B7A" w:rsidP="00A34B7A">
      <w:pPr>
        <w:autoSpaceDE w:val="0"/>
        <w:autoSpaceDN w:val="0"/>
        <w:adjustRightInd w:val="0"/>
        <w:spacing w:line="360" w:lineRule="auto"/>
        <w:ind w:firstLine="708"/>
        <w:jc w:val="both"/>
        <w:rPr>
          <w:i/>
          <w:iCs/>
        </w:rPr>
      </w:pPr>
      <w:r w:rsidRPr="000F617F">
        <w:t>A análise estratigráfica teve em conta os pressupostos definidos por Angelucci, 2003 e Goldberg e MacPhail, 2006. Nesse sentido os trabalhos de escavação permitiram a definição de cortes estratigráficos e o seu posterior registo e descrição. No campo, a individualização das camadas arqueológicas que compõem os cortes estratigráficos seguiu os princípios gerais das GFU (</w:t>
      </w:r>
      <w:r w:rsidRPr="000F617F">
        <w:rPr>
          <w:i/>
          <w:iCs/>
        </w:rPr>
        <w:t>geoarchaeological field unit</w:t>
      </w:r>
      <w:r w:rsidRPr="000F617F">
        <w:t>) como a “unidade geoarqueológica de campo”, que é o elemento mínimo individual para a recolha de informações no</w:t>
      </w:r>
      <w:r w:rsidRPr="000F617F">
        <w:rPr>
          <w:i/>
          <w:iCs/>
        </w:rPr>
        <w:t xml:space="preserve"> </w:t>
      </w:r>
      <w:r w:rsidRPr="000F617F">
        <w:t>campo (Angelluci, 2003).</w:t>
      </w:r>
    </w:p>
    <w:p w:rsidR="00A34B7A" w:rsidRPr="000F617F" w:rsidRDefault="00A34B7A" w:rsidP="00A34B7A">
      <w:pPr>
        <w:autoSpaceDE w:val="0"/>
        <w:autoSpaceDN w:val="0"/>
        <w:adjustRightInd w:val="0"/>
        <w:spacing w:line="360" w:lineRule="auto"/>
        <w:ind w:firstLine="708"/>
        <w:jc w:val="both"/>
      </w:pPr>
      <w:r w:rsidRPr="000F617F">
        <w:t>A GFU define-se como um: “Corpo tridimensional separado do material adjacente por descontinuidades de qualquer tipo, ou, quando os seus limites não estejam patentes ou claros, diferente do material adjacente ou, alternativamente, diferenciado arbitrariamente por critérios topográficos ou arqueológicos” (Angelluci, 2003). Desta forma, uma GFU pode ser um corpo tridimensional:</w:t>
      </w:r>
    </w:p>
    <w:p w:rsidR="00A34B7A" w:rsidRPr="000F617F" w:rsidRDefault="00A34B7A" w:rsidP="00A34B7A">
      <w:pPr>
        <w:autoSpaceDE w:val="0"/>
        <w:autoSpaceDN w:val="0"/>
        <w:adjustRightInd w:val="0"/>
        <w:spacing w:line="360" w:lineRule="auto"/>
        <w:ind w:firstLine="708"/>
        <w:jc w:val="both"/>
      </w:pPr>
      <w:r w:rsidRPr="000F617F">
        <w:t xml:space="preserve">i) Composto por material sedimentar (ou materiais sedimentares, se organizados segundo um padrão reconhecível), natural ou cultural, diferente dos adjacentes; neste caso, o conceito de GFU corresponde com o conceito de unidade estratigráfica (ou </w:t>
      </w:r>
      <w:r w:rsidRPr="000F617F">
        <w:lastRenderedPageBreak/>
        <w:t>camada arqueológica, contexto arqueológico) geralmente utilizado na arqueologia estratigráfica europeia (</w:t>
      </w:r>
      <w:r w:rsidRPr="000F617F">
        <w:rPr>
          <w:iCs/>
        </w:rPr>
        <w:t>por</w:t>
      </w:r>
      <w:r w:rsidRPr="000F617F">
        <w:rPr>
          <w:i/>
          <w:iCs/>
        </w:rPr>
        <w:t xml:space="preserve"> </w:t>
      </w:r>
      <w:r w:rsidRPr="000F617F">
        <w:t>ex: Harris, 1989);</w:t>
      </w:r>
    </w:p>
    <w:p w:rsidR="00A34B7A" w:rsidRPr="000F617F" w:rsidRDefault="00A34B7A" w:rsidP="00A34B7A">
      <w:pPr>
        <w:autoSpaceDE w:val="0"/>
        <w:autoSpaceDN w:val="0"/>
        <w:adjustRightInd w:val="0"/>
        <w:spacing w:line="360" w:lineRule="auto"/>
        <w:ind w:firstLine="708"/>
        <w:jc w:val="both"/>
      </w:pPr>
      <w:proofErr w:type="gramStart"/>
      <w:r w:rsidRPr="000F617F">
        <w:t>ii</w:t>
      </w:r>
      <w:proofErr w:type="gramEnd"/>
      <w:r w:rsidRPr="000F617F">
        <w:t>) Composto por uma matriz pedogenética diferente das adjacentes; neste caso a GFU coincide com um horizonte de solo;</w:t>
      </w:r>
    </w:p>
    <w:p w:rsidR="00A34B7A" w:rsidRPr="000F617F" w:rsidRDefault="00A34B7A" w:rsidP="00A34B7A">
      <w:pPr>
        <w:autoSpaceDE w:val="0"/>
        <w:autoSpaceDN w:val="0"/>
        <w:adjustRightInd w:val="0"/>
        <w:spacing w:line="360" w:lineRule="auto"/>
        <w:ind w:firstLine="708"/>
        <w:jc w:val="both"/>
      </w:pPr>
      <w:proofErr w:type="gramStart"/>
      <w:r w:rsidRPr="000F617F">
        <w:t>iii</w:t>
      </w:r>
      <w:proofErr w:type="gramEnd"/>
      <w:r w:rsidRPr="000F617F">
        <w:t>) Que contém componentes, naturais ou culturais, que estão ausentes ou que são diferentes dos contidos no material adjacente; neste caso o conceito de GFU pode parcialmente corresponder ao de unidade estratigráfica ou de conjunto de achados;</w:t>
      </w:r>
    </w:p>
    <w:p w:rsidR="00A34B7A" w:rsidRPr="000F617F" w:rsidRDefault="00A34B7A" w:rsidP="00A34B7A">
      <w:pPr>
        <w:autoSpaceDE w:val="0"/>
        <w:autoSpaceDN w:val="0"/>
        <w:adjustRightInd w:val="0"/>
        <w:spacing w:line="360" w:lineRule="auto"/>
        <w:ind w:firstLine="708"/>
        <w:jc w:val="both"/>
      </w:pPr>
      <w:proofErr w:type="gramStart"/>
      <w:r w:rsidRPr="000F617F">
        <w:t>iv</w:t>
      </w:r>
      <w:proofErr w:type="gramEnd"/>
      <w:r w:rsidRPr="000F617F">
        <w:t>) Delimitado por uma descontinuidade de qualquer forma e tipo, incluindo as antrópicas;</w:t>
      </w:r>
    </w:p>
    <w:p w:rsidR="00A34B7A" w:rsidRPr="000F617F" w:rsidRDefault="00A34B7A" w:rsidP="00A34B7A">
      <w:pPr>
        <w:autoSpaceDE w:val="0"/>
        <w:autoSpaceDN w:val="0"/>
        <w:adjustRightInd w:val="0"/>
        <w:spacing w:line="360" w:lineRule="auto"/>
        <w:ind w:firstLine="708"/>
        <w:jc w:val="both"/>
      </w:pPr>
      <w:r w:rsidRPr="000F617F">
        <w:t xml:space="preserve">v) Definido, </w:t>
      </w:r>
      <w:proofErr w:type="gramStart"/>
      <w:r w:rsidRPr="000F617F">
        <w:rPr>
          <w:i/>
        </w:rPr>
        <w:t>a priori</w:t>
      </w:r>
      <w:proofErr w:type="gramEnd"/>
      <w:r w:rsidRPr="000F617F">
        <w:t>, entre duas superfícies arbitrárias de qualquer orientação no interior de um material aparentemente homogéneo, no caso de nenhuma das condições acima indicada se verificar; nesta última hipótese, a GFU coincide com o nível artificial utilizado por vezes em arqueologia como unidade operacional de escavação (Angelluci, 2003).</w:t>
      </w:r>
    </w:p>
    <w:p w:rsidR="00A34B7A" w:rsidRPr="000F617F" w:rsidRDefault="00A34B7A" w:rsidP="00A34B7A">
      <w:pPr>
        <w:spacing w:line="360" w:lineRule="auto"/>
        <w:jc w:val="both"/>
      </w:pPr>
      <w:r w:rsidRPr="000F617F">
        <w:tab/>
        <w:t xml:space="preserve">A descrição das GFU assentou num conjunto de características litoestratigráficas das unidades definidas e teve em consideração a cor, a textura, a composição, a espessura, o limite superior e o limite inferior (Goldberg e MacPhail, 2006). </w:t>
      </w:r>
    </w:p>
    <w:p w:rsidR="00A34B7A" w:rsidRPr="000F617F" w:rsidRDefault="00A34B7A" w:rsidP="00A34B7A">
      <w:pPr>
        <w:spacing w:line="360" w:lineRule="auto"/>
        <w:jc w:val="both"/>
      </w:pPr>
    </w:p>
    <w:p w:rsidR="00A34B7A" w:rsidRPr="000F617F" w:rsidRDefault="00A34B7A" w:rsidP="00A34B7A">
      <w:pPr>
        <w:autoSpaceDE w:val="0"/>
        <w:autoSpaceDN w:val="0"/>
        <w:adjustRightInd w:val="0"/>
        <w:spacing w:line="360" w:lineRule="auto"/>
        <w:jc w:val="both"/>
        <w:rPr>
          <w:b/>
        </w:rPr>
      </w:pPr>
      <w:r w:rsidRPr="000F617F">
        <w:rPr>
          <w:b/>
        </w:rPr>
        <w:t xml:space="preserve">5.1.4- </w:t>
      </w:r>
      <w:r w:rsidRPr="000F617F">
        <w:t>Datações.</w:t>
      </w:r>
    </w:p>
    <w:p w:rsidR="00A34B7A" w:rsidRPr="000F617F" w:rsidRDefault="00A34B7A" w:rsidP="00A34B7A">
      <w:pPr>
        <w:autoSpaceDE w:val="0"/>
        <w:autoSpaceDN w:val="0"/>
        <w:adjustRightInd w:val="0"/>
        <w:spacing w:line="360" w:lineRule="auto"/>
        <w:ind w:firstLine="708"/>
        <w:jc w:val="both"/>
      </w:pPr>
    </w:p>
    <w:p w:rsidR="00A34B7A" w:rsidRPr="000F617F" w:rsidRDefault="00A34B7A" w:rsidP="00A34B7A">
      <w:pPr>
        <w:autoSpaceDE w:val="0"/>
        <w:autoSpaceDN w:val="0"/>
        <w:adjustRightInd w:val="0"/>
        <w:spacing w:line="360" w:lineRule="auto"/>
        <w:jc w:val="both"/>
      </w:pPr>
      <w:r w:rsidRPr="000F617F">
        <w:t>5.1.4.1 Datações de OSL de sedimentos.</w:t>
      </w:r>
    </w:p>
    <w:p w:rsidR="00A34B7A" w:rsidRPr="000F617F" w:rsidRDefault="00A34B7A" w:rsidP="00A34B7A">
      <w:pPr>
        <w:autoSpaceDE w:val="0"/>
        <w:autoSpaceDN w:val="0"/>
        <w:adjustRightInd w:val="0"/>
        <w:spacing w:line="360" w:lineRule="auto"/>
        <w:ind w:firstLine="708"/>
        <w:jc w:val="both"/>
      </w:pPr>
    </w:p>
    <w:p w:rsidR="00A34B7A" w:rsidRPr="000F617F" w:rsidRDefault="00A34B7A" w:rsidP="00A34B7A">
      <w:pPr>
        <w:autoSpaceDE w:val="0"/>
        <w:autoSpaceDN w:val="0"/>
        <w:adjustRightInd w:val="0"/>
        <w:spacing w:line="360" w:lineRule="auto"/>
        <w:ind w:firstLine="708"/>
        <w:jc w:val="both"/>
      </w:pPr>
      <w:r w:rsidRPr="000F617F">
        <w:t xml:space="preserve">No que diz respeito às datações realizadas nos sítios que se irão apresentar posteriormente, devido à idade destas ocupações, consistiu na utilização de datação por OSL (Optical Stimulated Luminescence), em amostras de quartzo e feldspato recolhidos nos sedimentos. Esta técnica de datação permite medir o tempo passado desde que partículas sedimentares foram expostas pela última vez à luz solar </w:t>
      </w:r>
      <w:r w:rsidRPr="000F617F">
        <w:rPr>
          <w:color w:val="000000"/>
        </w:rPr>
        <w:t>(</w:t>
      </w:r>
      <w:r w:rsidRPr="000F617F">
        <w:t>Aitken, 1985, 1998, Murray e Wintle, 2003, Duller, 2004</w:t>
      </w:r>
      <w:r w:rsidRPr="000F617F">
        <w:rPr>
          <w:color w:val="000000"/>
        </w:rPr>
        <w:t>).</w:t>
      </w:r>
      <w:r w:rsidRPr="000F617F">
        <w:t xml:space="preserve"> Na Tapada do Montinho teve-se a oportunidade de utilizar uma variante inovadora deste método que apresentou resultados entusiasmantes quanto às possibilidades que oferece.</w:t>
      </w:r>
    </w:p>
    <w:p w:rsidR="00A34B7A" w:rsidRPr="000F617F" w:rsidRDefault="00A34B7A" w:rsidP="00A34B7A">
      <w:pPr>
        <w:autoSpaceDE w:val="0"/>
        <w:autoSpaceDN w:val="0"/>
        <w:adjustRightInd w:val="0"/>
        <w:spacing w:line="360" w:lineRule="auto"/>
        <w:ind w:firstLine="708"/>
        <w:jc w:val="both"/>
      </w:pPr>
      <w:r w:rsidRPr="000F617F">
        <w:t xml:space="preserve">As datações por OSL convencionais foram realizadas nos laboratórios de Ghent, para os sítios de Pegos do Tejo 2 e Azinhal, e pelo laboratório </w:t>
      </w:r>
      <w:r w:rsidRPr="000F617F">
        <w:rPr>
          <w:color w:val="000000"/>
        </w:rPr>
        <w:t>Risø</w:t>
      </w:r>
      <w:r w:rsidRPr="000F617F">
        <w:t xml:space="preserve">, da Dinamarca, para as datações da Tapada do Montinho. </w:t>
      </w:r>
    </w:p>
    <w:p w:rsidR="00A34B7A" w:rsidRPr="000F617F" w:rsidRDefault="00A34B7A" w:rsidP="00A34B7A">
      <w:pPr>
        <w:autoSpaceDE w:val="0"/>
        <w:autoSpaceDN w:val="0"/>
        <w:adjustRightInd w:val="0"/>
        <w:spacing w:line="360" w:lineRule="auto"/>
        <w:ind w:firstLine="708"/>
        <w:jc w:val="both"/>
        <w:rPr>
          <w:color w:val="000000"/>
        </w:rPr>
      </w:pPr>
      <w:r w:rsidRPr="000F617F">
        <w:rPr>
          <w:color w:val="000000"/>
        </w:rPr>
        <w:lastRenderedPageBreak/>
        <w:t>Devido ao facto de se basear na sensibilidade da luz, o processo de amostragem teve lugar em condições de obscuridade total, recorrendo a luz vermelha como forma de iluminação dos trabalhos. Os sedimentos são crivados a seco de forma a sep</w:t>
      </w:r>
      <w:r>
        <w:rPr>
          <w:color w:val="000000"/>
        </w:rPr>
        <w:t>arar grãos com fra</w:t>
      </w:r>
      <w:r w:rsidRPr="000F617F">
        <w:rPr>
          <w:color w:val="000000"/>
        </w:rPr>
        <w:t xml:space="preserve">ções de 180-250 μm, que posteriormente são tratados usando HCl (10%) e H2O2 (10%) </w:t>
      </w:r>
      <w:proofErr w:type="gramStart"/>
      <w:r w:rsidRPr="000F617F">
        <w:rPr>
          <w:color w:val="000000"/>
        </w:rPr>
        <w:t>paras</w:t>
      </w:r>
      <w:proofErr w:type="gramEnd"/>
      <w:r w:rsidRPr="000F617F">
        <w:rPr>
          <w:color w:val="000000"/>
        </w:rPr>
        <w:t xml:space="preserve"> remover os carbonatos e matéria orgânica, respectivamente. O K-felspato (b2.58 g/cm3) foi separado usando um</w:t>
      </w:r>
      <w:r>
        <w:rPr>
          <w:color w:val="000000"/>
        </w:rPr>
        <w:t>a solução líquida pesada de poli</w:t>
      </w:r>
      <w:r w:rsidRPr="000F617F">
        <w:rPr>
          <w:color w:val="000000"/>
        </w:rPr>
        <w:t xml:space="preserve">tungstátio de sódio. A camada externa dos grãos de K-feldspato foi eliminada com HF diluído (10%, 40 min.), de forma a minimizar qualquer contribuição de partículas alpha externas para a </w:t>
      </w:r>
      <w:r w:rsidRPr="000F617F">
        <w:rPr>
          <w:i/>
        </w:rPr>
        <w:t>dose rate</w:t>
      </w:r>
      <w:r w:rsidRPr="000F617F">
        <w:rPr>
          <w:i/>
          <w:color w:val="000000"/>
        </w:rPr>
        <w:t xml:space="preserve"> (</w:t>
      </w:r>
      <w:r w:rsidRPr="000F617F">
        <w:rPr>
          <w:color w:val="000000"/>
        </w:rPr>
        <w:t>Taxa de dose, taxa anual)</w:t>
      </w:r>
      <w:r w:rsidRPr="000F617F">
        <w:rPr>
          <w:i/>
          <w:color w:val="000000"/>
        </w:rPr>
        <w:t xml:space="preserve">. </w:t>
      </w:r>
      <w:r w:rsidRPr="000F617F">
        <w:rPr>
          <w:color w:val="000000"/>
        </w:rPr>
        <w:t xml:space="preserve">Finalmente foi novamente utilizado HCl (10%) para dissolver qualquer fluórido solúvel. O registo das doses equivalentes foi realizado em leitores Risø TL/DA-15 e TL/DA-16. As datações OSL resultam da divisão da dose equivalente (dose acumulada) pelo total </w:t>
      </w:r>
      <w:proofErr w:type="gramStart"/>
      <w:r w:rsidRPr="000F617F">
        <w:rPr>
          <w:color w:val="000000"/>
        </w:rPr>
        <w:t xml:space="preserve">das </w:t>
      </w:r>
      <w:r w:rsidRPr="000F617F">
        <w:rPr>
          <w:i/>
        </w:rPr>
        <w:t>dose</w:t>
      </w:r>
      <w:proofErr w:type="gramEnd"/>
      <w:r w:rsidRPr="000F617F">
        <w:rPr>
          <w:i/>
        </w:rPr>
        <w:t xml:space="preserve"> rates</w:t>
      </w:r>
      <w:r w:rsidRPr="000F617F">
        <w:t>.</w:t>
      </w:r>
      <w:r w:rsidRPr="000F617F">
        <w:rPr>
          <w:color w:val="000000"/>
        </w:rPr>
        <w:t xml:space="preserve"> Geralmente, a maior desvantagem do sinal OSL de quartzo mais sensível à luz e que satura por volta dos 200Gy, limitando a 150 Ka a sua aplicação </w:t>
      </w:r>
      <w:r w:rsidRPr="000F617F">
        <w:t xml:space="preserve">(Thomsen </w:t>
      </w:r>
      <w:r w:rsidRPr="000F617F">
        <w:rPr>
          <w:i/>
        </w:rPr>
        <w:t>et al</w:t>
      </w:r>
      <w:r w:rsidRPr="000F617F">
        <w:t>., 2008).</w:t>
      </w:r>
      <w:r w:rsidRPr="000F617F">
        <w:rPr>
          <w:color w:val="000000"/>
        </w:rPr>
        <w:t xml:space="preserve"> Na bacia do Tejo, devido às relativamente </w:t>
      </w:r>
      <w:proofErr w:type="gramStart"/>
      <w:r w:rsidR="00515C42">
        <w:rPr>
          <w:color w:val="000000"/>
        </w:rPr>
        <w:t xml:space="preserve">altas taxas anuais (3-5 Gy/Ka), </w:t>
      </w:r>
      <w:r w:rsidRPr="000F617F">
        <w:rPr>
          <w:color w:val="000000"/>
        </w:rPr>
        <w:t>a luminisciência sobre quartzo só é aconselhada para amostras</w:t>
      </w:r>
      <w:proofErr w:type="gramEnd"/>
      <w:r w:rsidRPr="000F617F">
        <w:rPr>
          <w:color w:val="000000"/>
        </w:rPr>
        <w:t xml:space="preserve"> mais recentes (menos de ~60 ka). Por essa razão foi decidido trabalhar com grãos de quartzo (180 – 250 μm) em todas as amostras sedimentares e em amostras de grãos de feldspatos ricos em K (180 – 250 μm) separados por densidade, para amostras mais antigas. Para conseguir as doses estimadas de quartzo usou-se um protocolo </w:t>
      </w:r>
      <w:proofErr w:type="gramStart"/>
      <w:r w:rsidRPr="00515C42">
        <w:rPr>
          <w:i/>
          <w:color w:val="000000"/>
        </w:rPr>
        <w:t>standard</w:t>
      </w:r>
      <w:proofErr w:type="gramEnd"/>
      <w:r w:rsidRPr="000F617F">
        <w:rPr>
          <w:color w:val="000000"/>
        </w:rPr>
        <w:t xml:space="preserve"> UV SAR com um pré-aquecimento a 200º C de 10 s, um corte de aquecimento a 180º C e uma estimulação azul a 125 º C. As doses estimadas em feldspatos foram conseguidas com recurso ao protocolo IRSL a 50º c descrito por </w:t>
      </w:r>
      <w:r w:rsidRPr="000F617F">
        <w:t xml:space="preserve">Cunha </w:t>
      </w:r>
      <w:r w:rsidRPr="000F617F">
        <w:rPr>
          <w:i/>
        </w:rPr>
        <w:t>et al.</w:t>
      </w:r>
      <w:r w:rsidRPr="000F617F">
        <w:t xml:space="preserve"> (2008)</w:t>
      </w:r>
      <w:r w:rsidRPr="000F617F">
        <w:rPr>
          <w:color w:val="000000"/>
        </w:rPr>
        <w:t xml:space="preserve">. As doses estimadas foram determinadas usando espectrometria de raios gamma de alta resolução em conjuntos de amostras </w:t>
      </w:r>
      <w:r w:rsidRPr="000F617F">
        <w:t xml:space="preserve">(Murray </w:t>
      </w:r>
      <w:r w:rsidRPr="000F617F">
        <w:rPr>
          <w:i/>
        </w:rPr>
        <w:t>et al.</w:t>
      </w:r>
      <w:r w:rsidRPr="000F617F">
        <w:t>, 1987).</w:t>
      </w:r>
      <w:r w:rsidRPr="000F617F">
        <w:rPr>
          <w:color w:val="000000"/>
        </w:rPr>
        <w:t xml:space="preserve"> As doses anuais determinaram-se usando espectrometria de resolução de raios gamma em conjuntos de amostras, assumindo conteúdos de K de 12.5±0.5% em K feldspatos. A média da taxa anual dos grãos ricos em K é Gy ka−1 (s=0.5 Gy; n=12), como K e Rb interno contribuindo com 0.84±0.04 Gy ka−1.</w:t>
      </w:r>
    </w:p>
    <w:p w:rsidR="00A34B7A" w:rsidRPr="000F617F" w:rsidRDefault="00A34B7A" w:rsidP="00A34B7A">
      <w:pPr>
        <w:autoSpaceDE w:val="0"/>
        <w:autoSpaceDN w:val="0"/>
        <w:adjustRightInd w:val="0"/>
        <w:spacing w:line="360" w:lineRule="auto"/>
        <w:jc w:val="both"/>
        <w:rPr>
          <w:color w:val="FF0000"/>
        </w:rPr>
      </w:pPr>
    </w:p>
    <w:p w:rsidR="00D92F53" w:rsidRPr="000F617F" w:rsidRDefault="00D92F53" w:rsidP="00A34B7A">
      <w:pPr>
        <w:autoSpaceDE w:val="0"/>
        <w:autoSpaceDN w:val="0"/>
        <w:adjustRightInd w:val="0"/>
        <w:spacing w:line="360" w:lineRule="auto"/>
        <w:jc w:val="both"/>
        <w:rPr>
          <w:color w:val="FF0000"/>
        </w:rPr>
      </w:pPr>
    </w:p>
    <w:p w:rsidR="00A34B7A" w:rsidRPr="000F617F" w:rsidRDefault="00A34B7A" w:rsidP="00A34B7A">
      <w:pPr>
        <w:autoSpaceDE w:val="0"/>
        <w:autoSpaceDN w:val="0"/>
        <w:adjustRightInd w:val="0"/>
        <w:spacing w:line="360" w:lineRule="auto"/>
        <w:jc w:val="both"/>
      </w:pPr>
      <w:r w:rsidRPr="000F617F">
        <w:t>5.1.4.2 Datações OSL sobre seixos.</w:t>
      </w:r>
    </w:p>
    <w:p w:rsidR="00A34B7A" w:rsidRPr="000F617F" w:rsidRDefault="00A34B7A" w:rsidP="00A34B7A">
      <w:pPr>
        <w:autoSpaceDE w:val="0"/>
        <w:autoSpaceDN w:val="0"/>
        <w:adjustRightInd w:val="0"/>
        <w:spacing w:line="360" w:lineRule="auto"/>
        <w:ind w:firstLine="708"/>
        <w:jc w:val="both"/>
      </w:pPr>
    </w:p>
    <w:p w:rsidR="00A34B7A" w:rsidRPr="000F617F" w:rsidRDefault="00A34B7A" w:rsidP="00A34B7A">
      <w:pPr>
        <w:autoSpaceDE w:val="0"/>
        <w:autoSpaceDN w:val="0"/>
        <w:adjustRightInd w:val="0"/>
        <w:spacing w:line="360" w:lineRule="auto"/>
        <w:ind w:firstLine="708"/>
        <w:jc w:val="both"/>
        <w:rPr>
          <w:color w:val="000000"/>
        </w:rPr>
      </w:pPr>
      <w:r w:rsidRPr="000F617F">
        <w:t xml:space="preserve">Na Tapada do </w:t>
      </w:r>
      <w:r>
        <w:t>Montinho não foi possível dataridiretamente</w:t>
      </w:r>
      <w:r w:rsidRPr="000F617F">
        <w:t xml:space="preserve"> os sedimentos onde foi recolhida a indústria lítica. A principal razão para esta impossibilidade teve a ver </w:t>
      </w:r>
      <w:r w:rsidRPr="000F617F">
        <w:lastRenderedPageBreak/>
        <w:t xml:space="preserve">com a posição estratigráfica do nível arqueológico, muito próximo da superfície, que inviabiliza a utilização do método. No entanto os canais de interdisciplinaridade que se propôs implementar neste </w:t>
      </w:r>
      <w:r>
        <w:t>projeto</w:t>
      </w:r>
      <w:r w:rsidRPr="000F617F">
        <w:t xml:space="preserve"> permitiram tentar uma nova forma de conseguir datações por OSL. Neste local optou-se por tentar datar </w:t>
      </w:r>
      <w:r>
        <w:t>diretamente</w:t>
      </w:r>
      <w:r w:rsidRPr="000F617F">
        <w:t xml:space="preserve"> os seixos que se encontravam no estrato arqueológico. Deste modo procedeu-se a medidas de OSL em seis seixos de quartzito (~8 cm de</w:t>
      </w:r>
      <w:r w:rsidRPr="000F617F">
        <w:rPr>
          <w:color w:val="000000"/>
        </w:rPr>
        <w:t xml:space="preserve"> diâmetro) realizadas tanto em lâminas delgadas (~1.5 mm de espessura) e em grãos (63 – 300 μm) de quartzo separados, recolhidos nos últimos 1.5 mm da superfície dos seixos </w:t>
      </w:r>
      <w:r w:rsidRPr="000F617F">
        <w:t xml:space="preserve">(Sohbati </w:t>
      </w:r>
      <w:r w:rsidRPr="000F617F">
        <w:rPr>
          <w:i/>
        </w:rPr>
        <w:t>et al</w:t>
      </w:r>
      <w:r w:rsidRPr="000F617F">
        <w:t>., 2012).</w:t>
      </w:r>
      <w:r w:rsidRPr="000F617F">
        <w:rPr>
          <w:color w:val="000000"/>
        </w:rPr>
        <w:t xml:space="preserve"> Foram observados os testes de rotina, associados ao protocolo SAR (</w:t>
      </w:r>
      <w:r w:rsidRPr="000F617F">
        <w:rPr>
          <w:i/>
          <w:color w:val="000000"/>
        </w:rPr>
        <w:t>single aliquot regenerative</w:t>
      </w:r>
      <w:r w:rsidRPr="000F617F">
        <w:rPr>
          <w:color w:val="000000"/>
        </w:rPr>
        <w:t xml:space="preserve">), incluindo </w:t>
      </w:r>
      <w:r w:rsidRPr="000F617F">
        <w:rPr>
          <w:i/>
          <w:color w:val="000000"/>
        </w:rPr>
        <w:t>ratios</w:t>
      </w:r>
      <w:r w:rsidRPr="000F617F">
        <w:rPr>
          <w:color w:val="000000"/>
        </w:rPr>
        <w:t xml:space="preserve"> de reciclagem, recuperação e restabelecimento da dose, tanto para as lâminas delgadas como para os grãos. A profundidade de penetração da luz foi investigada em dois seixos para recolher informação sobre a recuperação</w:t>
      </w:r>
      <w:r w:rsidRPr="000F617F">
        <w:rPr>
          <w:i/>
          <w:color w:val="000000"/>
        </w:rPr>
        <w:t xml:space="preserve"> </w:t>
      </w:r>
      <w:r w:rsidRPr="000F617F">
        <w:rPr>
          <w:color w:val="000000"/>
        </w:rPr>
        <w:t>do sinal de OSL na superfície dessas pedras. O modelo de li</w:t>
      </w:r>
      <w:r>
        <w:rPr>
          <w:color w:val="000000"/>
        </w:rPr>
        <w:t>xi</w:t>
      </w:r>
      <w:r w:rsidRPr="000F617F">
        <w:rPr>
          <w:color w:val="000000"/>
        </w:rPr>
        <w:t xml:space="preserve">viamento em profundidade proposto por Sohbati </w:t>
      </w:r>
      <w:r w:rsidRPr="000F617F">
        <w:rPr>
          <w:i/>
          <w:color w:val="000000"/>
        </w:rPr>
        <w:t>et al</w:t>
      </w:r>
      <w:r w:rsidRPr="000F617F">
        <w:rPr>
          <w:color w:val="000000"/>
        </w:rPr>
        <w:t xml:space="preserve"> (2011) foi melhorado tendo em consideração a taxa anual ambiental e as modificações que isso implica foram tidas em consideração. Os sedimentos que embalavam os seixos e as camadas superiores e inferiores ao nível arqueológico foram também datados por quartzo OSL e K-feldspato IRSL, de modo a ter possibilidade de comparação com os resultados das datações dos seixos. Debaixo de uma luz controlada de cor vermelha-alaranjada, as amostras, com 10 mm de diâmetro por 15 de comprimento, foram extraídas da superfície dos seixos usando brocas de diamante arrefecidas a água. Estas amostras cortaram-se posteriormente em lâminas de 1-1.5 mm usando-se para isso uma serra de diamante de 0.3 mm, arrefecida a água. A superfície das lâminas </w:t>
      </w:r>
      <w:r w:rsidRPr="000F617F">
        <w:t xml:space="preserve">foi tratada com HF a 40% durante 40 minutos e HCl a 10% durante 20 minutos para remover qualquer produto de alteração. Algumas lâminas superficiais foram esmagadas para recolher grãos. Para minimizar os possíveis efeitos do esmagamento, estas lâminas foram primeiro lavadas com </w:t>
      </w:r>
      <w:r w:rsidRPr="000F617F">
        <w:rPr>
          <w:color w:val="000000"/>
        </w:rPr>
        <w:t>HF (40%) durante 30 minutos para enfraquecer as ligações entre os grãos e posteriormente desagregadas recorrendo-se a um almofariz de ágata. Os grãos parcialmente desagregados foram crivados de 63-300 μm, aqueles com dimensões superiores 300 μm recolocaram-se em HF para mais 30 minutos. Este processo foi repetido várias vezes e finalmente, os grãos forma tratados por mais 30 minutos com HF para certificar que todos os grãos foram tratados por tempo superior a 1 hora. Ao tratamento com HF seguiu-se 40 minutos de tratamento com HCl a 10% para remover qualquer fluórido precipitado.</w:t>
      </w:r>
    </w:p>
    <w:p w:rsidR="00A34B7A" w:rsidRPr="000F617F" w:rsidRDefault="00A34B7A" w:rsidP="00A34B7A">
      <w:pPr>
        <w:autoSpaceDE w:val="0"/>
        <w:autoSpaceDN w:val="0"/>
        <w:adjustRightInd w:val="0"/>
        <w:spacing w:line="360" w:lineRule="auto"/>
        <w:jc w:val="both"/>
        <w:rPr>
          <w:color w:val="000000"/>
        </w:rPr>
      </w:pPr>
      <w:r w:rsidRPr="000F617F">
        <w:rPr>
          <w:color w:val="000000"/>
        </w:rPr>
        <w:lastRenderedPageBreak/>
        <w:t xml:space="preserve">  As amostras sedimentares foram processadas usando métodos convencionais já referidos anteriormente. As medições de luminescência realizaram-se recorrendo a um leitor Risø TL/OSL (modelo TL-DA 20). As medições de dose equivalente foram obtidas usando tanto as lâminas como os grãos, depois de testar a aplicabilidade do protocolo SAR e confirmada a certeza do </w:t>
      </w:r>
      <w:r w:rsidRPr="000F617F">
        <w:rPr>
          <w:i/>
        </w:rPr>
        <w:t>bleaching</w:t>
      </w:r>
      <w:r w:rsidRPr="000F617F">
        <w:rPr>
          <w:color w:val="000000"/>
        </w:rPr>
        <w:t xml:space="preserve"> total da superfície dos seixos antes da inumação. De cada um dos quatro seixos diferentes foram medidos três lâminas e nove alíquotas de grãos. </w:t>
      </w:r>
    </w:p>
    <w:p w:rsidR="00A34B7A" w:rsidRPr="000F617F" w:rsidRDefault="00A34B7A" w:rsidP="00A34B7A">
      <w:pPr>
        <w:autoSpaceDE w:val="0"/>
        <w:autoSpaceDN w:val="0"/>
        <w:adjustRightInd w:val="0"/>
        <w:rPr>
          <w:b/>
          <w:u w:val="single"/>
        </w:rPr>
      </w:pPr>
    </w:p>
    <w:p w:rsidR="00A34B7A" w:rsidRPr="000F617F" w:rsidRDefault="00A34B7A" w:rsidP="00A34B7A">
      <w:pPr>
        <w:autoSpaceDE w:val="0"/>
        <w:autoSpaceDN w:val="0"/>
        <w:adjustRightInd w:val="0"/>
        <w:rPr>
          <w:b/>
          <w:u w:val="single"/>
        </w:rPr>
      </w:pPr>
    </w:p>
    <w:p w:rsidR="00A34B7A" w:rsidRPr="000F617F" w:rsidRDefault="00A34B7A" w:rsidP="00A34B7A">
      <w:pPr>
        <w:autoSpaceDE w:val="0"/>
        <w:autoSpaceDN w:val="0"/>
        <w:adjustRightInd w:val="0"/>
        <w:rPr>
          <w:b/>
        </w:rPr>
      </w:pPr>
      <w:r w:rsidRPr="000F617F">
        <w:rPr>
          <w:b/>
        </w:rPr>
        <w:t xml:space="preserve">5.1.5- </w:t>
      </w:r>
      <w:r w:rsidRPr="000F617F">
        <w:t>Análise das indústrias líticas.</w:t>
      </w:r>
    </w:p>
    <w:p w:rsidR="00A34B7A" w:rsidRPr="000F617F" w:rsidRDefault="00A34B7A" w:rsidP="00A34B7A">
      <w:pPr>
        <w:autoSpaceDE w:val="0"/>
        <w:autoSpaceDN w:val="0"/>
        <w:adjustRightInd w:val="0"/>
      </w:pPr>
    </w:p>
    <w:p w:rsidR="00A34B7A" w:rsidRPr="000F617F" w:rsidRDefault="00A34B7A" w:rsidP="00A34B7A">
      <w:pPr>
        <w:autoSpaceDE w:val="0"/>
        <w:autoSpaceDN w:val="0"/>
        <w:adjustRightInd w:val="0"/>
      </w:pPr>
    </w:p>
    <w:p w:rsidR="00A34B7A" w:rsidRPr="000F617F" w:rsidRDefault="00A34B7A" w:rsidP="00A34B7A">
      <w:pPr>
        <w:autoSpaceDE w:val="0"/>
        <w:autoSpaceDN w:val="0"/>
        <w:adjustRightInd w:val="0"/>
        <w:spacing w:line="360" w:lineRule="auto"/>
        <w:ind w:firstLine="708"/>
        <w:jc w:val="both"/>
      </w:pPr>
      <w:r w:rsidRPr="000F617F">
        <w:t xml:space="preserve">A análise das indústrias líticas aqui apresentada baseia-se no conceito das cadeias operatórias. Este conceito foi inicialmente introduzido por André Leroi-Gourhan em 1964 (Leroi-Gourhan, 1990) como forma de estudar os comportamentos inerentes à produção de cultura material. Embora tenha sido apresentado por um pré-historiador, devido a sua abrangência este conceito foi adoptado por etnógrafos, historiadores das ciências e claro, arqueólogos (Tostevin, 2011). Os métodos a utilizar nesta tese assentam principalmente na análise da indústria lítica recolhida durante as escavações. Os artefactos são considerados os resultados do encadeamento de operações mentais de gestos técnicos com o </w:t>
      </w:r>
      <w:r>
        <w:t>objetivo</w:t>
      </w:r>
      <w:r w:rsidRPr="000F617F">
        <w:t xml:space="preserve"> de satisfazer uma necessidade (imediata ou não) seguindo um </w:t>
      </w:r>
      <w:r>
        <w:t>projeto</w:t>
      </w:r>
      <w:r w:rsidRPr="000F617F">
        <w:t xml:space="preserve"> preexistente (Perlés, 1990).</w:t>
      </w:r>
    </w:p>
    <w:p w:rsidR="00A34B7A" w:rsidRPr="000F617F" w:rsidRDefault="00A34B7A" w:rsidP="00A34B7A">
      <w:pPr>
        <w:autoSpaceDE w:val="0"/>
        <w:autoSpaceDN w:val="0"/>
        <w:adjustRightInd w:val="0"/>
        <w:spacing w:line="360" w:lineRule="auto"/>
        <w:ind w:firstLine="708"/>
        <w:jc w:val="both"/>
      </w:pPr>
      <w:r w:rsidRPr="000F617F">
        <w:t xml:space="preserve">O conceito de cadeia operatória permite uma representação ordenada e hierarquizada do processo de talhe lítico que culmina no fabrico de utensílios líticos. As principais etapas deste processo são a aquisição da matéria-prima, a preparação da produção, a produção propriamente ditas e o retoque (Tixier </w:t>
      </w:r>
      <w:r w:rsidRPr="000F617F">
        <w:rPr>
          <w:i/>
        </w:rPr>
        <w:t>et al</w:t>
      </w:r>
      <w:r w:rsidRPr="000F617F">
        <w:t xml:space="preserve">, 1980, Geneste, 1985, Pelegrin </w:t>
      </w:r>
      <w:r w:rsidRPr="000F617F">
        <w:rPr>
          <w:i/>
        </w:rPr>
        <w:t>et al</w:t>
      </w:r>
      <w:r w:rsidRPr="000F617F">
        <w:t xml:space="preserve">, 1988). A primeira utilidade da cadeia operatória é o estudo da origem das matérias-primas, e permitir uma definição temporal de um processo separando as etapas, sequências de gestos ou gestos isolados (Geneste, 1991). De um ponto de vista cognitivo, o conceito de cadeia operativa assume a produção lítica como sendo primeiro um </w:t>
      </w:r>
      <w:r>
        <w:t>projeto</w:t>
      </w:r>
      <w:r w:rsidRPr="000F617F">
        <w:t xml:space="preserve"> cognitivo que depois se traduz num esquema conceptual, concretizado através de gestos operacionais (Inizian </w:t>
      </w:r>
      <w:r w:rsidRPr="000F617F">
        <w:rPr>
          <w:i/>
        </w:rPr>
        <w:t>et al</w:t>
      </w:r>
      <w:r w:rsidRPr="000F617F">
        <w:t xml:space="preserve">, 1995). Embora sendo ainda influenciados </w:t>
      </w:r>
      <w:r>
        <w:t>por fa</w:t>
      </w:r>
      <w:r w:rsidRPr="000F617F">
        <w:t>tores humanos e naturais, é a constância ou recorrência destes gestos que permitem defini-los como intencionais (Sorressi e Geneste, 2011).</w:t>
      </w:r>
    </w:p>
    <w:p w:rsidR="00A34B7A" w:rsidRPr="000F617F" w:rsidRDefault="00A34B7A" w:rsidP="00A34B7A">
      <w:pPr>
        <w:autoSpaceDE w:val="0"/>
        <w:autoSpaceDN w:val="0"/>
        <w:adjustRightInd w:val="0"/>
        <w:spacing w:line="360" w:lineRule="auto"/>
        <w:ind w:firstLine="708"/>
        <w:jc w:val="both"/>
      </w:pPr>
      <w:r w:rsidRPr="000F617F">
        <w:lastRenderedPageBreak/>
        <w:t xml:space="preserve">Embora a necessidade de se criarem definições tipológicas melhor estruturadas para o Paleolítico Médio e Paleolítico Inferior, já estejam subjacentes ao trabalho de François Bordes (Bordes 1961), a adoção do conceito de cadeia operatória às indústrias líticas do Paleolítico Médio e Paleolítico Inferior foi, principalmente, fruto dos trabalhos de colegas e de antigos estudantes de Texier e Inizian. Foram surgindo, primeiro, trabalhos académicos (Geneste, 1985, Boëda, 1986) que depois se generalizaram na bibliografia destes períodos (Boëda, 1993 e Boëda, 1994). A consolidação da divulgação internacional do método das cadeias operatórias surgiu em 1995 com a obra de Dibble e Bar-Yosef (Dibble e Bar-Yosef, 1995). </w:t>
      </w:r>
    </w:p>
    <w:p w:rsidR="00A34B7A" w:rsidRPr="000F617F" w:rsidRDefault="00A34B7A" w:rsidP="00A34B7A">
      <w:pPr>
        <w:autoSpaceDE w:val="0"/>
        <w:autoSpaceDN w:val="0"/>
        <w:adjustRightInd w:val="0"/>
        <w:spacing w:line="360" w:lineRule="auto"/>
        <w:ind w:firstLine="708"/>
        <w:jc w:val="both"/>
      </w:pPr>
      <w:r w:rsidRPr="000F617F">
        <w:t xml:space="preserve">A recorrência a este método des </w:t>
      </w:r>
      <w:r w:rsidRPr="000F617F">
        <w:rPr>
          <w:i/>
        </w:rPr>
        <w:t>Chaines Operatoires</w:t>
      </w:r>
      <w:r w:rsidRPr="000F617F">
        <w:t xml:space="preserve"> não implica que não se tenha em atenção outras metodologias existentes sobre a análise de indústrias líticas. Uma dessas outras aproximações corresponde ao Sistema Lógico Analítico, cujo objetivo é conseguir mecanismos de descrição analíticos mais </w:t>
      </w:r>
      <w:proofErr w:type="gramStart"/>
      <w:r w:rsidRPr="000F617F">
        <w:t>coerentes</w:t>
      </w:r>
      <w:proofErr w:type="gramEnd"/>
      <w:r w:rsidRPr="000F617F">
        <w:t xml:space="preserve"> introduzido por Carbonell (Carbonell, 1983). Este sistema baseia-se principalmente na tipologia analítica de George Laplace, na perspetiva analítica e sistémica de D.L. Clarke e na lógica histórica de E. P. Thompson. Nos anos 90 do século passado este sistema de análise é revisto e são inseridos novos conceitos (Carbonell </w:t>
      </w:r>
      <w:r w:rsidRPr="000F617F">
        <w:rPr>
          <w:i/>
        </w:rPr>
        <w:t>et al</w:t>
      </w:r>
      <w:r w:rsidRPr="000F617F">
        <w:t xml:space="preserve">, 1992, Mosquera, 1995, Vaquero, 1997, Rodriguez, 1997). Para esta corrente, a tecnologia não é um artefacto mas sim um processo de produção, pelo que se de devem distinguir os segmentos que constituem a cadeia operativa e como estes se articulam ao longo da sequência de talhe. </w:t>
      </w:r>
      <w:proofErr w:type="gramStart"/>
      <w:r w:rsidRPr="000F617F">
        <w:t>A dinâmica negativo</w:t>
      </w:r>
      <w:proofErr w:type="gramEnd"/>
      <w:r w:rsidRPr="000F617F">
        <w:t xml:space="preserve">/positivo, para esta corrente, é a base da estruturação temporal do processo operativo. Desse modo, e resumindo, esta segmentação da cadeia operatória distingue-se entre bases positivas, caso o </w:t>
      </w:r>
      <w:r>
        <w:t>objeto</w:t>
      </w:r>
      <w:r w:rsidRPr="000F617F">
        <w:t xml:space="preserve"> em análise seja a base de onde se extraíram lascas, e bases positivas, essas mesmas lascas. Quando essas bases positivas são por sua vez alvo de novos levantamentos passam a ser bases negativas, mas neste caso de segunda geração e os levantamentos resultantes bases positivas também elas de segunda geração.  </w:t>
      </w:r>
    </w:p>
    <w:p w:rsidR="00A34B7A" w:rsidRPr="000F617F" w:rsidRDefault="00A34B7A" w:rsidP="00A34B7A">
      <w:pPr>
        <w:autoSpaceDE w:val="0"/>
        <w:autoSpaceDN w:val="0"/>
        <w:adjustRightInd w:val="0"/>
        <w:spacing w:line="360" w:lineRule="auto"/>
        <w:ind w:firstLine="708"/>
        <w:jc w:val="both"/>
        <w:rPr>
          <w:color w:val="FF0000"/>
        </w:rPr>
      </w:pPr>
    </w:p>
    <w:p w:rsidR="00A34B7A" w:rsidRPr="000F617F" w:rsidRDefault="00A34B7A" w:rsidP="00A34B7A">
      <w:pPr>
        <w:pStyle w:val="Corpodetexto"/>
        <w:spacing w:after="0" w:line="360" w:lineRule="auto"/>
        <w:ind w:right="-136" w:firstLine="708"/>
        <w:jc w:val="both"/>
      </w:pPr>
      <w:r w:rsidRPr="000F617F">
        <w:t xml:space="preserve">Para a análise das indústrias líticas, e resumindo, seguir-se-ão as metodologias apresentadas pela equipa de paleotecnologia do antigo Centro de Investigação em Paleoecologia e Arqueociências do Instituto Português de Arqueologia (Almeida </w:t>
      </w:r>
      <w:r w:rsidRPr="000F617F">
        <w:rPr>
          <w:i/>
        </w:rPr>
        <w:t>et al</w:t>
      </w:r>
      <w:r w:rsidRPr="000F617F">
        <w:t xml:space="preserve">, 2003) e que se passam a desenvolver. </w:t>
      </w:r>
    </w:p>
    <w:p w:rsidR="00A34B7A" w:rsidRPr="000F617F" w:rsidRDefault="00A34B7A" w:rsidP="00A34B7A">
      <w:pPr>
        <w:pStyle w:val="SemEspaamento"/>
        <w:spacing w:line="360" w:lineRule="auto"/>
        <w:ind w:firstLine="708"/>
        <w:jc w:val="both"/>
        <w:rPr>
          <w:rFonts w:ascii="Times New Roman" w:hAnsi="Times New Roman"/>
          <w:sz w:val="24"/>
          <w:szCs w:val="24"/>
        </w:rPr>
      </w:pPr>
      <w:r w:rsidRPr="000F617F">
        <w:rPr>
          <w:rFonts w:ascii="Times New Roman" w:hAnsi="Times New Roman"/>
          <w:sz w:val="24"/>
          <w:szCs w:val="24"/>
        </w:rPr>
        <w:t xml:space="preserve">A aproximação metodológica escolhida representa uma leitura de toda a história do artefacto lítico desde a matéria-prima de que é feito até ao momento do abandono, </w:t>
      </w:r>
      <w:r w:rsidRPr="000F617F">
        <w:rPr>
          <w:rFonts w:ascii="Times New Roman" w:hAnsi="Times New Roman"/>
          <w:sz w:val="24"/>
          <w:szCs w:val="24"/>
        </w:rPr>
        <w:lastRenderedPageBreak/>
        <w:t>passando por toda a cadeia operatória que o originou. O primeiro passo consiste na definição do tipo, do contexto, modalidades de aquisição e aprovis</w:t>
      </w:r>
      <w:r>
        <w:rPr>
          <w:rFonts w:ascii="Times New Roman" w:hAnsi="Times New Roman"/>
          <w:sz w:val="24"/>
          <w:szCs w:val="24"/>
        </w:rPr>
        <w:t>ionamento da matéria-prima sele</w:t>
      </w:r>
      <w:r w:rsidRPr="000F617F">
        <w:rPr>
          <w:rFonts w:ascii="Times New Roman" w:hAnsi="Times New Roman"/>
          <w:sz w:val="24"/>
          <w:szCs w:val="24"/>
        </w:rPr>
        <w:t xml:space="preserve">cionada pelo talhador. Esta análise depende do conhecimento da estação e da integridade dos vestígios nela exumados, como da qualidade e rigor do registo utilizado (Almeida </w:t>
      </w:r>
      <w:r w:rsidRPr="000F617F">
        <w:rPr>
          <w:rFonts w:ascii="Times New Roman" w:hAnsi="Times New Roman"/>
          <w:i/>
          <w:sz w:val="24"/>
          <w:szCs w:val="24"/>
        </w:rPr>
        <w:t>et al</w:t>
      </w:r>
      <w:r w:rsidRPr="000F617F">
        <w:rPr>
          <w:rFonts w:ascii="Times New Roman" w:hAnsi="Times New Roman"/>
          <w:sz w:val="24"/>
          <w:szCs w:val="24"/>
        </w:rPr>
        <w:t xml:space="preserve">, 2003). </w:t>
      </w:r>
      <w:r w:rsidRPr="000F617F">
        <w:rPr>
          <w:rFonts w:ascii="Times New Roman" w:hAnsi="Times New Roman"/>
          <w:sz w:val="24"/>
          <w:szCs w:val="24"/>
          <w:lang w:eastAsia="pt-PT"/>
        </w:rPr>
        <w:t>Nesse sen</w:t>
      </w:r>
      <w:r>
        <w:rPr>
          <w:rFonts w:ascii="Times New Roman" w:hAnsi="Times New Roman"/>
          <w:sz w:val="24"/>
          <w:szCs w:val="24"/>
          <w:lang w:eastAsia="pt-PT"/>
        </w:rPr>
        <w:t>tido, analisaram-se alguns aspe</w:t>
      </w:r>
      <w:r w:rsidRPr="000F617F">
        <w:rPr>
          <w:rFonts w:ascii="Times New Roman" w:hAnsi="Times New Roman"/>
          <w:sz w:val="24"/>
          <w:szCs w:val="24"/>
          <w:lang w:eastAsia="pt-PT"/>
        </w:rPr>
        <w:t>tos da matéria-prima que serviu para produzir a indústria lítica. Tentou primeiro perceber-se a proveniência das rochas a que recorreram os homens que viveram na bacia do Arneiro para produzir a suas ferramentas. Essa adscrição foi realizada recorrendo a observação macroscópica da indústria lítica. Além da determinação da origem com base numa observação macroscópica e comparação com amostras geológicas regionais</w:t>
      </w:r>
      <w:proofErr w:type="gramStart"/>
      <w:r w:rsidRPr="000F617F">
        <w:rPr>
          <w:rFonts w:ascii="Times New Roman" w:hAnsi="Times New Roman"/>
          <w:sz w:val="24"/>
          <w:szCs w:val="24"/>
          <w:lang w:eastAsia="pt-PT"/>
        </w:rPr>
        <w:t>,</w:t>
      </w:r>
      <w:proofErr w:type="gramEnd"/>
      <w:r w:rsidRPr="000F617F">
        <w:rPr>
          <w:rFonts w:ascii="Times New Roman" w:hAnsi="Times New Roman"/>
          <w:sz w:val="24"/>
          <w:szCs w:val="24"/>
          <w:lang w:eastAsia="pt-PT"/>
        </w:rPr>
        <w:t xml:space="preserve"> identificou-se, ainda, o formato da matéria-prima, a sua morfologia em “</w:t>
      </w:r>
      <w:r w:rsidRPr="000F617F">
        <w:rPr>
          <w:rFonts w:ascii="Times New Roman" w:hAnsi="Times New Roman"/>
          <w:i/>
          <w:sz w:val="24"/>
          <w:szCs w:val="24"/>
          <w:lang w:eastAsia="pt-PT"/>
        </w:rPr>
        <w:t>bruto</w:t>
      </w:r>
      <w:r w:rsidRPr="000F617F">
        <w:rPr>
          <w:rFonts w:ascii="Times New Roman" w:hAnsi="Times New Roman"/>
          <w:sz w:val="24"/>
          <w:szCs w:val="24"/>
          <w:lang w:eastAsia="pt-PT"/>
        </w:rPr>
        <w:t>” o ponto de partida de qualquer cadeia operatória. O tipo de roc</w:t>
      </w:r>
      <w:r>
        <w:rPr>
          <w:rFonts w:ascii="Times New Roman" w:hAnsi="Times New Roman"/>
          <w:sz w:val="24"/>
          <w:szCs w:val="24"/>
          <w:lang w:eastAsia="pt-PT"/>
        </w:rPr>
        <w:t>ha utilizado para talhar, um fa</w:t>
      </w:r>
      <w:r w:rsidRPr="000F617F">
        <w:rPr>
          <w:rFonts w:ascii="Times New Roman" w:hAnsi="Times New Roman"/>
          <w:sz w:val="24"/>
          <w:szCs w:val="24"/>
          <w:lang w:eastAsia="pt-PT"/>
        </w:rPr>
        <w:t xml:space="preserve">tor importante na análise da indústria lítica, também foi observado. Além desses elementos verificou-se ainda o estado físico das peças recolhidas e quando possível a distinção do tipo de percutor utilizado. </w:t>
      </w:r>
    </w:p>
    <w:p w:rsidR="00A34B7A" w:rsidRPr="000F617F" w:rsidRDefault="00A34B7A" w:rsidP="00A34B7A">
      <w:pPr>
        <w:pStyle w:val="SemEspaamento"/>
        <w:spacing w:line="360" w:lineRule="auto"/>
        <w:ind w:firstLine="708"/>
        <w:jc w:val="both"/>
        <w:rPr>
          <w:rFonts w:ascii="Times New Roman" w:hAnsi="Times New Roman"/>
          <w:sz w:val="24"/>
          <w:szCs w:val="24"/>
          <w:lang w:eastAsia="pt-PT"/>
        </w:rPr>
      </w:pPr>
      <w:r w:rsidRPr="000F617F">
        <w:rPr>
          <w:rFonts w:ascii="Times New Roman" w:hAnsi="Times New Roman"/>
          <w:sz w:val="24"/>
          <w:szCs w:val="24"/>
        </w:rPr>
        <w:t xml:space="preserve">Numa segunda fase, a leitura do </w:t>
      </w:r>
      <w:r>
        <w:rPr>
          <w:rFonts w:ascii="Times New Roman" w:hAnsi="Times New Roman"/>
          <w:sz w:val="24"/>
          <w:szCs w:val="24"/>
        </w:rPr>
        <w:t>objeto</w:t>
      </w:r>
      <w:r w:rsidRPr="000F617F">
        <w:rPr>
          <w:rFonts w:ascii="Times New Roman" w:hAnsi="Times New Roman"/>
          <w:sz w:val="24"/>
          <w:szCs w:val="24"/>
        </w:rPr>
        <w:t xml:space="preserve"> passa pelo seu posicionamento na </w:t>
      </w:r>
      <w:r w:rsidRPr="000F617F">
        <w:rPr>
          <w:rFonts w:ascii="Times New Roman" w:hAnsi="Times New Roman"/>
          <w:i/>
          <w:iCs/>
          <w:sz w:val="24"/>
          <w:szCs w:val="24"/>
        </w:rPr>
        <w:t xml:space="preserve">cadeia operatória </w:t>
      </w:r>
      <w:r w:rsidRPr="000F617F">
        <w:rPr>
          <w:rFonts w:ascii="Times New Roman" w:hAnsi="Times New Roman"/>
          <w:sz w:val="24"/>
          <w:szCs w:val="24"/>
        </w:rPr>
        <w:t xml:space="preserve">de produção. A utilização do </w:t>
      </w:r>
      <w:r w:rsidRPr="000F617F">
        <w:rPr>
          <w:rFonts w:ascii="Times New Roman" w:hAnsi="Times New Roman"/>
          <w:i/>
          <w:iCs/>
          <w:sz w:val="24"/>
          <w:szCs w:val="24"/>
        </w:rPr>
        <w:t xml:space="preserve">método das remontagens </w:t>
      </w:r>
      <w:r w:rsidRPr="000F617F">
        <w:rPr>
          <w:rFonts w:ascii="Times New Roman" w:hAnsi="Times New Roman"/>
          <w:sz w:val="24"/>
          <w:szCs w:val="24"/>
        </w:rPr>
        <w:t xml:space="preserve">permite restituir a ordem, a sequência de gestos e as modalidades de desbaste da pedra. Este processo é complementado por uma leitura atenta dos estigmas presentes nos artefactos, dos percalços encontrados, durante o talhe e das alterações sofridas pelo </w:t>
      </w:r>
      <w:r>
        <w:rPr>
          <w:rFonts w:ascii="Times New Roman" w:hAnsi="Times New Roman"/>
          <w:sz w:val="24"/>
          <w:szCs w:val="24"/>
        </w:rPr>
        <w:t>objeto</w:t>
      </w:r>
      <w:r w:rsidRPr="000F617F">
        <w:rPr>
          <w:rFonts w:ascii="Times New Roman" w:hAnsi="Times New Roman"/>
          <w:sz w:val="24"/>
          <w:szCs w:val="24"/>
        </w:rPr>
        <w:t xml:space="preserve"> após o seu abandono. Irá recorrer-se, sempre que necessário e possível, ao </w:t>
      </w:r>
      <w:r w:rsidRPr="000F617F">
        <w:rPr>
          <w:rFonts w:ascii="Times New Roman" w:hAnsi="Times New Roman"/>
          <w:i/>
          <w:iCs/>
          <w:sz w:val="24"/>
          <w:szCs w:val="24"/>
        </w:rPr>
        <w:t xml:space="preserve">talhe experimental, </w:t>
      </w:r>
      <w:r w:rsidRPr="000F617F">
        <w:rPr>
          <w:rFonts w:ascii="Times New Roman" w:hAnsi="Times New Roman"/>
          <w:sz w:val="24"/>
          <w:szCs w:val="24"/>
        </w:rPr>
        <w:t>orientado no sentido de</w:t>
      </w:r>
      <w:r w:rsidRPr="000F617F">
        <w:rPr>
          <w:rFonts w:ascii="Times New Roman" w:hAnsi="Times New Roman"/>
          <w:i/>
          <w:iCs/>
          <w:sz w:val="24"/>
          <w:szCs w:val="24"/>
        </w:rPr>
        <w:t xml:space="preserve"> </w:t>
      </w:r>
      <w:r w:rsidRPr="000F617F">
        <w:rPr>
          <w:rFonts w:ascii="Times New Roman" w:hAnsi="Times New Roman"/>
          <w:sz w:val="24"/>
          <w:szCs w:val="24"/>
        </w:rPr>
        <w:t xml:space="preserve">dar resposta a questões e problemas muito concretos. Numa terceira fase, a leitura do </w:t>
      </w:r>
      <w:r>
        <w:rPr>
          <w:rFonts w:ascii="Times New Roman" w:hAnsi="Times New Roman"/>
          <w:sz w:val="24"/>
          <w:szCs w:val="24"/>
        </w:rPr>
        <w:t>objeto</w:t>
      </w:r>
      <w:r w:rsidRPr="000F617F">
        <w:rPr>
          <w:rFonts w:ascii="Times New Roman" w:hAnsi="Times New Roman"/>
          <w:sz w:val="24"/>
          <w:szCs w:val="24"/>
        </w:rPr>
        <w:t xml:space="preserve"> passa pela procura de outros atributos técnicos, como a existência de retoque ou de estigmas de utilização, que o individualizam dos restantes (Almeida </w:t>
      </w:r>
      <w:r w:rsidRPr="000F617F">
        <w:rPr>
          <w:rFonts w:ascii="Times New Roman" w:hAnsi="Times New Roman"/>
          <w:i/>
          <w:sz w:val="24"/>
          <w:szCs w:val="24"/>
        </w:rPr>
        <w:t>et al</w:t>
      </w:r>
      <w:r w:rsidRPr="000F617F">
        <w:rPr>
          <w:rFonts w:ascii="Times New Roman" w:hAnsi="Times New Roman"/>
          <w:sz w:val="24"/>
          <w:szCs w:val="24"/>
        </w:rPr>
        <w:t xml:space="preserve">, 2003). </w:t>
      </w:r>
      <w:r w:rsidRPr="000F617F">
        <w:rPr>
          <w:rFonts w:ascii="Times New Roman" w:hAnsi="Times New Roman"/>
          <w:sz w:val="24"/>
          <w:szCs w:val="24"/>
          <w:lang w:eastAsia="pt-PT"/>
        </w:rPr>
        <w:t xml:space="preserve">Iniciou-se a caracterização da indústria lítica com distinção entre os produtos resultantes do talhe e as bases a partir das quais estes produtos foram conseguidos, os núcleos. Realizou-se uma caracterização morfológica recolhendo o comprimento, a largura e espessura máximos de todas as peças estudadas. Outro dos factores analisados prendeu-se com o número de negativos presentes nas peças que constituem o conjunto estudado e a orientação desses negativos. No que diz respeito ao talão registaram-se características que têm a ver com a sua forma nomeadamente a sua morfologia e o seu perfil baseado na descrição em Tixier, 1980. Além dessas características registaram-se todo um conjunto de medidas físicas que podem trazer alguma luz sobre o processo de talhe. Com esse fim foram tidos em consideração o </w:t>
      </w:r>
      <w:r w:rsidRPr="000F617F">
        <w:rPr>
          <w:rFonts w:ascii="Times New Roman" w:hAnsi="Times New Roman"/>
          <w:sz w:val="24"/>
          <w:szCs w:val="24"/>
          <w:lang w:eastAsia="pt-PT"/>
        </w:rPr>
        <w:lastRenderedPageBreak/>
        <w:t xml:space="preserve">comprimento, largura e </w:t>
      </w:r>
      <w:proofErr w:type="gramStart"/>
      <w:r w:rsidRPr="000F617F">
        <w:rPr>
          <w:rFonts w:ascii="Times New Roman" w:hAnsi="Times New Roman"/>
          <w:sz w:val="24"/>
          <w:szCs w:val="24"/>
          <w:lang w:eastAsia="pt-PT"/>
        </w:rPr>
        <w:t>espessura</w:t>
      </w:r>
      <w:proofErr w:type="gramEnd"/>
      <w:r w:rsidRPr="000F617F">
        <w:rPr>
          <w:rFonts w:ascii="Times New Roman" w:hAnsi="Times New Roman"/>
          <w:sz w:val="24"/>
          <w:szCs w:val="24"/>
          <w:lang w:eastAsia="pt-PT"/>
        </w:rPr>
        <w:t xml:space="preserve"> máximas. Por fim foi registado a existência de córtex na superfície do talão.</w:t>
      </w:r>
    </w:p>
    <w:p w:rsidR="00A34B7A" w:rsidRPr="000F617F" w:rsidRDefault="00A34B7A" w:rsidP="00A34B7A">
      <w:pPr>
        <w:autoSpaceDE w:val="0"/>
        <w:autoSpaceDN w:val="0"/>
        <w:adjustRightInd w:val="0"/>
        <w:spacing w:line="360" w:lineRule="auto"/>
        <w:ind w:firstLine="708"/>
        <w:jc w:val="both"/>
      </w:pPr>
      <w:r w:rsidRPr="000F617F">
        <w:t xml:space="preserve">O recurso à </w:t>
      </w:r>
      <w:r w:rsidRPr="000F617F">
        <w:rPr>
          <w:i/>
          <w:iCs/>
        </w:rPr>
        <w:t xml:space="preserve">análise tipológica </w:t>
      </w:r>
      <w:r w:rsidRPr="000F617F">
        <w:rPr>
          <w:iCs/>
        </w:rPr>
        <w:t>permite circunscrever</w:t>
      </w:r>
      <w:r w:rsidRPr="000F617F">
        <w:rPr>
          <w:i/>
          <w:iCs/>
        </w:rPr>
        <w:t xml:space="preserve"> </w:t>
      </w:r>
      <w:r w:rsidRPr="000F617F">
        <w:t xml:space="preserve">os utensílios a tipos ou categorias, segundo critérios de natureza fundamentalmente morfológica e funcional. O estabelecimento de listas-tipo de utensílios, a elaboração de gráficos cumulativos, o recurso à quantificação e estatística são alguns dos procedimentos analíticos utilizados pela Tipologia para seriar os vestígios materiais líticos e lhes atribuir um significado cronológico e cultural (Almeida </w:t>
      </w:r>
      <w:r w:rsidRPr="000F617F">
        <w:rPr>
          <w:i/>
        </w:rPr>
        <w:t>et al</w:t>
      </w:r>
      <w:r w:rsidRPr="000F617F">
        <w:t xml:space="preserve">, 2003). Continuou-se a análise tecnológica da indústria através da caracterização de retoques secundários, da identificação macroscópica de vestígios de uso e da identificação de alguns acidentes de talhe, nomeadamente o caso de acidentes de </w:t>
      </w:r>
      <w:r w:rsidRPr="000F617F">
        <w:rPr>
          <w:i/>
        </w:rPr>
        <w:t>Siret.</w:t>
      </w:r>
      <w:r w:rsidRPr="000F617F">
        <w:t xml:space="preserve"> Esta caracterização tem por </w:t>
      </w:r>
      <w:r>
        <w:t>objetivo</w:t>
      </w:r>
      <w:r w:rsidRPr="000F617F">
        <w:t xml:space="preserve"> tentar-se uma classificação tipológica dos vários elementos das indústrias estudadas.</w:t>
      </w:r>
      <w:r w:rsidRPr="000F617F">
        <w:tab/>
      </w:r>
    </w:p>
    <w:p w:rsidR="00A34B7A" w:rsidRPr="000F617F" w:rsidRDefault="00A34B7A" w:rsidP="00A34B7A">
      <w:pPr>
        <w:autoSpaceDE w:val="0"/>
        <w:autoSpaceDN w:val="0"/>
        <w:adjustRightInd w:val="0"/>
        <w:spacing w:line="360" w:lineRule="auto"/>
        <w:ind w:firstLine="708"/>
        <w:jc w:val="both"/>
      </w:pPr>
      <w:r w:rsidRPr="000F617F">
        <w:t xml:space="preserve">No que diz respeito aos núcleos, realizou-se a análise diacrítica dos núcleos, análise determinante para perceber as cadeias operatórias presentes nos sítios investigados. </w:t>
      </w:r>
    </w:p>
    <w:p w:rsidR="00A34B7A" w:rsidRPr="000F617F" w:rsidRDefault="00A34B7A" w:rsidP="00A34B7A">
      <w:pPr>
        <w:autoSpaceDE w:val="0"/>
        <w:autoSpaceDN w:val="0"/>
        <w:adjustRightInd w:val="0"/>
        <w:spacing w:line="360" w:lineRule="auto"/>
        <w:ind w:firstLine="708"/>
        <w:jc w:val="both"/>
      </w:pPr>
      <w:r w:rsidRPr="000F617F">
        <w:t xml:space="preserve">As </w:t>
      </w:r>
      <w:r>
        <w:t>perspe</w:t>
      </w:r>
      <w:r w:rsidRPr="000F617F">
        <w:t xml:space="preserve">tivas tipológicas e tecnológicas de abordagem das </w:t>
      </w:r>
      <w:r>
        <w:t>coleções</w:t>
      </w:r>
      <w:r w:rsidRPr="000F617F">
        <w:t xml:space="preserve"> líticas constituem-se, assim, como duas vias distintas, mas complementares e necessárias, de investigação arqueológica às quais este estudo irá recorrer (Almeida </w:t>
      </w:r>
      <w:r w:rsidRPr="000F617F">
        <w:rPr>
          <w:i/>
        </w:rPr>
        <w:t>et al</w:t>
      </w:r>
      <w:r w:rsidRPr="000F617F">
        <w:t>, 2003).</w:t>
      </w: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pPr>
    </w:p>
    <w:p w:rsidR="00D03F30" w:rsidRDefault="00D03F30" w:rsidP="00A34B7A">
      <w:pPr>
        <w:autoSpaceDE w:val="0"/>
        <w:autoSpaceDN w:val="0"/>
        <w:adjustRightInd w:val="0"/>
        <w:spacing w:line="360" w:lineRule="auto"/>
        <w:jc w:val="both"/>
      </w:pPr>
    </w:p>
    <w:p w:rsidR="00D03F30" w:rsidRDefault="00D03F30" w:rsidP="00A34B7A">
      <w:pPr>
        <w:autoSpaceDE w:val="0"/>
        <w:autoSpaceDN w:val="0"/>
        <w:adjustRightInd w:val="0"/>
        <w:spacing w:line="360" w:lineRule="auto"/>
        <w:jc w:val="both"/>
      </w:pPr>
    </w:p>
    <w:p w:rsidR="00D03F30" w:rsidRDefault="00D03F30" w:rsidP="00A34B7A">
      <w:pPr>
        <w:autoSpaceDE w:val="0"/>
        <w:autoSpaceDN w:val="0"/>
        <w:adjustRightInd w:val="0"/>
        <w:spacing w:line="360" w:lineRule="auto"/>
        <w:jc w:val="both"/>
      </w:pPr>
    </w:p>
    <w:p w:rsidR="00D03F30" w:rsidRPr="000F617F" w:rsidRDefault="00D03F30"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pPr>
    </w:p>
    <w:p w:rsidR="00D92F53" w:rsidRDefault="00D92F53" w:rsidP="00A34B7A">
      <w:pPr>
        <w:autoSpaceDE w:val="0"/>
        <w:autoSpaceDN w:val="0"/>
        <w:adjustRightInd w:val="0"/>
        <w:spacing w:line="360" w:lineRule="auto"/>
        <w:jc w:val="both"/>
      </w:pPr>
    </w:p>
    <w:p w:rsidR="00D92F53" w:rsidRPr="000F617F" w:rsidRDefault="00D92F53" w:rsidP="00A34B7A">
      <w:pPr>
        <w:autoSpaceDE w:val="0"/>
        <w:autoSpaceDN w:val="0"/>
        <w:adjustRightInd w:val="0"/>
        <w:spacing w:line="360" w:lineRule="auto"/>
        <w:jc w:val="both"/>
      </w:pPr>
    </w:p>
    <w:p w:rsidR="00A34B7A" w:rsidRPr="000F617F" w:rsidRDefault="00A34B7A" w:rsidP="00A34B7A">
      <w:pPr>
        <w:autoSpaceDE w:val="0"/>
        <w:autoSpaceDN w:val="0"/>
        <w:adjustRightInd w:val="0"/>
        <w:spacing w:line="360" w:lineRule="auto"/>
        <w:jc w:val="both"/>
      </w:pPr>
    </w:p>
    <w:p w:rsidR="00A34B7A" w:rsidRPr="000F617F" w:rsidRDefault="00A34B7A" w:rsidP="00A34B7A">
      <w:pPr>
        <w:spacing w:line="360" w:lineRule="auto"/>
        <w:jc w:val="both"/>
        <w:rPr>
          <w:b/>
        </w:rPr>
      </w:pPr>
      <w:r w:rsidRPr="000F617F">
        <w:rPr>
          <w:b/>
        </w:rPr>
        <w:lastRenderedPageBreak/>
        <w:t>5.2- Sítios Investigados</w:t>
      </w: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r w:rsidRPr="000F617F">
        <w:t xml:space="preserve">Como resultado dos trabalhos de </w:t>
      </w:r>
      <w:r>
        <w:t>prospeção</w:t>
      </w:r>
      <w:r w:rsidRPr="000F617F">
        <w:t xml:space="preserve"> cuja metodologia foi apresentada anteriormente conseguiu-se a identificação de cerca de três dezenas de sítios arqueológicos pré-históricos. A localização destas estações arqueológicas permitiu, além da identificação dos sítios propriamente ditos, a definição de um primeiro padrão de distribuição da ocupação paleolítica no Nordeste alentejano e a localização de algumas estações de grande valor científico que se espalham cronologicamente entre o Paleolítico inferior, médio e superior (Almeida, 2002; Almeida, 2006 e Almeida </w:t>
      </w:r>
      <w:r w:rsidRPr="000F617F">
        <w:rPr>
          <w:i/>
        </w:rPr>
        <w:t>et al</w:t>
      </w:r>
      <w:r w:rsidRPr="000F617F">
        <w:t>, 2011).</w:t>
      </w:r>
    </w:p>
    <w:p w:rsidR="00A34B7A" w:rsidRPr="000F617F" w:rsidRDefault="00A34B7A" w:rsidP="00A34B7A">
      <w:pPr>
        <w:spacing w:line="360" w:lineRule="auto"/>
        <w:ind w:firstLine="708"/>
        <w:jc w:val="both"/>
      </w:pPr>
      <w:r w:rsidRPr="000F617F">
        <w:t xml:space="preserve">No conjunto das </w:t>
      </w:r>
      <w:r>
        <w:t>áreas prospe</w:t>
      </w:r>
      <w:r w:rsidRPr="000F617F">
        <w:t>tadas, que se situaram, administrativamente, nos concelhos de Marvão, Castelo de Vide e Nisa, conseguiu-se definir algumas áreas com maior potencial em termos de riqueza de sítios arqueológicos paleolíticos. Uma das áreas que evidenciou uma maior relevância em termos de presença Paleolítica nesta região</w:t>
      </w:r>
      <w:proofErr w:type="gramStart"/>
      <w:r w:rsidRPr="000F617F">
        <w:t>,</w:t>
      </w:r>
      <w:proofErr w:type="gramEnd"/>
      <w:r w:rsidRPr="000F617F">
        <w:t xml:space="preserve"> corresponde ao complexo do Arneiro, no concelho de Nisa. Esta área fica situada na Bacia de abatimento do Arneiro, já referida anteriormente no capítulo sobre o enquadramento geológico e geomorfológico. Numa área de 3 x 3 km, perto da aldeia de Monte do Arneiro, foram localizados treze sítios, cerca de metade dos sítios identificados até à data no Nordeste alentejano (Figura 5.1).</w:t>
      </w:r>
    </w:p>
    <w:p w:rsidR="00A34B7A" w:rsidRPr="000F617F" w:rsidRDefault="00A34B7A" w:rsidP="00A34B7A">
      <w:pPr>
        <w:spacing w:line="360" w:lineRule="auto"/>
        <w:ind w:firstLine="708"/>
        <w:jc w:val="both"/>
      </w:pPr>
      <w:r w:rsidRPr="000F617F">
        <w:t xml:space="preserve">A existência de datações prévias, realizadas pela equipa da Universidade de Ghent no âmbito dos trabalhos de doutoramento da Sarah Deprez (Deprez, 2009), permitiu fazer uma triagem das estações do Paleolítico médio identificadas na figura 5.1. Com as datações absolutas conseguidas para os sítios Pegos do Tejo 2 e Azinhal, escolheu-se mais um, a estação da Tapada do Montinho, para completar a lista dos sítios a estudar neste trabalho sobre o Paleolítico médio da bacia do Arneiro (Almeida </w:t>
      </w:r>
      <w:r w:rsidRPr="000F617F">
        <w:rPr>
          <w:i/>
        </w:rPr>
        <w:t>et al</w:t>
      </w:r>
      <w:r w:rsidRPr="000F617F">
        <w:t xml:space="preserve"> 2007, Almeida </w:t>
      </w:r>
      <w:r w:rsidRPr="000F617F">
        <w:rPr>
          <w:i/>
        </w:rPr>
        <w:t>et al</w:t>
      </w:r>
      <w:r w:rsidRPr="000F617F">
        <w:t>, 2008; Almeida, 2011).</w:t>
      </w:r>
    </w:p>
    <w:p w:rsidR="00A34B7A" w:rsidRPr="000F617F" w:rsidRDefault="00A34B7A" w:rsidP="00A34B7A">
      <w:pPr>
        <w:spacing w:line="360" w:lineRule="auto"/>
        <w:ind w:firstLine="708"/>
        <w:jc w:val="both"/>
      </w:pPr>
    </w:p>
    <w:p w:rsidR="00A34B7A" w:rsidRPr="000F617F" w:rsidRDefault="00A34B7A" w:rsidP="00A34B7A">
      <w:pPr>
        <w:autoSpaceDE w:val="0"/>
        <w:autoSpaceDN w:val="0"/>
        <w:adjustRightInd w:val="0"/>
        <w:jc w:val="center"/>
      </w:pPr>
      <w:r>
        <w:rPr>
          <w:noProof/>
        </w:rPr>
        <w:lastRenderedPageBreak/>
        <w:drawing>
          <wp:inline distT="0" distB="0" distL="0" distR="0">
            <wp:extent cx="5419725" cy="6153150"/>
            <wp:effectExtent l="19050" t="0" r="9525" b="0"/>
            <wp:docPr id="20" name="Imagem 3" descr="Arneirog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neirogeral"/>
                    <pic:cNvPicPr>
                      <a:picLocks noChangeAspect="1" noChangeArrowheads="1"/>
                    </pic:cNvPicPr>
                  </pic:nvPicPr>
                  <pic:blipFill>
                    <a:blip r:embed="rId30" cstate="print"/>
                    <a:srcRect/>
                    <a:stretch>
                      <a:fillRect/>
                    </a:stretch>
                  </pic:blipFill>
                  <pic:spPr bwMode="auto">
                    <a:xfrm>
                      <a:off x="0" y="0"/>
                      <a:ext cx="5419725" cy="6153150"/>
                    </a:xfrm>
                    <a:prstGeom prst="rect">
                      <a:avLst/>
                    </a:prstGeom>
                    <a:noFill/>
                    <a:ln w="9525">
                      <a:noFill/>
                      <a:miter lim="800000"/>
                      <a:headEnd/>
                      <a:tailEnd/>
                    </a:ln>
                  </pic:spPr>
                </pic:pic>
              </a:graphicData>
            </a:graphic>
          </wp:inline>
        </w:drawing>
      </w:r>
    </w:p>
    <w:p w:rsidR="00A34B7A" w:rsidRPr="000F617F" w:rsidRDefault="00A34B7A" w:rsidP="00A34B7A">
      <w:pPr>
        <w:autoSpaceDE w:val="0"/>
        <w:autoSpaceDN w:val="0"/>
        <w:adjustRightInd w:val="0"/>
        <w:jc w:val="center"/>
      </w:pPr>
    </w:p>
    <w:p w:rsidR="00A34B7A" w:rsidRPr="000F617F" w:rsidRDefault="00EA3774" w:rsidP="00A34B7A">
      <w:pPr>
        <w:autoSpaceDE w:val="0"/>
        <w:autoSpaceDN w:val="0"/>
        <w:adjustRightInd w:val="0"/>
        <w:jc w:val="center"/>
      </w:pPr>
      <w:r w:rsidRPr="00EA3774">
        <w:rPr>
          <w:b/>
          <w:noProof/>
          <w:u w:val="single"/>
        </w:rPr>
        <w:pict>
          <v:shape id="_x0000_s1041" type="#_x0000_t202" style="position:absolute;left:0;text-align:left;margin-left:-5.55pt;margin-top:3.4pt;width:463.5pt;height:71.15pt;z-index:251680768;mso-width-relative:margin;mso-height-relative:margin" stroked="f">
            <v:textbox style="mso-next-textbox:#_x0000_s1041">
              <w:txbxContent>
                <w:p w:rsidR="00B34B0F" w:rsidRPr="00C25E54" w:rsidRDefault="00B34B0F" w:rsidP="00A34B7A">
                  <w:pPr>
                    <w:jc w:val="both"/>
                  </w:pPr>
                  <w:r w:rsidRPr="00C25E54">
                    <w:t xml:space="preserve">Figura </w:t>
                  </w:r>
                  <w:r w:rsidRPr="00D60A5F">
                    <w:t>5.1</w:t>
                  </w:r>
                  <w:r w:rsidRPr="00C25E54">
                    <w:t xml:space="preserve">: Localização dos sítios identificados durante as </w:t>
                  </w:r>
                  <w:r>
                    <w:t>prospeções</w:t>
                  </w:r>
                  <w:r w:rsidRPr="00C25E54">
                    <w:t xml:space="preserve"> realizadas na bacia do Arneiro. C.M.P n.º 315 esc.1/25000. </w:t>
                  </w:r>
                  <w:r>
                    <w:t>Vermelho:</w:t>
                  </w:r>
                  <w:r w:rsidRPr="00C25E54">
                    <w:t xml:space="preserve"> Paleolítico inferior;</w:t>
                  </w:r>
                  <w:r>
                    <w:t xml:space="preserve"> Azul:</w:t>
                  </w:r>
                  <w:r w:rsidRPr="00C25E54">
                    <w:t xml:space="preserve"> Paleolítico médio; </w:t>
                  </w:r>
                  <w:r>
                    <w:t>Roxo:</w:t>
                  </w:r>
                  <w:r w:rsidRPr="00C25E54">
                    <w:t xml:space="preserve"> Paleolítico superior.</w:t>
                  </w:r>
                  <w:r>
                    <w:t xml:space="preserve"> </w:t>
                  </w:r>
                  <w:proofErr w:type="gramStart"/>
                  <w:r>
                    <w:t>A verde são apresentados</w:t>
                  </w:r>
                  <w:proofErr w:type="gramEnd"/>
                  <w:r>
                    <w:t xml:space="preserve"> os sítios atribuídos à pré-história recente, a amarelo, ao período romano. </w:t>
                  </w:r>
                  <w:proofErr w:type="gramStart"/>
                  <w:r>
                    <w:t>A preto</w:t>
                  </w:r>
                  <w:proofErr w:type="gramEnd"/>
                  <w:r>
                    <w:t>, os três sítios alvo deste estudo.</w:t>
                  </w:r>
                </w:p>
                <w:p w:rsidR="00B34B0F" w:rsidRPr="00BE562C" w:rsidRDefault="00B34B0F" w:rsidP="00A34B7A">
                  <w:pPr>
                    <w:jc w:val="both"/>
                  </w:pPr>
                </w:p>
                <w:p w:rsidR="00B34B0F" w:rsidRDefault="00B34B0F" w:rsidP="00A34B7A"/>
                <w:p w:rsidR="00B34B0F" w:rsidRDefault="00B34B0F" w:rsidP="00A34B7A"/>
              </w:txbxContent>
            </v:textbox>
          </v:shape>
        </w:pict>
      </w:r>
    </w:p>
    <w:p w:rsidR="00A34B7A" w:rsidRPr="000F617F" w:rsidRDefault="00A34B7A" w:rsidP="00A34B7A">
      <w:pPr>
        <w:autoSpaceDE w:val="0"/>
        <w:autoSpaceDN w:val="0"/>
        <w:adjustRightInd w:val="0"/>
        <w:jc w:val="center"/>
      </w:pPr>
    </w:p>
    <w:p w:rsidR="00A34B7A" w:rsidRPr="000F617F" w:rsidRDefault="00A34B7A" w:rsidP="00A34B7A">
      <w:pPr>
        <w:spacing w:line="360" w:lineRule="auto"/>
        <w:jc w:val="both"/>
        <w:rPr>
          <w:b/>
          <w:u w:val="single"/>
        </w:rPr>
      </w:pP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p>
    <w:p w:rsidR="00A34B7A" w:rsidRPr="000F617F" w:rsidRDefault="00A34B7A" w:rsidP="00A34B7A">
      <w:pPr>
        <w:autoSpaceDE w:val="0"/>
        <w:autoSpaceDN w:val="0"/>
        <w:adjustRightInd w:val="0"/>
        <w:rPr>
          <w:b/>
        </w:rPr>
      </w:pPr>
      <w:r w:rsidRPr="000F617F">
        <w:rPr>
          <w:b/>
        </w:rPr>
        <w:t>5.2.1 -</w:t>
      </w:r>
      <w:r w:rsidRPr="000F617F">
        <w:t>Pegos do Tejo 2.</w:t>
      </w:r>
    </w:p>
    <w:p w:rsidR="00A34B7A" w:rsidRPr="000F617F" w:rsidRDefault="00A34B7A" w:rsidP="00A34B7A">
      <w:pPr>
        <w:autoSpaceDE w:val="0"/>
        <w:autoSpaceDN w:val="0"/>
        <w:adjustRightInd w:val="0"/>
        <w:rPr>
          <w:b/>
        </w:rPr>
      </w:pPr>
    </w:p>
    <w:p w:rsidR="00A34B7A" w:rsidRPr="000F617F" w:rsidRDefault="00A34B7A" w:rsidP="00A34B7A">
      <w:pPr>
        <w:autoSpaceDE w:val="0"/>
        <w:autoSpaceDN w:val="0"/>
        <w:adjustRightInd w:val="0"/>
      </w:pPr>
    </w:p>
    <w:p w:rsidR="00A34B7A" w:rsidRPr="000F617F" w:rsidRDefault="00A34B7A" w:rsidP="00A34B7A">
      <w:pPr>
        <w:spacing w:line="360" w:lineRule="auto"/>
        <w:ind w:firstLine="708"/>
        <w:jc w:val="both"/>
      </w:pPr>
      <w:r w:rsidRPr="000F617F">
        <w:t xml:space="preserve">O sítio arqueológico conhecido como Pegos do Tejo 2 localiza-se a cerca de </w:t>
      </w:r>
      <w:smartTag w:uri="urn:schemas-microsoft-com:office:smarttags" w:element="metricconverter">
        <w:smartTagPr>
          <w:attr w:name="ProductID" w:val="100 m"/>
        </w:smartTagPr>
        <w:r w:rsidRPr="000F617F">
          <w:t>100 m</w:t>
        </w:r>
      </w:smartTag>
      <w:r w:rsidRPr="000F617F">
        <w:t xml:space="preserve"> da margem esquerda do rio Tejo, no limite da exploração mineira romano /medieval conhecida na zona como “Conhal”. Durante as </w:t>
      </w:r>
      <w:r>
        <w:t>prospeções</w:t>
      </w:r>
      <w:r w:rsidRPr="000F617F">
        <w:t xml:space="preserve"> de 2003 foram encontrados, </w:t>
      </w:r>
      <w:r w:rsidRPr="000F617F">
        <w:lastRenderedPageBreak/>
        <w:t xml:space="preserve">nesta área, alguns materiais de tipologia paleolítica diversa levando à definição de três ocupações de cronologias distintas mas sem se conseguir uma localização pormenorizada da jazida denominada como Pegos do Tejo 2. Durante uma nova visita à zona, que teve lugar </w:t>
      </w:r>
      <w:r>
        <w:t>em 2005, foi dete</w:t>
      </w:r>
      <w:r w:rsidRPr="000F617F">
        <w:t xml:space="preserve">tado um núcleo </w:t>
      </w:r>
      <w:r w:rsidRPr="000F617F">
        <w:rPr>
          <w:i/>
        </w:rPr>
        <w:t>Levallois</w:t>
      </w:r>
      <w:r w:rsidRPr="000F617F">
        <w:t xml:space="preserve"> num corte originado pela abertura de um caminho.</w:t>
      </w:r>
      <w:r w:rsidRPr="000F617F">
        <w:rPr>
          <w:b/>
        </w:rPr>
        <w:t xml:space="preserve"> </w:t>
      </w:r>
      <w:r w:rsidRPr="000F617F">
        <w:t>Foi identificado nesta estação um núcleo Acheulense como vem definido em Turq (2000). Definem-se como núcleos unipolares usualmente com levantamentos paralelos sendo o talão cortical aproveitando uma superfície direita. Estes núcleos são reconhecidos em França (Turq, 2000). Na zona Cantábrica são conhecidos como núcleos unidirecionais de plano de percussão cortical. Este núcleo foi primeiro atribuído a momentos pós p</w:t>
      </w:r>
      <w:r>
        <w:t>aleolíticos, sendo depois ado</w:t>
      </w:r>
      <w:r w:rsidRPr="000F617F">
        <w:t xml:space="preserve">tado ao Acheulense final e finalmente ao Moustierense cantábrico (Carrión </w:t>
      </w:r>
      <w:r w:rsidRPr="000F617F">
        <w:rPr>
          <w:i/>
        </w:rPr>
        <w:t>et al</w:t>
      </w:r>
      <w:r w:rsidRPr="000F617F">
        <w:t xml:space="preserve"> 2008)</w:t>
      </w:r>
    </w:p>
    <w:p w:rsidR="00A34B7A" w:rsidRPr="000F617F" w:rsidRDefault="00EA3774" w:rsidP="00A34B7A">
      <w:pPr>
        <w:spacing w:line="360" w:lineRule="auto"/>
        <w:ind w:left="-142"/>
        <w:jc w:val="center"/>
        <w:rPr>
          <w:b/>
        </w:rPr>
      </w:pPr>
      <w:r w:rsidRPr="00EA3774">
        <w:rPr>
          <w:b/>
          <w:noProof/>
          <w:u w:val="single"/>
        </w:rPr>
        <w:pict>
          <v:shape id="_x0000_s1046" type="#_x0000_t202" style="position:absolute;left:0;text-align:left;margin-left:1.75pt;margin-top:259.65pt;width:417pt;height:65.2pt;z-index:251685888;mso-width-relative:margin;mso-height-relative:margin" stroked="f">
            <v:textbox style="mso-next-textbox:#_x0000_s1046">
              <w:txbxContent>
                <w:p w:rsidR="00B34B0F" w:rsidRPr="005A4FB9" w:rsidRDefault="00B34B0F" w:rsidP="00A34B7A">
                  <w:pPr>
                    <w:jc w:val="both"/>
                  </w:pPr>
                  <w:r w:rsidRPr="005A4FB9">
                    <w:t>F</w:t>
                  </w:r>
                  <w:r>
                    <w:t>igura</w:t>
                  </w:r>
                  <w:r w:rsidRPr="005A4FB9">
                    <w:t xml:space="preserve"> </w:t>
                  </w:r>
                  <w:r>
                    <w:t xml:space="preserve">n.º </w:t>
                  </w:r>
                  <w:r w:rsidRPr="005A4FB9">
                    <w:t>5.</w:t>
                  </w:r>
                  <w:r>
                    <w:t>2-</w:t>
                  </w:r>
                  <w:r w:rsidRPr="005A4FB9">
                    <w:t xml:space="preserve"> Vista </w:t>
                  </w:r>
                  <w:r>
                    <w:t xml:space="preserve">aérea </w:t>
                  </w:r>
                  <w:r w:rsidRPr="005A4FB9">
                    <w:t>geral da estação d</w:t>
                  </w:r>
                  <w:r>
                    <w:t>os Pegos do Tejo 2</w:t>
                  </w:r>
                  <w:r w:rsidRPr="005A4FB9">
                    <w:t xml:space="preserve">. </w:t>
                  </w:r>
                  <w:r>
                    <w:t>A estação está assinalada pelo quadrado laranja. È perce</w:t>
                  </w:r>
                  <w:r w:rsidRPr="005A4FB9">
                    <w:t>tível o limite da exploração mineira romana</w:t>
                  </w:r>
                  <w:r>
                    <w:t>, coincidente com a faixa mais arborizada,</w:t>
                  </w:r>
                  <w:r w:rsidRPr="005A4FB9">
                    <w:t xml:space="preserve"> e dos “conhos”, aglomerados de seixos resultantes do processo de mineração.</w:t>
                  </w:r>
                </w:p>
                <w:p w:rsidR="00B34B0F" w:rsidRDefault="00B34B0F" w:rsidP="00A34B7A"/>
              </w:txbxContent>
            </v:textbox>
          </v:shape>
        </w:pict>
      </w:r>
      <w:r w:rsidR="00A34B7A">
        <w:rPr>
          <w:b/>
          <w:noProof/>
        </w:rPr>
        <w:drawing>
          <wp:inline distT="0" distB="0" distL="0" distR="0">
            <wp:extent cx="5316220" cy="3343275"/>
            <wp:effectExtent l="19050" t="0" r="0" b="0"/>
            <wp:docPr id="38" name="Imagem 38" descr="Pegos do Tejo 2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egos do Tejo 2foto"/>
                    <pic:cNvPicPr>
                      <a:picLocks noChangeAspect="1" noChangeArrowheads="1"/>
                    </pic:cNvPicPr>
                  </pic:nvPicPr>
                  <pic:blipFill>
                    <a:blip r:embed="rId31" cstate="print"/>
                    <a:srcRect/>
                    <a:stretch>
                      <a:fillRect/>
                    </a:stretch>
                  </pic:blipFill>
                  <pic:spPr bwMode="auto">
                    <a:xfrm>
                      <a:off x="0" y="0"/>
                      <a:ext cx="5316220" cy="3343275"/>
                    </a:xfrm>
                    <a:prstGeom prst="rect">
                      <a:avLst/>
                    </a:prstGeom>
                    <a:noFill/>
                    <a:ln w="9525">
                      <a:noFill/>
                      <a:miter lim="800000"/>
                      <a:headEnd/>
                      <a:tailEnd/>
                    </a:ln>
                  </pic:spPr>
                </pic:pic>
              </a:graphicData>
            </a:graphic>
          </wp:inline>
        </w:drawing>
      </w:r>
    </w:p>
    <w:p w:rsidR="00A34B7A" w:rsidRPr="000F617F" w:rsidRDefault="00A34B7A" w:rsidP="00A34B7A">
      <w:pPr>
        <w:spacing w:line="360" w:lineRule="auto"/>
        <w:jc w:val="both"/>
        <w:rPr>
          <w:b/>
        </w:rPr>
      </w:pPr>
    </w:p>
    <w:p w:rsidR="00A34B7A" w:rsidRPr="000F617F" w:rsidRDefault="00A34B7A" w:rsidP="00A34B7A">
      <w:pPr>
        <w:spacing w:line="360" w:lineRule="auto"/>
        <w:jc w:val="both"/>
        <w:rPr>
          <w:b/>
        </w:rPr>
      </w:pPr>
    </w:p>
    <w:p w:rsidR="00D92F53" w:rsidRDefault="00D92F53" w:rsidP="00A34B7A">
      <w:pPr>
        <w:spacing w:line="360" w:lineRule="auto"/>
        <w:ind w:left="-142" w:firstLine="850"/>
        <w:jc w:val="both"/>
      </w:pPr>
    </w:p>
    <w:p w:rsidR="00A34B7A" w:rsidRPr="000F617F" w:rsidRDefault="00A34B7A" w:rsidP="00A34B7A">
      <w:pPr>
        <w:spacing w:line="360" w:lineRule="auto"/>
        <w:ind w:left="-142" w:firstLine="850"/>
        <w:jc w:val="both"/>
        <w:rPr>
          <w:b/>
        </w:rPr>
      </w:pPr>
      <w:r w:rsidRPr="000F617F">
        <w:t>Tendo em consideração a profundidade a que se encontrava o nível arqueológico nesta estação, os trabalhos iniciaram-se com a remoção mecânica dos cerca de metro e meio de sedimento que recobria a ocupação paleolítica. A aplicação desta metodologia foi possível devido ao conhecimento da estratigrafia do local com origem</w:t>
      </w:r>
      <w:r>
        <w:t xml:space="preserve"> na abertura do caminho que afe</w:t>
      </w:r>
      <w:r w:rsidRPr="000F617F">
        <w:t xml:space="preserve">tou a estação e que permitiu a identificação do sítio. </w:t>
      </w:r>
    </w:p>
    <w:p w:rsidR="00A34B7A" w:rsidRPr="000F617F" w:rsidRDefault="00EA3774" w:rsidP="00A34B7A">
      <w:pPr>
        <w:spacing w:line="360" w:lineRule="auto"/>
        <w:jc w:val="center"/>
        <w:rPr>
          <w:b/>
        </w:rPr>
      </w:pPr>
      <w:r w:rsidRPr="00EA3774">
        <w:rPr>
          <w:noProof/>
        </w:rPr>
        <w:lastRenderedPageBreak/>
        <w:pict>
          <v:shape id="_x0000_s1043" type="#_x0000_t202" style="position:absolute;left:0;text-align:left;margin-left:15.1pt;margin-top:239.55pt;width:395.65pt;height:33.8pt;z-index:251682816;mso-width-relative:margin;mso-height-relative:margin" stroked="f">
            <v:textbox style="mso-next-textbox:#_x0000_s1043">
              <w:txbxContent>
                <w:p w:rsidR="00B34B0F" w:rsidRPr="005A4FB9" w:rsidRDefault="00B34B0F" w:rsidP="00A34B7A">
                  <w:pPr>
                    <w:jc w:val="both"/>
                  </w:pPr>
                  <w:r w:rsidRPr="005A4FB9">
                    <w:t xml:space="preserve">Foto </w:t>
                  </w:r>
                  <w:r>
                    <w:t xml:space="preserve">n.º </w:t>
                  </w:r>
                  <w:r w:rsidRPr="005A4FB9">
                    <w:t>5.</w:t>
                  </w:r>
                  <w:r>
                    <w:t>2</w:t>
                  </w:r>
                  <w:r w:rsidRPr="005A4FB9">
                    <w:t>. Vista geral da estação dos Pegos do Tejo 2 no topo do T4. Em segundo plano as cristas quartzíticas das Portas de Ródão.</w:t>
                  </w:r>
                </w:p>
              </w:txbxContent>
            </v:textbox>
          </v:shape>
        </w:pict>
      </w:r>
      <w:r w:rsidR="00A34B7A">
        <w:rPr>
          <w:b/>
          <w:noProof/>
        </w:rPr>
        <w:drawing>
          <wp:inline distT="0" distB="0" distL="0" distR="0">
            <wp:extent cx="4810125" cy="3209925"/>
            <wp:effectExtent l="19050" t="0" r="9525" b="0"/>
            <wp:docPr id="21" name="Imagem 4"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4"/>
                    <pic:cNvPicPr>
                      <a:picLocks noChangeAspect="1" noChangeArrowheads="1"/>
                    </pic:cNvPicPr>
                  </pic:nvPicPr>
                  <pic:blipFill>
                    <a:blip r:embed="rId32" cstate="print"/>
                    <a:srcRect/>
                    <a:stretch>
                      <a:fillRect/>
                    </a:stretch>
                  </pic:blipFill>
                  <pic:spPr bwMode="auto">
                    <a:xfrm>
                      <a:off x="0" y="0"/>
                      <a:ext cx="4810125" cy="3209925"/>
                    </a:xfrm>
                    <a:prstGeom prst="rect">
                      <a:avLst/>
                    </a:prstGeom>
                    <a:noFill/>
                    <a:ln w="9525">
                      <a:noFill/>
                      <a:miter lim="800000"/>
                      <a:headEnd/>
                      <a:tailEnd/>
                    </a:ln>
                  </pic:spPr>
                </pic:pic>
              </a:graphicData>
            </a:graphic>
          </wp:inline>
        </w:drawing>
      </w:r>
    </w:p>
    <w:p w:rsidR="00A34B7A" w:rsidRPr="000F617F" w:rsidRDefault="00A34B7A" w:rsidP="00A34B7A">
      <w:pPr>
        <w:spacing w:line="360" w:lineRule="auto"/>
        <w:jc w:val="both"/>
      </w:pPr>
    </w:p>
    <w:p w:rsidR="00A34B7A" w:rsidRPr="000F617F" w:rsidRDefault="00A34B7A" w:rsidP="00A34B7A">
      <w:pPr>
        <w:spacing w:line="360" w:lineRule="auto"/>
        <w:ind w:left="-142" w:firstLine="850"/>
        <w:jc w:val="both"/>
      </w:pPr>
      <w:r w:rsidRPr="000F617F">
        <w:t>Os trabalhos de escavação realizaram-se durante o Inverno para permitir a remoção do sedimento estéril em melhores condições. A camada que recobre a estação arqueológica é constituíd</w:t>
      </w:r>
      <w:r>
        <w:t>a</w:t>
      </w:r>
      <w:r w:rsidRPr="000F617F">
        <w:t xml:space="preserve"> por arcoses retrabalhadas, concrecionadas, sendo difícil de remover durante boa parte do ano. Após remover as camadas superiores do sedimento, que se apresentam estéreis em termos arqueológicos, passamos para a decapagem manual a cerca de 30/ 40 cm acima do nível de ocupação. A metodologia </w:t>
      </w:r>
      <w:r>
        <w:t>adotada</w:t>
      </w:r>
      <w:r w:rsidRPr="000F617F">
        <w:t xml:space="preserve"> consistiu, após a implantação de uma quadrícula ortogonal no terreno, na escavação de uma área de 4X2 metros (foto n.º 5.3).</w:t>
      </w:r>
    </w:p>
    <w:p w:rsidR="00A34B7A" w:rsidRPr="000F617F" w:rsidRDefault="00EA3774" w:rsidP="00A34B7A">
      <w:pPr>
        <w:spacing w:line="360" w:lineRule="auto"/>
      </w:pPr>
      <w:r w:rsidRPr="00EA3774">
        <w:rPr>
          <w:b/>
          <w:noProof/>
        </w:rPr>
        <w:pict>
          <v:shape id="_x0000_s1042" type="#_x0000_t202" style="position:absolute;margin-left:342.55pt;margin-top:112.45pt;width:88.9pt;height:137.45pt;z-index:251681792;mso-width-relative:margin;mso-height-relative:margin" stroked="f">
            <v:textbox style="mso-next-textbox:#_x0000_s1042">
              <w:txbxContent>
                <w:p w:rsidR="00B34B0F" w:rsidRPr="005A4FB9" w:rsidRDefault="00B34B0F" w:rsidP="00A34B7A">
                  <w:pPr>
                    <w:jc w:val="both"/>
                  </w:pPr>
                  <w:r w:rsidRPr="005A4FB9">
                    <w:t>Foto</w:t>
                  </w:r>
                  <w:r>
                    <w:t xml:space="preserve"> n.º 5.3- </w:t>
                  </w:r>
                  <w:r w:rsidRPr="005A4FB9">
                    <w:t>Pormenor</w:t>
                  </w:r>
                  <w:r>
                    <w:t xml:space="preserve"> da estação dos Pegos do Tejo 2, sendo visível a quadricula implantada</w:t>
                  </w:r>
                  <w:r w:rsidRPr="005A4FB9">
                    <w:t xml:space="preserve">. </w:t>
                  </w:r>
                </w:p>
                <w:p w:rsidR="00B34B0F" w:rsidRDefault="00B34B0F" w:rsidP="00A34B7A"/>
              </w:txbxContent>
            </v:textbox>
          </v:shape>
        </w:pict>
      </w:r>
      <w:r w:rsidR="00A34B7A">
        <w:rPr>
          <w:b/>
          <w:noProof/>
        </w:rPr>
        <w:drawing>
          <wp:inline distT="0" distB="0" distL="0" distR="0">
            <wp:extent cx="4314825" cy="2847975"/>
            <wp:effectExtent l="19050" t="0" r="9525" b="0"/>
            <wp:docPr id="22" name="Imagem 5" descr="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1"/>
                    <pic:cNvPicPr>
                      <a:picLocks noChangeAspect="1" noChangeArrowheads="1"/>
                    </pic:cNvPicPr>
                  </pic:nvPicPr>
                  <pic:blipFill>
                    <a:blip r:embed="rId33" cstate="print"/>
                    <a:srcRect/>
                    <a:stretch>
                      <a:fillRect/>
                    </a:stretch>
                  </pic:blipFill>
                  <pic:spPr bwMode="auto">
                    <a:xfrm>
                      <a:off x="0" y="0"/>
                      <a:ext cx="4314825" cy="2847975"/>
                    </a:xfrm>
                    <a:prstGeom prst="rect">
                      <a:avLst/>
                    </a:prstGeom>
                    <a:noFill/>
                    <a:ln w="9525">
                      <a:noFill/>
                      <a:miter lim="800000"/>
                      <a:headEnd/>
                      <a:tailEnd/>
                    </a:ln>
                  </pic:spPr>
                </pic:pic>
              </a:graphicData>
            </a:graphic>
          </wp:inline>
        </w:drawing>
      </w:r>
    </w:p>
    <w:p w:rsidR="00A34B7A" w:rsidRPr="000F617F" w:rsidRDefault="00A34B7A" w:rsidP="00A34B7A">
      <w:pPr>
        <w:spacing w:line="360" w:lineRule="auto"/>
        <w:ind w:firstLine="708"/>
        <w:jc w:val="both"/>
      </w:pPr>
      <w:r w:rsidRPr="000F617F">
        <w:lastRenderedPageBreak/>
        <w:t>Foram realizadas várias campanhas até chegar ao nível arqueológico propriamente dito, tendo sido na campanha realizada em 2011 que a escavação atingiu os vestígios arqueológicos da ocupação humana. O nível arqueológico com cerca de 25 cm de espessura foi removido recorrendo a níveis artificiais de cerca de 5 cm de espessura. O topo da camada arqueológica é constituído por um empedrado embalando materiais arqueológicos. Neste nível, a distribuição espacial do material arqueológico corresponde à distribuição espacial do empedrado. Por baixo deste nível existe outra ocupação que pela distribuição dos registos arqueo</w:t>
      </w:r>
      <w:r>
        <w:t>lógicos efe</w:t>
      </w:r>
      <w:r w:rsidRPr="000F617F">
        <w:t>tuados se espalha por toda a área da escavação.</w:t>
      </w:r>
    </w:p>
    <w:p w:rsidR="00A34B7A" w:rsidRPr="000F617F" w:rsidRDefault="00A34B7A" w:rsidP="00A34B7A">
      <w:pPr>
        <w:spacing w:line="360" w:lineRule="auto"/>
        <w:ind w:firstLine="708"/>
        <w:jc w:val="both"/>
      </w:pPr>
      <w:r w:rsidRPr="000F617F">
        <w:t xml:space="preserve">Os materiais líticos e as outras realidades arqueológicas foram registados fotograficamente (em formato digital) e graficamente e as suas coordenadas definidas tridimensionalmente antes de ser levantados, lavados e marcados. </w:t>
      </w: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p>
    <w:p w:rsidR="00A34B7A" w:rsidRPr="000F617F" w:rsidRDefault="00A34B7A" w:rsidP="00A34B7A">
      <w:pPr>
        <w:autoSpaceDE w:val="0"/>
        <w:autoSpaceDN w:val="0"/>
        <w:adjustRightInd w:val="0"/>
        <w:rPr>
          <w:b/>
        </w:rPr>
      </w:pPr>
      <w:r w:rsidRPr="000F617F">
        <w:rPr>
          <w:b/>
        </w:rPr>
        <w:t xml:space="preserve">5.2.2- </w:t>
      </w:r>
      <w:r w:rsidRPr="000F617F">
        <w:t xml:space="preserve">Azinhal </w:t>
      </w: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rPr>
          <w:rFonts w:ascii="Arial" w:hAnsi="Arial" w:cs="Arial"/>
        </w:rPr>
      </w:pPr>
      <w:r w:rsidRPr="000F617F">
        <w:t xml:space="preserve">Em 2003, durante a campanha de </w:t>
      </w:r>
      <w:r>
        <w:t>prospeção, foi dete</w:t>
      </w:r>
      <w:r w:rsidRPr="000F617F">
        <w:t xml:space="preserve">tado um nível de seixos com material arqueológico no corte realizado aquando da abertura da estrada que liga o cemitério com as povoações do Monte do Duque e Monte do Arneiro. Um dos artefactos encontrados durante a </w:t>
      </w:r>
      <w:r>
        <w:t>prospeção</w:t>
      </w:r>
      <w:r w:rsidRPr="000F617F">
        <w:t xml:space="preserve"> corresponde a um biface de tipologia Micoquense (foto n.º 5.3). A estação arqueológica do Azinhal está inserida numa á</w:t>
      </w:r>
      <w:r>
        <w:t>rea intensamente agricultada. A</w:t>
      </w:r>
      <w:r w:rsidRPr="000F617F">
        <w:t xml:space="preserve">tualmente o coberto vegetal corresponde a um azinhal com cerca de 15 anos. Toda esta área é </w:t>
      </w:r>
      <w:r>
        <w:t>objeto</w:t>
      </w:r>
      <w:r w:rsidRPr="000F617F">
        <w:t xml:space="preserve"> de lavras anuais que originam um remeximento do solo, o que pode por em risco a conservação da estação.</w:t>
      </w:r>
      <w:r w:rsidRPr="000F617F">
        <w:rPr>
          <w:b/>
        </w:rPr>
        <w:t xml:space="preserve"> </w:t>
      </w:r>
      <w:r w:rsidRPr="000F617F">
        <w:t>Esta situação levou a recear pela integridade do sítio.</w:t>
      </w:r>
      <w:r w:rsidRPr="000F617F">
        <w:rPr>
          <w:rFonts w:ascii="Arial" w:hAnsi="Arial" w:cs="Arial"/>
        </w:rPr>
        <w:t xml:space="preserve"> </w:t>
      </w:r>
    </w:p>
    <w:p w:rsidR="00A34B7A" w:rsidRPr="000F617F" w:rsidRDefault="00A34B7A" w:rsidP="00A34B7A">
      <w:pPr>
        <w:spacing w:line="360" w:lineRule="auto"/>
        <w:ind w:firstLine="708"/>
        <w:jc w:val="both"/>
        <w:rPr>
          <w:rFonts w:ascii="Arial" w:hAnsi="Arial" w:cs="Arial"/>
        </w:rPr>
      </w:pPr>
      <w:r w:rsidRPr="000F617F">
        <w:t xml:space="preserve">A realização de sondagens no sítio do Azinhal, em 2003, tinha como </w:t>
      </w:r>
      <w:r>
        <w:t>objetivo</w:t>
      </w:r>
      <w:r w:rsidRPr="000F617F">
        <w:t xml:space="preserve"> três finalidades. A primeira consistia numa localização mais pormenorizada da estação; a segunda procurou verificar o estado de conservação do sítio. Finalmente o terceiro </w:t>
      </w:r>
      <w:r>
        <w:t>objetivo</w:t>
      </w:r>
      <w:r w:rsidRPr="000F617F">
        <w:t xml:space="preserve"> consistia na atribuição a este local de uma cronologia mais precisa, uma vez que ainda não existiam datações absolutas para esta ocupação.</w:t>
      </w:r>
      <w:r w:rsidRPr="000F617F">
        <w:rPr>
          <w:rFonts w:ascii="Arial" w:hAnsi="Arial" w:cs="Arial"/>
        </w:rPr>
        <w:t xml:space="preserve"> </w:t>
      </w:r>
    </w:p>
    <w:p w:rsidR="00A34B7A" w:rsidRPr="000F617F" w:rsidRDefault="00EA3774" w:rsidP="00A34B7A">
      <w:pPr>
        <w:spacing w:line="360" w:lineRule="auto"/>
      </w:pPr>
      <w:r>
        <w:rPr>
          <w:noProof/>
          <w:lang w:eastAsia="en-US"/>
        </w:rPr>
        <w:lastRenderedPageBreak/>
        <w:pict>
          <v:shape id="_x0000_s1045" type="#_x0000_t202" style="position:absolute;margin-left:1.9pt;margin-top:299.4pt;width:429.2pt;height:36.95pt;z-index:251684864;mso-width-relative:margin;mso-height-relative:margin" stroked="f">
            <v:textbox style="mso-next-textbox:#_x0000_s1045">
              <w:txbxContent>
                <w:p w:rsidR="00B34B0F" w:rsidRPr="005D58FE" w:rsidRDefault="00B34B0F" w:rsidP="00A34B7A">
                  <w:pPr>
                    <w:jc w:val="both"/>
                  </w:pPr>
                  <w:r w:rsidRPr="005D58FE">
                    <w:t>F</w:t>
                  </w:r>
                  <w:r>
                    <w:t>oto.</w:t>
                  </w:r>
                  <w:r w:rsidRPr="005D58FE">
                    <w:t xml:space="preserve"> 5.</w:t>
                  </w:r>
                  <w:r>
                    <w:t>4</w:t>
                  </w:r>
                  <w:r w:rsidRPr="005D58FE">
                    <w:t xml:space="preserve">- </w:t>
                  </w:r>
                  <w:r>
                    <w:t>Aspecto geral da estação do Azinhal, com indicação do local onde se recolheu o biface (círculo vermelho)</w:t>
                  </w:r>
                </w:p>
                <w:p w:rsidR="00B34B0F" w:rsidRDefault="00B34B0F" w:rsidP="00A34B7A"/>
              </w:txbxContent>
            </v:textbox>
          </v:shape>
        </w:pict>
      </w:r>
      <w:r w:rsidR="00A34B7A">
        <w:rPr>
          <w:noProof/>
        </w:rPr>
        <w:drawing>
          <wp:inline distT="0" distB="0" distL="0" distR="0">
            <wp:extent cx="5391150" cy="4048125"/>
            <wp:effectExtent l="19050" t="0" r="0" b="0"/>
            <wp:docPr id="23" name="Imagem 6" descr="Azinhal 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zinhal loc"/>
                    <pic:cNvPicPr>
                      <a:picLocks noChangeAspect="1" noChangeArrowheads="1"/>
                    </pic:cNvPicPr>
                  </pic:nvPicPr>
                  <pic:blipFill>
                    <a:blip r:embed="rId34" cstate="print"/>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A34B7A" w:rsidRPr="000F617F" w:rsidRDefault="00A34B7A" w:rsidP="00A34B7A">
      <w:pPr>
        <w:spacing w:line="360" w:lineRule="auto"/>
        <w:jc w:val="both"/>
      </w:pPr>
    </w:p>
    <w:p w:rsidR="00A34B7A" w:rsidRPr="000F617F" w:rsidRDefault="00A34B7A" w:rsidP="00A34B7A">
      <w:pPr>
        <w:spacing w:line="360" w:lineRule="auto"/>
        <w:ind w:firstLine="708"/>
        <w:jc w:val="both"/>
        <w:rPr>
          <w:rFonts w:ascii="Arial" w:hAnsi="Arial" w:cs="Arial"/>
        </w:rPr>
      </w:pPr>
      <w:r w:rsidRPr="000F617F">
        <w:t xml:space="preserve">Iniciaram-se os trabalhos com a abertura de uma sondagem na proximidade do local onde </w:t>
      </w:r>
      <w:r>
        <w:t>se tinha dete</w:t>
      </w:r>
      <w:r w:rsidRPr="000F617F">
        <w:t>tad</w:t>
      </w:r>
      <w:r>
        <w:t>o</w:t>
      </w:r>
      <w:r w:rsidRPr="000F617F">
        <w:t xml:space="preserve"> a presença do biface, no corte da estrada. Essa primeira sondagem foi definida com uma área de 1x 2 m tendo no entanto só sido escavada uma área de 1x1 m. Implantaram-se mais duas sondagens de 1x1 m no interior da área de dispersão de materiais identificada á superfície (figura 5.1).</w:t>
      </w:r>
    </w:p>
    <w:p w:rsidR="00A34B7A" w:rsidRPr="000F617F" w:rsidRDefault="00A34B7A" w:rsidP="00A34B7A">
      <w:pPr>
        <w:spacing w:line="360" w:lineRule="auto"/>
        <w:ind w:firstLine="708"/>
        <w:jc w:val="both"/>
      </w:pPr>
      <w:r w:rsidRPr="000F617F">
        <w:t xml:space="preserve">A metodologia utilizada apresentou duas formas distintas. Na primeira sondagem optou-se por uma escavação por camadas artificias de cerca de 10 cm. Nesta sondagem os artefactos encontrados foram registados individual e tridimensionalmente. Nas duas outras sondagens arqueológicas optou-se por escavar por camadas arqueológicas naturais, sendo o material arqueológico exumado registado por camada artificial. A razão prendeu-se, além do tempo, com o facto de na parte mais alta da plataforma, como seria de esperar, a capacidade do solo ser muito mais reduzida do que na sondagem n.º 1. </w:t>
      </w:r>
      <w:proofErr w:type="gramStart"/>
      <w:r w:rsidRPr="000F617F">
        <w:t>e</w:t>
      </w:r>
      <w:proofErr w:type="gramEnd"/>
      <w:r w:rsidRPr="000F617F">
        <w:t xml:space="preserve"> a estratigrafia ser de m</w:t>
      </w:r>
      <w:r>
        <w:t>ais fácil leitura. Não foi dete</w:t>
      </w:r>
      <w:r w:rsidRPr="000F617F">
        <w:t xml:space="preserve">tado qualquer tipo de estruturas durante esta campanha. </w:t>
      </w:r>
    </w:p>
    <w:p w:rsidR="00A34B7A" w:rsidRDefault="00A34B7A" w:rsidP="00A34B7A">
      <w:pPr>
        <w:spacing w:line="360" w:lineRule="auto"/>
        <w:ind w:firstLine="708"/>
        <w:jc w:val="both"/>
      </w:pPr>
      <w:r w:rsidRPr="000F617F">
        <w:t xml:space="preserve">Em 2012, realizou-se um alargamento da área entre as sondagens M26 e G26 através da abertura de uma vala de 1x4 metros entre as quadrículas M27 e J27. </w:t>
      </w:r>
      <w:r w:rsidRPr="000F617F">
        <w:lastRenderedPageBreak/>
        <w:t>Posteriormente realizou-se outra sondagem de 1x1m, WA 26, 10 metros mais a sul do quadrado G 26, de forma ter uma ideia da área de dispersão de materiais (figura 5.1).</w:t>
      </w:r>
    </w:p>
    <w:p w:rsidR="006D3B05" w:rsidRPr="000F617F" w:rsidRDefault="006D3B05" w:rsidP="00A34B7A">
      <w:pPr>
        <w:spacing w:line="360" w:lineRule="auto"/>
        <w:ind w:firstLine="708"/>
        <w:jc w:val="both"/>
      </w:pPr>
    </w:p>
    <w:p w:rsidR="00A34B7A" w:rsidRPr="000F617F" w:rsidRDefault="00A34B7A" w:rsidP="00A34B7A">
      <w:pPr>
        <w:autoSpaceDE w:val="0"/>
        <w:autoSpaceDN w:val="0"/>
        <w:adjustRightInd w:val="0"/>
      </w:pPr>
      <w:r>
        <w:rPr>
          <w:noProof/>
        </w:rPr>
        <w:drawing>
          <wp:inline distT="0" distB="0" distL="0" distR="0">
            <wp:extent cx="5244066" cy="3755010"/>
            <wp:effectExtent l="19050" t="0" r="0" b="0"/>
            <wp:docPr id="24" name="Imagem 7" descr="AZI 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ZI loc"/>
                    <pic:cNvPicPr>
                      <a:picLocks noChangeAspect="1" noChangeArrowheads="1"/>
                    </pic:cNvPicPr>
                  </pic:nvPicPr>
                  <pic:blipFill>
                    <a:blip r:embed="rId35" cstate="print"/>
                    <a:srcRect/>
                    <a:stretch>
                      <a:fillRect/>
                    </a:stretch>
                  </pic:blipFill>
                  <pic:spPr bwMode="auto">
                    <a:xfrm>
                      <a:off x="0" y="0"/>
                      <a:ext cx="5240197" cy="3752240"/>
                    </a:xfrm>
                    <a:prstGeom prst="rect">
                      <a:avLst/>
                    </a:prstGeom>
                    <a:noFill/>
                    <a:ln w="9525">
                      <a:noFill/>
                      <a:miter lim="800000"/>
                      <a:headEnd/>
                      <a:tailEnd/>
                    </a:ln>
                  </pic:spPr>
                </pic:pic>
              </a:graphicData>
            </a:graphic>
          </wp:inline>
        </w:drawing>
      </w:r>
    </w:p>
    <w:p w:rsidR="00A34B7A" w:rsidRPr="000F617F" w:rsidRDefault="00EA3774" w:rsidP="00A34B7A">
      <w:pPr>
        <w:spacing w:line="360" w:lineRule="auto"/>
        <w:jc w:val="both"/>
        <w:rPr>
          <w:b/>
          <w:u w:val="single"/>
        </w:rPr>
      </w:pPr>
      <w:r w:rsidRPr="00EA3774">
        <w:rPr>
          <w:b/>
          <w:noProof/>
        </w:rPr>
        <w:pict>
          <v:shape id="_x0000_s1044" type="#_x0000_t202" style="position:absolute;left:0;text-align:left;margin-left:-6.15pt;margin-top:1.7pt;width:434.5pt;height:35.1pt;z-index:251683840;mso-width-relative:margin;mso-height-relative:margin" stroked="f">
            <v:textbox style="mso-next-textbox:#_x0000_s1044">
              <w:txbxContent>
                <w:p w:rsidR="00B34B0F" w:rsidRPr="005D58FE" w:rsidRDefault="00B34B0F" w:rsidP="00A34B7A">
                  <w:pPr>
                    <w:jc w:val="both"/>
                  </w:pPr>
                  <w:r w:rsidRPr="005D58FE">
                    <w:t>Fig</w:t>
                  </w:r>
                  <w:r>
                    <w:t>ura</w:t>
                  </w:r>
                  <w:r w:rsidRPr="005D58FE">
                    <w:t xml:space="preserve"> </w:t>
                  </w:r>
                  <w:r>
                    <w:t xml:space="preserve">n.º </w:t>
                  </w:r>
                  <w:r w:rsidRPr="005D58FE">
                    <w:t>5.</w:t>
                  </w:r>
                  <w:r>
                    <w:t>3</w:t>
                  </w:r>
                  <w:r w:rsidRPr="005D58FE">
                    <w:t>-</w:t>
                  </w:r>
                  <w:r>
                    <w:t xml:space="preserve"> Área </w:t>
                  </w:r>
                  <w:r w:rsidRPr="005D58FE">
                    <w:t>escavada na estação do Azinhal.</w:t>
                  </w:r>
                  <w:r>
                    <w:t xml:space="preserve"> A verde, as sondagens realizadas em 2003; a azul, o alargamento realizado em 2012.</w:t>
                  </w:r>
                </w:p>
              </w:txbxContent>
            </v:textbox>
          </v:shape>
        </w:pict>
      </w:r>
    </w:p>
    <w:p w:rsidR="00A34B7A" w:rsidRPr="000F617F" w:rsidRDefault="00A34B7A" w:rsidP="00A34B7A">
      <w:pPr>
        <w:jc w:val="both"/>
      </w:pPr>
    </w:p>
    <w:p w:rsidR="006D3B05" w:rsidRDefault="006D3B05" w:rsidP="00A34B7A">
      <w:pPr>
        <w:spacing w:line="360" w:lineRule="auto"/>
        <w:ind w:firstLine="708"/>
        <w:jc w:val="both"/>
      </w:pPr>
    </w:p>
    <w:p w:rsidR="006D3B05" w:rsidRDefault="006D3B05" w:rsidP="00A34B7A">
      <w:pPr>
        <w:spacing w:line="360" w:lineRule="auto"/>
        <w:ind w:firstLine="708"/>
        <w:jc w:val="both"/>
      </w:pPr>
    </w:p>
    <w:p w:rsidR="00A34B7A" w:rsidRPr="000F617F" w:rsidRDefault="00A34B7A" w:rsidP="00A34B7A">
      <w:pPr>
        <w:spacing w:line="360" w:lineRule="auto"/>
        <w:ind w:firstLine="708"/>
        <w:jc w:val="both"/>
      </w:pPr>
      <w:r w:rsidRPr="000F617F">
        <w:t xml:space="preserve"> A intervenção realizada teve como </w:t>
      </w:r>
      <w:r>
        <w:t>objetivo</w:t>
      </w:r>
      <w:r w:rsidRPr="000F617F">
        <w:t xml:space="preserve"> o alargamento da área sondada em 2003, de forma a conseguir uma melhor compreensão da formação da jazida arqueológica e a sua caracterização estratigráfica. Outro propósito desta campanha era recolher um número estatisticamente representativo de peças para poder caracterizar tecno-tipologicamente a indústria lítica. </w:t>
      </w:r>
    </w:p>
    <w:p w:rsidR="00D92F53" w:rsidRPr="006D3B05" w:rsidRDefault="00A34B7A" w:rsidP="006D3B05">
      <w:pPr>
        <w:spacing w:line="360" w:lineRule="auto"/>
        <w:ind w:firstLine="708"/>
        <w:jc w:val="both"/>
      </w:pPr>
      <w:r w:rsidRPr="000F617F">
        <w:t xml:space="preserve">As metodologias </w:t>
      </w:r>
      <w:r>
        <w:t>adotada</w:t>
      </w:r>
      <w:r w:rsidRPr="000F617F">
        <w:t>s foram as comummente utilizadas neste tipo de sítios pela comunidade científica. Recorreu-se ao método de decapagem por camadas naturais mas de forma a identificar possíveis diferenças estratigráficas e, devido à espessura das camadas naturais, optou-se também por subdividir estas em níveis artificiais de 10 cm. Os sedimentos, tendo em conta o tipo de solo da área, foram crivados a seco. O material exumado foi devidamente processado e georreferenciado tridimensionalmente. Cada nível artificial foi alvo de registo gráfico e fotográfico em suporte digital.</w:t>
      </w:r>
    </w:p>
    <w:p w:rsidR="00D92F53" w:rsidRDefault="00D92F53" w:rsidP="00A34B7A">
      <w:pPr>
        <w:spacing w:line="360" w:lineRule="auto"/>
        <w:jc w:val="both"/>
        <w:rPr>
          <w:b/>
        </w:rPr>
      </w:pPr>
    </w:p>
    <w:p w:rsidR="00A34B7A" w:rsidRPr="000F617F" w:rsidRDefault="00A34B7A" w:rsidP="00A34B7A">
      <w:pPr>
        <w:spacing w:line="360" w:lineRule="auto"/>
        <w:jc w:val="both"/>
        <w:rPr>
          <w:b/>
        </w:rPr>
      </w:pPr>
      <w:r w:rsidRPr="000F617F">
        <w:rPr>
          <w:b/>
        </w:rPr>
        <w:lastRenderedPageBreak/>
        <w:t xml:space="preserve">5.2.3 </w:t>
      </w:r>
      <w:r w:rsidRPr="000F617F">
        <w:t>Tapada do Montinho.</w:t>
      </w:r>
    </w:p>
    <w:p w:rsidR="00A34B7A" w:rsidRPr="000F617F" w:rsidRDefault="00A34B7A" w:rsidP="00A34B7A">
      <w:pPr>
        <w:spacing w:line="360" w:lineRule="auto"/>
        <w:jc w:val="both"/>
        <w:rPr>
          <w:b/>
          <w:u w:val="single"/>
        </w:rPr>
      </w:pPr>
    </w:p>
    <w:p w:rsidR="00A34B7A" w:rsidRPr="000F617F" w:rsidRDefault="00A34B7A" w:rsidP="00A34B7A">
      <w:pPr>
        <w:spacing w:line="360" w:lineRule="auto"/>
        <w:jc w:val="both"/>
        <w:rPr>
          <w:b/>
          <w:u w:val="single"/>
        </w:rPr>
      </w:pPr>
    </w:p>
    <w:p w:rsidR="00A34B7A" w:rsidRPr="000F617F" w:rsidRDefault="00A34B7A" w:rsidP="00A34B7A">
      <w:pPr>
        <w:spacing w:line="360" w:lineRule="auto"/>
        <w:ind w:firstLine="708"/>
        <w:jc w:val="both"/>
      </w:pPr>
      <w:r w:rsidRPr="000F617F">
        <w:t xml:space="preserve">Este local foi descoberto durante os trabalhos de </w:t>
      </w:r>
      <w:r>
        <w:t>prospeção</w:t>
      </w:r>
      <w:r w:rsidRPr="000F617F">
        <w:t xml:space="preserve"> realizados em 2003, ao abrigo da segunda fase do Plano Nacional de Trabalhos Arqueológicos do </w:t>
      </w:r>
      <w:r>
        <w:t>projeto</w:t>
      </w:r>
      <w:r w:rsidRPr="000F617F">
        <w:t xml:space="preserve"> Pré-história Antiga no Nordeste Alentejano (PHANA). A estação estende-se por cerca de 2,5 hectares de um terraço que se desenvolve no sentido Este/Oeste, tendo sido ocupada em vários momentos da Pré-história (figura 5.4).</w:t>
      </w:r>
    </w:p>
    <w:p w:rsidR="00A34B7A" w:rsidRPr="000F617F" w:rsidRDefault="00A34B7A" w:rsidP="00A34B7A">
      <w:pPr>
        <w:spacing w:line="360" w:lineRule="auto"/>
        <w:ind w:firstLine="708"/>
        <w:jc w:val="both"/>
      </w:pPr>
      <w:r w:rsidRPr="000F617F">
        <w:t xml:space="preserve">A intervenção que se realizou no sítio Tapada do Montinho, em março e dezembro de 2008, teve por principal </w:t>
      </w:r>
      <w:r>
        <w:t>objetivo</w:t>
      </w:r>
      <w:r w:rsidRPr="000F617F">
        <w:t xml:space="preserve"> a realização de sondagens que permitissem definir a estratigrafia da zona e averiguar da existência de níveis arqueológicos conservados. </w:t>
      </w:r>
    </w:p>
    <w:p w:rsidR="00A34B7A" w:rsidRPr="000F617F" w:rsidRDefault="00EA3774" w:rsidP="00A34B7A">
      <w:pPr>
        <w:spacing w:line="360" w:lineRule="auto"/>
        <w:jc w:val="both"/>
      </w:pPr>
      <w:r w:rsidRPr="00EA3774">
        <w:rPr>
          <w:b/>
          <w:noProof/>
          <w:lang w:eastAsia="en-US"/>
        </w:rPr>
        <w:pict>
          <v:shape id="_x0000_s1040" type="#_x0000_t202" style="position:absolute;left:0;text-align:left;margin-left:-2.95pt;margin-top:246.25pt;width:454.35pt;height:23.25pt;z-index:251679744;mso-width-relative:margin;mso-height-relative:margin" stroked="f">
            <v:textbox style="mso-next-textbox:#_x0000_s1040">
              <w:txbxContent>
                <w:p w:rsidR="00B34B0F" w:rsidRPr="00E60225" w:rsidRDefault="00B34B0F" w:rsidP="00A34B7A">
                  <w:pPr>
                    <w:spacing w:line="360" w:lineRule="auto"/>
                  </w:pPr>
                  <w:r w:rsidRPr="00E60225">
                    <w:t>Figura</w:t>
                  </w:r>
                  <w:r>
                    <w:t xml:space="preserve"> n.º </w:t>
                  </w:r>
                  <w:r w:rsidRPr="00E60225">
                    <w:t>5.4: Tap</w:t>
                  </w:r>
                  <w:r>
                    <w:t>ada do Montinho, l</w:t>
                  </w:r>
                  <w:r w:rsidRPr="00E60225">
                    <w:t>ocalização da</w:t>
                  </w:r>
                  <w:r>
                    <w:t>s</w:t>
                  </w:r>
                  <w:r w:rsidRPr="00E60225">
                    <w:t xml:space="preserve"> </w:t>
                  </w:r>
                  <w:r>
                    <w:t>intervenções.</w:t>
                  </w:r>
                  <w:r w:rsidRPr="00E60225">
                    <w:t xml:space="preserve"> </w:t>
                  </w:r>
                </w:p>
                <w:p w:rsidR="00B34B0F" w:rsidRDefault="00B34B0F" w:rsidP="00A34B7A"/>
              </w:txbxContent>
            </v:textbox>
          </v:shape>
        </w:pict>
      </w:r>
      <w:r w:rsidR="00A34B7A">
        <w:rPr>
          <w:b/>
          <w:noProof/>
        </w:rPr>
        <w:drawing>
          <wp:inline distT="0" distB="0" distL="0" distR="0">
            <wp:extent cx="5495925" cy="3124200"/>
            <wp:effectExtent l="19050" t="0" r="9525" b="0"/>
            <wp:docPr id="25" name="Imagem 8" descr="TPM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Mloc"/>
                    <pic:cNvPicPr>
                      <a:picLocks noChangeAspect="1" noChangeArrowheads="1"/>
                    </pic:cNvPicPr>
                  </pic:nvPicPr>
                  <pic:blipFill>
                    <a:blip r:embed="rId36" cstate="print"/>
                    <a:srcRect/>
                    <a:stretch>
                      <a:fillRect/>
                    </a:stretch>
                  </pic:blipFill>
                  <pic:spPr bwMode="auto">
                    <a:xfrm>
                      <a:off x="0" y="0"/>
                      <a:ext cx="5495925" cy="3124200"/>
                    </a:xfrm>
                    <a:prstGeom prst="rect">
                      <a:avLst/>
                    </a:prstGeom>
                    <a:noFill/>
                    <a:ln w="9525">
                      <a:noFill/>
                      <a:miter lim="800000"/>
                      <a:headEnd/>
                      <a:tailEnd/>
                    </a:ln>
                  </pic:spPr>
                </pic:pic>
              </a:graphicData>
            </a:graphic>
          </wp:inline>
        </w:drawing>
      </w: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p>
    <w:p w:rsidR="00A34B7A" w:rsidRPr="000F617F" w:rsidRDefault="00A34B7A" w:rsidP="00A34B7A">
      <w:pPr>
        <w:spacing w:line="360" w:lineRule="auto"/>
        <w:ind w:firstLine="708"/>
        <w:jc w:val="both"/>
      </w:pPr>
      <w:r w:rsidRPr="000F617F">
        <w:t>Tendo em consideração a grande dimensão da mancha de dispersão dos materiais arqueológicos e para facilitar os trabalhos, procedeu-se à divisão da plataforma da Tapada do Montinho em três zonas.</w:t>
      </w:r>
    </w:p>
    <w:p w:rsidR="00A34B7A" w:rsidRPr="000F617F" w:rsidRDefault="00A34B7A" w:rsidP="00A34B7A">
      <w:pPr>
        <w:spacing w:line="360" w:lineRule="auto"/>
        <w:ind w:firstLine="708"/>
        <w:jc w:val="both"/>
        <w:rPr>
          <w:b/>
        </w:rPr>
      </w:pPr>
      <w:r w:rsidRPr="000F617F">
        <w:t>A divisão destas três zonas seguiu o ordenamento parcelar visível no terreno através de restos dos muros de divisão de propriedade. Nesta campanha apenas se interveio na plataforma 1 e 2 (figura 5.4) tendo sido escavadas duas sondagens em cada uma dessas plataformas.</w:t>
      </w:r>
    </w:p>
    <w:p w:rsidR="00A34B7A" w:rsidRPr="000F617F" w:rsidRDefault="00A34B7A" w:rsidP="00A34B7A">
      <w:pPr>
        <w:spacing w:line="360" w:lineRule="auto"/>
        <w:ind w:firstLine="708"/>
        <w:jc w:val="both"/>
      </w:pPr>
      <w:r w:rsidRPr="000F617F">
        <w:lastRenderedPageBreak/>
        <w:t xml:space="preserve">As sondagens 1 e 2 ficaram localizadas na plataforma 1 e as sondagens 3 e 4 localizaram-se na plataforma 2. Destas quatro sondagens apenas a sondagem 2 apresentou um nível arqueológico conservado, atribuído, pelo material recolhido, ao Paleolítico médio. </w:t>
      </w:r>
    </w:p>
    <w:p w:rsidR="00A34B7A" w:rsidRPr="000F617F" w:rsidRDefault="00A34B7A" w:rsidP="00A34B7A">
      <w:pPr>
        <w:spacing w:line="360" w:lineRule="auto"/>
        <w:ind w:firstLine="708"/>
        <w:jc w:val="both"/>
      </w:pPr>
    </w:p>
    <w:p w:rsidR="00A34B7A" w:rsidRPr="000F617F" w:rsidRDefault="00EA3774" w:rsidP="00A34B7A">
      <w:pPr>
        <w:spacing w:line="360" w:lineRule="auto"/>
        <w:jc w:val="both"/>
      </w:pPr>
      <w:r>
        <w:rPr>
          <w:noProof/>
          <w:lang w:eastAsia="en-US"/>
        </w:rPr>
        <w:pict>
          <v:shape id="_x0000_s1047" type="#_x0000_t202" style="position:absolute;left:0;text-align:left;margin-left:-5.55pt;margin-top:283.3pt;width:430.4pt;height:37.6pt;z-index:251686912;mso-width-relative:margin;mso-height-relative:margin" stroked="f">
            <v:textbox style="mso-next-textbox:#_x0000_s1047">
              <w:txbxContent>
                <w:p w:rsidR="00B34B0F" w:rsidRPr="005D58FE" w:rsidRDefault="00B34B0F" w:rsidP="00A34B7A">
                  <w:pPr>
                    <w:jc w:val="both"/>
                  </w:pPr>
                  <w:r w:rsidRPr="005D58FE">
                    <w:t>F</w:t>
                  </w:r>
                  <w:r>
                    <w:t>oto.</w:t>
                  </w:r>
                  <w:r w:rsidRPr="005D58FE">
                    <w:t xml:space="preserve"> 5.</w:t>
                  </w:r>
                  <w:r>
                    <w:t>5</w:t>
                  </w:r>
                  <w:r w:rsidRPr="005D58FE">
                    <w:t xml:space="preserve">- </w:t>
                  </w:r>
                  <w:r>
                    <w:t>Aspecto geral da plataforma 1da estação da Tapada do Montinho. O arqueólogo agachado está na sondagem 2 (M41).</w:t>
                  </w:r>
                </w:p>
                <w:p w:rsidR="00B34B0F" w:rsidRDefault="00B34B0F" w:rsidP="00A34B7A"/>
              </w:txbxContent>
            </v:textbox>
          </v:shape>
        </w:pict>
      </w:r>
      <w:r w:rsidR="00A34B7A">
        <w:rPr>
          <w:noProof/>
        </w:rPr>
        <w:drawing>
          <wp:inline distT="0" distB="0" distL="0" distR="0">
            <wp:extent cx="5391150" cy="3590925"/>
            <wp:effectExtent l="19050" t="0" r="0" b="0"/>
            <wp:docPr id="26" name="Imagem 9" descr="DSC0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1227"/>
                    <pic:cNvPicPr>
                      <a:picLocks noChangeAspect="1" noChangeArrowheads="1"/>
                    </pic:cNvPicPr>
                  </pic:nvPicPr>
                  <pic:blipFill>
                    <a:blip r:embed="rId37" cstate="print"/>
                    <a:srcRect/>
                    <a:stretch>
                      <a:fillRect/>
                    </a:stretch>
                  </pic:blipFill>
                  <pic:spPr bwMode="auto">
                    <a:xfrm>
                      <a:off x="0" y="0"/>
                      <a:ext cx="5391150" cy="3590925"/>
                    </a:xfrm>
                    <a:prstGeom prst="rect">
                      <a:avLst/>
                    </a:prstGeom>
                    <a:noFill/>
                    <a:ln w="9525">
                      <a:noFill/>
                      <a:miter lim="800000"/>
                      <a:headEnd/>
                      <a:tailEnd/>
                    </a:ln>
                  </pic:spPr>
                </pic:pic>
              </a:graphicData>
            </a:graphic>
          </wp:inline>
        </w:drawing>
      </w:r>
    </w:p>
    <w:p w:rsidR="00A34B7A" w:rsidRPr="000F617F" w:rsidRDefault="00A34B7A" w:rsidP="00A34B7A">
      <w:pPr>
        <w:spacing w:line="360" w:lineRule="auto"/>
        <w:ind w:firstLine="708"/>
        <w:jc w:val="both"/>
      </w:pPr>
    </w:p>
    <w:p w:rsidR="00A34B7A" w:rsidRPr="000F617F" w:rsidRDefault="00A34B7A" w:rsidP="00A34B7A">
      <w:pPr>
        <w:spacing w:line="360" w:lineRule="auto"/>
        <w:jc w:val="both"/>
      </w:pPr>
    </w:p>
    <w:p w:rsidR="00A34B7A" w:rsidRPr="000F617F" w:rsidRDefault="00A34B7A" w:rsidP="00A34B7A">
      <w:pPr>
        <w:spacing w:line="360" w:lineRule="auto"/>
        <w:ind w:firstLine="708"/>
        <w:jc w:val="both"/>
      </w:pPr>
      <w:r w:rsidRPr="000F617F">
        <w:t>Na plataforma 2, na sondagem 4, foi identificado um outro nível arqueológico mas que se encontrava perturbado pelos trabalhos agrícolas. O material recolhido não permite um diagnóstico indicativo mas indicia uma atribuição cronológica do Paleolítico superior. Em 2012, realizou-se mais uma sondagem na plataforma 3. Embora ainda não se tenha concluído esta sondagem já foram identificados dois níveis arqueológicos atribuíveis, pelo tipo de espólio recolhido, à Pré-história recente. Entre a plataforma 1 e a 3 verifica-se um desnível de quase 3 metros, o que permite antecipar a possibilidade de, nesta última plataforma, poderem estar presentes ocupações bem conservadas. Estas ocupações poderão abarcar todos os períodos já identificados na estação da Tapada do Montinho.</w:t>
      </w:r>
    </w:p>
    <w:p w:rsidR="00A34B7A" w:rsidRPr="000F617F" w:rsidRDefault="00A34B7A" w:rsidP="00A34B7A">
      <w:pPr>
        <w:spacing w:line="360" w:lineRule="auto"/>
        <w:ind w:firstLine="708"/>
        <w:jc w:val="both"/>
      </w:pPr>
      <w:r w:rsidRPr="000F617F">
        <w:t xml:space="preserve">Voltando à sondagem onde se identificou uma ocupação adscrita tipologicamente ao Paleolítico médio, a intervenção realizada em Setembro de 2009 tinha como </w:t>
      </w:r>
      <w:r>
        <w:t>objetivo</w:t>
      </w:r>
      <w:r w:rsidRPr="000F617F">
        <w:t xml:space="preserve"> a caracterização da ocupação recorrendo ao alargamento da área </w:t>
      </w:r>
      <w:r w:rsidRPr="000F617F">
        <w:lastRenderedPageBreak/>
        <w:t>sondada no ano anterior, de forma a recolher material lítico estaticamente significativo para caracterizar tipológica e t</w:t>
      </w:r>
      <w:r>
        <w:t>ecnologicamente a ocupação dete</w:t>
      </w:r>
      <w:r w:rsidRPr="000F617F">
        <w:t xml:space="preserve">tada em 2008, na sondagem n.º 2. Nesta sondagem localizou-se uma camada com cerca de 20 cm de espessura que embalava uma indústria lítica maioritariamente em quartzito. </w:t>
      </w:r>
    </w:p>
    <w:p w:rsidR="00A34B7A" w:rsidRPr="000F617F" w:rsidRDefault="00A34B7A" w:rsidP="00A34B7A">
      <w:pPr>
        <w:spacing w:line="360" w:lineRule="auto"/>
        <w:ind w:firstLine="708"/>
        <w:jc w:val="both"/>
      </w:pPr>
      <w:r w:rsidRPr="000F617F">
        <w:t xml:space="preserve">Os trabalhos iniciaram-se com a localização da sondagem realizada em 2008. Após a sua localização, implantou-se no terreno uma quadrícula de 5x1 metro contígua ao lado Norte desta última. Com a implantação desta quadrícula a sondagem 2 passou a ter a denominação de M41. Foram ainda abertas mais duas sondagens de 1x1 metro a Norte da vala principal e outra a este da S2 (figura 5.5). </w:t>
      </w:r>
    </w:p>
    <w:p w:rsidR="00A34B7A" w:rsidRPr="000F617F" w:rsidRDefault="00EA3774" w:rsidP="00A34B7A">
      <w:pPr>
        <w:spacing w:line="360" w:lineRule="auto"/>
        <w:jc w:val="center"/>
      </w:pPr>
      <w:r>
        <w:rPr>
          <w:noProof/>
          <w:lang w:eastAsia="en-US"/>
        </w:rPr>
        <w:pict>
          <v:shape id="_x0000_s1048" type="#_x0000_t202" style="position:absolute;left:0;text-align:left;margin-left:32.05pt;margin-top:332pt;width:404.9pt;height:31.75pt;z-index:251687936;mso-height-percent:200;mso-height-percent:200;mso-width-relative:margin;mso-height-relative:margin" stroked="f">
            <v:textbox style="mso-next-textbox:#_x0000_s1048;mso-fit-shape-to-text:t">
              <w:txbxContent>
                <w:p w:rsidR="00B34B0F" w:rsidRDefault="00B34B0F" w:rsidP="00A34B7A">
                  <w:r w:rsidRPr="00E60225">
                    <w:t>Figura 5.</w:t>
                  </w:r>
                  <w:r>
                    <w:t>5</w:t>
                  </w:r>
                  <w:r w:rsidRPr="00E60225">
                    <w:t>:</w:t>
                  </w:r>
                  <w:r>
                    <w:t xml:space="preserve"> Tapada do Montinho: área escavada na plataforma 1.</w:t>
                  </w:r>
                </w:p>
              </w:txbxContent>
            </v:textbox>
          </v:shape>
        </w:pict>
      </w:r>
      <w:r w:rsidR="00A34B7A">
        <w:rPr>
          <w:noProof/>
        </w:rPr>
        <w:drawing>
          <wp:inline distT="0" distB="0" distL="0" distR="0">
            <wp:extent cx="5000625" cy="4400550"/>
            <wp:effectExtent l="19050" t="0" r="9525" b="0"/>
            <wp:docPr id="27" name="Imagem 10" descr="TPM qu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M quad"/>
                    <pic:cNvPicPr>
                      <a:picLocks noChangeAspect="1" noChangeArrowheads="1"/>
                    </pic:cNvPicPr>
                  </pic:nvPicPr>
                  <pic:blipFill>
                    <a:blip r:embed="rId38" cstate="print"/>
                    <a:srcRect/>
                    <a:stretch>
                      <a:fillRect/>
                    </a:stretch>
                  </pic:blipFill>
                  <pic:spPr bwMode="auto">
                    <a:xfrm>
                      <a:off x="0" y="0"/>
                      <a:ext cx="5000625" cy="4400550"/>
                    </a:xfrm>
                    <a:prstGeom prst="rect">
                      <a:avLst/>
                    </a:prstGeom>
                    <a:noFill/>
                    <a:ln w="9525">
                      <a:noFill/>
                      <a:miter lim="800000"/>
                      <a:headEnd/>
                      <a:tailEnd/>
                    </a:ln>
                  </pic:spPr>
                </pic:pic>
              </a:graphicData>
            </a:graphic>
          </wp:inline>
        </w:drawing>
      </w:r>
    </w:p>
    <w:p w:rsidR="00A34B7A" w:rsidRPr="000F617F" w:rsidRDefault="00A34B7A" w:rsidP="00A34B7A">
      <w:pPr>
        <w:spacing w:line="360" w:lineRule="auto"/>
        <w:ind w:firstLine="708"/>
        <w:jc w:val="both"/>
      </w:pPr>
      <w:r w:rsidRPr="000F617F">
        <w:t xml:space="preserve">A área total sondada em 2009 foi de 7 m². A escavação dos níveis arqueológicos realizou-se através da decapagem por níveis artificiais de cerca de 5 cm. Procedeu-se ao registo tridimensional dos materiais recolhidos nas quadrículas K40, O41 e N37. Durante os trabalhos de escavação verificou-se, erroneamente como se veio a apurar com o estudo posterior do material, que não existiam remontagens neste espólio. Por essa razão optou-se por continuar a escavação por nível e quadrante abandonando-se o registo tridimensional de todas as peças, por não trazer mais informação. </w:t>
      </w:r>
    </w:p>
    <w:p w:rsidR="00A34B7A" w:rsidRDefault="00A34B7A"/>
    <w:p w:rsidR="00A34B7A" w:rsidRDefault="00A34B7A"/>
    <w:p w:rsidR="00A34B7A" w:rsidRDefault="00A34B7A"/>
    <w:p w:rsidR="00A34B7A" w:rsidRDefault="00A34B7A"/>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A34B7A" w:rsidRDefault="00A34B7A" w:rsidP="00A34B7A">
      <w:pPr>
        <w:spacing w:line="360" w:lineRule="auto"/>
        <w:rPr>
          <w:b/>
          <w:u w:val="single"/>
        </w:rPr>
      </w:pPr>
    </w:p>
    <w:p w:rsidR="006D3B05" w:rsidRDefault="006D3B05" w:rsidP="00A34B7A">
      <w:pPr>
        <w:spacing w:line="360" w:lineRule="auto"/>
        <w:jc w:val="right"/>
        <w:rPr>
          <w:b/>
          <w:u w:val="single"/>
        </w:rPr>
      </w:pPr>
    </w:p>
    <w:p w:rsidR="00A34B7A" w:rsidRPr="00C874AD" w:rsidRDefault="00A34B7A" w:rsidP="00A34B7A">
      <w:pPr>
        <w:spacing w:line="360" w:lineRule="auto"/>
        <w:jc w:val="right"/>
        <w:rPr>
          <w:b/>
          <w:u w:val="single"/>
        </w:rPr>
      </w:pPr>
      <w:r w:rsidRPr="00C874AD">
        <w:rPr>
          <w:b/>
          <w:u w:val="single"/>
        </w:rPr>
        <w:t xml:space="preserve">VI -RESULTADOS </w:t>
      </w: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p>
    <w:p w:rsidR="00A34B7A" w:rsidRDefault="00A34B7A" w:rsidP="00A34B7A">
      <w:pPr>
        <w:spacing w:line="360" w:lineRule="auto"/>
        <w:jc w:val="both"/>
        <w:rPr>
          <w:b/>
        </w:rPr>
      </w:pPr>
      <w:r>
        <w:rPr>
          <w:b/>
        </w:rPr>
        <w:lastRenderedPageBreak/>
        <w:t>6.1 - P</w:t>
      </w:r>
      <w:r w:rsidRPr="00C874AD">
        <w:rPr>
          <w:b/>
        </w:rPr>
        <w:t>egos</w:t>
      </w:r>
      <w:r>
        <w:rPr>
          <w:b/>
        </w:rPr>
        <w:t xml:space="preserve"> do Tejo 2</w:t>
      </w:r>
    </w:p>
    <w:p w:rsidR="00A34B7A" w:rsidRDefault="00A34B7A" w:rsidP="00A34B7A">
      <w:pPr>
        <w:pStyle w:val="Avanodecorpodetexto"/>
        <w:spacing w:line="360" w:lineRule="auto"/>
        <w:ind w:left="0"/>
        <w:jc w:val="both"/>
      </w:pPr>
    </w:p>
    <w:p w:rsidR="00A34B7A" w:rsidRDefault="00A34B7A" w:rsidP="00A34B7A">
      <w:pPr>
        <w:autoSpaceDE w:val="0"/>
        <w:autoSpaceDN w:val="0"/>
        <w:adjustRightInd w:val="0"/>
        <w:rPr>
          <w:b/>
        </w:rPr>
      </w:pPr>
    </w:p>
    <w:p w:rsidR="00A34B7A" w:rsidRPr="00A07DB6" w:rsidRDefault="00A34B7A" w:rsidP="00A34B7A">
      <w:pPr>
        <w:rPr>
          <w:b/>
        </w:rPr>
      </w:pPr>
      <w:r>
        <w:rPr>
          <w:b/>
        </w:rPr>
        <w:t xml:space="preserve">6.1.1- </w:t>
      </w:r>
      <w:r w:rsidRPr="00C33F4C">
        <w:t>Estratigrafia</w:t>
      </w:r>
      <w:r>
        <w:t>.</w:t>
      </w:r>
    </w:p>
    <w:p w:rsidR="00A34B7A" w:rsidRDefault="00A34B7A" w:rsidP="00A34B7A">
      <w:pPr>
        <w:spacing w:line="360" w:lineRule="auto"/>
        <w:jc w:val="both"/>
      </w:pPr>
    </w:p>
    <w:p w:rsidR="00A34B7A" w:rsidRDefault="00A34B7A" w:rsidP="00A34B7A">
      <w:pPr>
        <w:spacing w:line="360" w:lineRule="auto"/>
        <w:ind w:firstLine="708"/>
        <w:jc w:val="both"/>
      </w:pPr>
      <w:r w:rsidRPr="003529C7">
        <w:t xml:space="preserve">A escavação </w:t>
      </w:r>
      <w:r>
        <w:t>levou à verificação da boa conservação do</w:t>
      </w:r>
      <w:r w:rsidRPr="003529C7">
        <w:t xml:space="preserve"> nível arqueológico se encontra bem conservado (a crivagem do sedimento permitiu recolher esquírolas com cerca de 4 mm).</w:t>
      </w:r>
      <w:r w:rsidRPr="000A5371">
        <w:rPr>
          <w:color w:val="FF0000"/>
        </w:rPr>
        <w:t xml:space="preserve"> </w:t>
      </w:r>
      <w:r w:rsidRPr="0064400A">
        <w:t>O corte estratigráfico é apresentado de forma a inserir o nív</w:t>
      </w:r>
      <w:r>
        <w:t xml:space="preserve">el arqueológico no seu contexto </w:t>
      </w:r>
      <w:r w:rsidRPr="0064400A">
        <w:t>geológico</w:t>
      </w:r>
      <w:r>
        <w:rPr>
          <w:color w:val="FF0000"/>
        </w:rPr>
        <w:t xml:space="preserve"> </w:t>
      </w:r>
      <w:r>
        <w:t>(figura 6.1.10</w:t>
      </w:r>
      <w:r w:rsidRPr="008E10E1">
        <w:t xml:space="preserve">). </w:t>
      </w:r>
      <w:r w:rsidRPr="0064400A">
        <w:t>A ocupação paleolítica encontra-se precedida por outra</w:t>
      </w:r>
      <w:r>
        <w:t>s</w:t>
      </w:r>
      <w:r w:rsidRPr="0064400A">
        <w:t xml:space="preserve"> quatro unidades estratigráficas. A primeira dessas unidades resume-se ao solo arável, apresentando uma matriz arenosa embalando seixos angulosos quartzíticos, originários da crista que domina a Norte da estação. </w:t>
      </w:r>
    </w:p>
    <w:p w:rsidR="00A34B7A" w:rsidRDefault="00A34B7A" w:rsidP="00A34B7A">
      <w:pPr>
        <w:spacing w:line="360" w:lineRule="auto"/>
        <w:ind w:firstLine="708"/>
        <w:jc w:val="both"/>
      </w:pPr>
    </w:p>
    <w:p w:rsidR="00A34B7A" w:rsidRDefault="00EA3774" w:rsidP="00A34B7A">
      <w:pPr>
        <w:spacing w:line="360" w:lineRule="auto"/>
        <w:jc w:val="center"/>
      </w:pPr>
      <w:r>
        <w:rPr>
          <w:noProof/>
          <w:lang w:eastAsia="en-US"/>
        </w:rPr>
        <w:pict>
          <v:shape id="_x0000_s1082" type="#_x0000_t202" style="position:absolute;left:0;text-align:left;margin-left:14.6pt;margin-top:419.3pt;width:351.1pt;height:33.65pt;z-index:251723776;mso-height-percent:200;mso-height-percent:200;mso-width-relative:margin;mso-height-relative:margin" stroked="f">
            <v:textbox style="mso-next-textbox:#_x0000_s1082;mso-fit-shape-to-text:t">
              <w:txbxContent>
                <w:p w:rsidR="00B34B0F" w:rsidRPr="0044052F" w:rsidRDefault="00B34B0F" w:rsidP="00A34B7A">
                  <w:pPr>
                    <w:jc w:val="both"/>
                    <w:rPr>
                      <w:sz w:val="22"/>
                      <w:szCs w:val="22"/>
                    </w:rPr>
                  </w:pPr>
                  <w:r>
                    <w:rPr>
                      <w:sz w:val="22"/>
                      <w:szCs w:val="22"/>
                    </w:rPr>
                    <w:t>Figura 6.1.1</w:t>
                  </w:r>
                  <w:r w:rsidRPr="0044052F">
                    <w:rPr>
                      <w:sz w:val="22"/>
                      <w:szCs w:val="22"/>
                    </w:rPr>
                    <w:t>- Pegos do Tejo 2- corte estratigráfico.</w:t>
                  </w:r>
                </w:p>
                <w:p w:rsidR="00B34B0F" w:rsidRDefault="00B34B0F" w:rsidP="00A34B7A"/>
              </w:txbxContent>
            </v:textbox>
          </v:shape>
        </w:pict>
      </w:r>
      <w:r w:rsidR="00A34B7A">
        <w:rPr>
          <w:noProof/>
        </w:rPr>
        <w:drawing>
          <wp:inline distT="0" distB="0" distL="0" distR="0">
            <wp:extent cx="4848225" cy="5314950"/>
            <wp:effectExtent l="19050" t="0" r="9525" b="0"/>
            <wp:docPr id="28" name="Imagem 4" descr="CortePT2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tePT2cam"/>
                    <pic:cNvPicPr>
                      <a:picLocks noChangeAspect="1" noChangeArrowheads="1"/>
                    </pic:cNvPicPr>
                  </pic:nvPicPr>
                  <pic:blipFill>
                    <a:blip r:embed="rId39" cstate="print"/>
                    <a:srcRect/>
                    <a:stretch>
                      <a:fillRect/>
                    </a:stretch>
                  </pic:blipFill>
                  <pic:spPr bwMode="auto">
                    <a:xfrm>
                      <a:off x="0" y="0"/>
                      <a:ext cx="4848225" cy="5314950"/>
                    </a:xfrm>
                    <a:prstGeom prst="rect">
                      <a:avLst/>
                    </a:prstGeom>
                    <a:noFill/>
                    <a:ln w="9525">
                      <a:noFill/>
                      <a:miter lim="800000"/>
                      <a:headEnd/>
                      <a:tailEnd/>
                    </a:ln>
                  </pic:spPr>
                </pic:pic>
              </a:graphicData>
            </a:graphic>
          </wp:inline>
        </w:drawing>
      </w:r>
    </w:p>
    <w:p w:rsidR="00A34B7A" w:rsidRDefault="00A34B7A" w:rsidP="00A34B7A">
      <w:pPr>
        <w:spacing w:line="360" w:lineRule="auto"/>
        <w:ind w:firstLine="708"/>
        <w:jc w:val="both"/>
      </w:pPr>
    </w:p>
    <w:p w:rsidR="00A34B7A" w:rsidRDefault="00A34B7A" w:rsidP="00A34B7A">
      <w:pPr>
        <w:spacing w:line="360" w:lineRule="auto"/>
        <w:ind w:firstLine="708"/>
        <w:jc w:val="both"/>
      </w:pPr>
      <w:r w:rsidRPr="0064400A">
        <w:t>O segundo nível caracteriza-se pela mesma matriz arenosa mas sem a matéria orgânica. No topo desta camada for</w:t>
      </w:r>
      <w:r>
        <w:t>am</w:t>
      </w:r>
      <w:r w:rsidRPr="0064400A">
        <w:t xml:space="preserve"> ainda detectados alguns seixos angulosos em quartzito. O terceiro depósito sedimentar é formado por argilas vermelhas que apresentam fissuras colmatadas pelo sedimento da camada anterior. Estes três primeiros estratos foram afectados pela camada 0 </w:t>
      </w:r>
      <w:r>
        <w:t>que corresponde a uma</w:t>
      </w:r>
      <w:r w:rsidRPr="0064400A">
        <w:rPr>
          <w:b/>
        </w:rPr>
        <w:t xml:space="preserve"> </w:t>
      </w:r>
      <w:r w:rsidRPr="0064400A">
        <w:t xml:space="preserve">fossa para plantio de árvore que revolveu parte da </w:t>
      </w:r>
      <w:r>
        <w:t>GFU1,GFU</w:t>
      </w:r>
      <w:r w:rsidRPr="0064400A">
        <w:t xml:space="preserve">2 e </w:t>
      </w:r>
      <w:r>
        <w:t>GFU</w:t>
      </w:r>
      <w:r w:rsidRPr="0064400A">
        <w:t>3, no canto superior esquerdo</w:t>
      </w:r>
      <w:r w:rsidRPr="0064400A">
        <w:rPr>
          <w:b/>
        </w:rPr>
        <w:t xml:space="preserve">. </w:t>
      </w:r>
      <w:r w:rsidRPr="0064400A">
        <w:t>A quarta unidade estratigráfica, constituída por areias de cor alaranjada, apresenta alguns depósitos de argila branca de forma irregular. A c</w:t>
      </w:r>
      <w:r>
        <w:t>amada arqueológica, que lhe está</w:t>
      </w:r>
      <w:r w:rsidRPr="0064400A">
        <w:t xml:space="preserve"> subjacente, apresenta as mesmas características mas com a presença de seixos rolados e indústria lítica. </w:t>
      </w:r>
    </w:p>
    <w:p w:rsidR="00A34B7A" w:rsidRDefault="00A34B7A" w:rsidP="00A34B7A">
      <w:pPr>
        <w:spacing w:line="360" w:lineRule="auto"/>
        <w:ind w:firstLine="708"/>
        <w:jc w:val="both"/>
      </w:pPr>
    </w:p>
    <w:p w:rsidR="00A34B7A" w:rsidRPr="00D6711C" w:rsidRDefault="00A34B7A" w:rsidP="00A34B7A">
      <w:pPr>
        <w:spacing w:line="360" w:lineRule="auto"/>
        <w:ind w:firstLine="708"/>
        <w:jc w:val="both"/>
      </w:pPr>
    </w:p>
    <w:p w:rsidR="00A34B7A" w:rsidRPr="00A07DB6" w:rsidRDefault="00A34B7A" w:rsidP="00A34B7A">
      <w:r w:rsidRPr="00A07DB6">
        <w:rPr>
          <w:b/>
        </w:rPr>
        <w:t>6.1.</w:t>
      </w:r>
      <w:r>
        <w:rPr>
          <w:b/>
        </w:rPr>
        <w:t>2</w:t>
      </w:r>
      <w:r w:rsidRPr="00A07DB6">
        <w:rPr>
          <w:b/>
        </w:rPr>
        <w:t xml:space="preserve">- </w:t>
      </w:r>
      <w:r w:rsidRPr="00C33F4C">
        <w:t>Datações</w:t>
      </w:r>
      <w:r>
        <w:t>.</w:t>
      </w:r>
      <w:r w:rsidRPr="00C33F4C">
        <w:t xml:space="preserve"> </w:t>
      </w:r>
    </w:p>
    <w:p w:rsidR="00A34B7A" w:rsidRDefault="00A34B7A" w:rsidP="00A34B7A">
      <w:pPr>
        <w:spacing w:line="360" w:lineRule="auto"/>
        <w:ind w:firstLine="708"/>
        <w:jc w:val="both"/>
      </w:pPr>
    </w:p>
    <w:p w:rsidR="00A34B7A" w:rsidRDefault="00A34B7A" w:rsidP="00A34B7A">
      <w:pPr>
        <w:spacing w:line="360" w:lineRule="auto"/>
        <w:ind w:firstLine="708"/>
        <w:jc w:val="both"/>
      </w:pPr>
      <w:r w:rsidRPr="00E00D96">
        <w:t xml:space="preserve">A datação desta ocupação realizou-se com recurso a </w:t>
      </w:r>
      <w:r>
        <w:t>metodologia</w:t>
      </w:r>
      <w:r w:rsidRPr="00E00D96">
        <w:t xml:space="preserve"> por OSL sobre os sedimentos da camada 4 imediatamente acima do nível arqueológico</w:t>
      </w:r>
      <w:r>
        <w:t xml:space="preserve"> (foto 6.1.1.)</w:t>
      </w:r>
      <w:r w:rsidRPr="00E00D96">
        <w:t>. Obteve-se uma datação de 135</w:t>
      </w:r>
      <w:r w:rsidRPr="00E00D96">
        <w:rPr>
          <w:rFonts w:eastAsia="Calibri"/>
        </w:rPr>
        <w:t>±21</w:t>
      </w:r>
      <w:r w:rsidRPr="00E00D96">
        <w:t xml:space="preserve"> </w:t>
      </w:r>
      <w:r>
        <w:t xml:space="preserve">ka </w:t>
      </w:r>
      <w:r w:rsidRPr="00E00D96">
        <w:t xml:space="preserve">(GLL code 050301). </w:t>
      </w:r>
    </w:p>
    <w:p w:rsidR="00A34B7A" w:rsidRDefault="00EA3774" w:rsidP="00A34B7A">
      <w:pPr>
        <w:spacing w:line="360" w:lineRule="auto"/>
        <w:ind w:firstLine="708"/>
        <w:jc w:val="both"/>
      </w:pPr>
      <w:r w:rsidRPr="00EA3774">
        <w:rPr>
          <w:b/>
          <w:noProof/>
          <w:color w:val="FF0000"/>
          <w:lang w:eastAsia="en-US"/>
        </w:rPr>
        <w:pict>
          <v:shape id="_x0000_s1083" type="#_x0000_t202" style="position:absolute;left:0;text-align:left;margin-left:260.2pt;margin-top:236.95pt;width:155.25pt;height:93pt;z-index:251724800;mso-width-relative:margin;mso-height-relative:margin" stroked="f">
            <v:textbox style="mso-next-textbox:#_x0000_s1083">
              <w:txbxContent>
                <w:p w:rsidR="00B34B0F" w:rsidRPr="001160B5" w:rsidRDefault="00B34B0F" w:rsidP="00A34B7A">
                  <w:pPr>
                    <w:jc w:val="both"/>
                    <w:rPr>
                      <w:b/>
                      <w:color w:val="FF0000"/>
                      <w:sz w:val="22"/>
                      <w:szCs w:val="22"/>
                    </w:rPr>
                  </w:pPr>
                  <w:r>
                    <w:rPr>
                      <w:sz w:val="22"/>
                      <w:szCs w:val="22"/>
                    </w:rPr>
                    <w:t xml:space="preserve">Foto </w:t>
                  </w:r>
                  <w:r w:rsidRPr="001160B5">
                    <w:rPr>
                      <w:sz w:val="22"/>
                      <w:szCs w:val="22"/>
                    </w:rPr>
                    <w:t>6.</w:t>
                  </w:r>
                  <w:r w:rsidRPr="00D77F06">
                    <w:rPr>
                      <w:sz w:val="22"/>
                      <w:szCs w:val="22"/>
                    </w:rPr>
                    <w:t>1.</w:t>
                  </w:r>
                  <w:r>
                    <w:rPr>
                      <w:sz w:val="22"/>
                      <w:szCs w:val="22"/>
                    </w:rPr>
                    <w:t>1</w:t>
                  </w:r>
                  <w:r w:rsidRPr="001160B5">
                    <w:rPr>
                      <w:sz w:val="22"/>
                      <w:szCs w:val="22"/>
                    </w:rPr>
                    <w:t xml:space="preserve"> – Trabalhos de recolha da amostra para datação no sítio Pegos do Tejo 2. Prof. Dou</w:t>
                  </w:r>
                  <w:r>
                    <w:rPr>
                      <w:sz w:val="22"/>
                      <w:szCs w:val="22"/>
                    </w:rPr>
                    <w:t xml:space="preserve">tor Morgan de Dapper e Doutora </w:t>
                  </w:r>
                  <w:r w:rsidRPr="001160B5">
                    <w:rPr>
                      <w:sz w:val="22"/>
                      <w:szCs w:val="22"/>
                    </w:rPr>
                    <w:t>Sarah Deprez (Universidade de Ghent, Bélgica)</w:t>
                  </w:r>
                </w:p>
                <w:p w:rsidR="00B34B0F" w:rsidRDefault="00B34B0F" w:rsidP="00A34B7A"/>
              </w:txbxContent>
            </v:textbox>
          </v:shape>
        </w:pict>
      </w:r>
      <w:r w:rsidR="00A34B7A">
        <w:rPr>
          <w:b/>
          <w:noProof/>
          <w:color w:val="FF0000"/>
        </w:rPr>
        <w:drawing>
          <wp:inline distT="0" distB="0" distL="0" distR="0">
            <wp:extent cx="2828925" cy="4210050"/>
            <wp:effectExtent l="19050" t="0" r="9525" b="0"/>
            <wp:docPr id="29" name="Imagem 5" descr="Dat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ção"/>
                    <pic:cNvPicPr>
                      <a:picLocks noChangeAspect="1" noChangeArrowheads="1"/>
                    </pic:cNvPicPr>
                  </pic:nvPicPr>
                  <pic:blipFill>
                    <a:blip r:embed="rId40" cstate="print"/>
                    <a:srcRect/>
                    <a:stretch>
                      <a:fillRect/>
                    </a:stretch>
                  </pic:blipFill>
                  <pic:spPr bwMode="auto">
                    <a:xfrm>
                      <a:off x="0" y="0"/>
                      <a:ext cx="2828925" cy="4210050"/>
                    </a:xfrm>
                    <a:prstGeom prst="rect">
                      <a:avLst/>
                    </a:prstGeom>
                    <a:noFill/>
                    <a:ln w="9525">
                      <a:noFill/>
                      <a:miter lim="800000"/>
                      <a:headEnd/>
                      <a:tailEnd/>
                    </a:ln>
                  </pic:spPr>
                </pic:pic>
              </a:graphicData>
            </a:graphic>
          </wp:inline>
        </w:drawing>
      </w:r>
    </w:p>
    <w:p w:rsidR="00A34B7A" w:rsidRDefault="00A34B7A" w:rsidP="00A34B7A">
      <w:pPr>
        <w:spacing w:line="360" w:lineRule="auto"/>
        <w:ind w:firstLine="708"/>
        <w:jc w:val="both"/>
      </w:pPr>
    </w:p>
    <w:p w:rsidR="00A34B7A" w:rsidRPr="00E00D96" w:rsidRDefault="00A34B7A" w:rsidP="00A34B7A">
      <w:pPr>
        <w:spacing w:line="360" w:lineRule="auto"/>
        <w:ind w:firstLine="708"/>
        <w:jc w:val="both"/>
      </w:pPr>
      <w:r w:rsidRPr="00E00D96">
        <w:t xml:space="preserve">No entanto o relatório do Laboratório de Luminescência de Ghent indica que o quartzo desta amostra se apresenta saturado em termos de radiação natural, pelo que esta idade deve ser considerada como idade mínima. </w:t>
      </w:r>
      <w:r>
        <w:t>Esta datação mínima foi corroborada por</w:t>
      </w:r>
      <w:r w:rsidRPr="00E00D96">
        <w:t xml:space="preserve"> uma </w:t>
      </w:r>
      <w:r>
        <w:t>outra,</w:t>
      </w:r>
      <w:r w:rsidRPr="00E00D96">
        <w:t xml:space="preserve"> por IRSL (em feldspatos)</w:t>
      </w:r>
      <w:r>
        <w:t>,</w:t>
      </w:r>
      <w:r w:rsidRPr="00E00D96">
        <w:t xml:space="preserve"> de 129</w:t>
      </w:r>
      <w:r w:rsidRPr="00E00D96">
        <w:rPr>
          <w:rFonts w:eastAsia="Calibri"/>
        </w:rPr>
        <w:t>±8</w:t>
      </w:r>
      <w:r w:rsidRPr="00E00D96">
        <w:t xml:space="preserve"> ka</w:t>
      </w:r>
      <w:r>
        <w:t>,</w:t>
      </w:r>
      <w:r w:rsidRPr="00E00D96">
        <w:t xml:space="preserve"> </w:t>
      </w:r>
      <w:r>
        <w:t xml:space="preserve">obtida </w:t>
      </w:r>
      <w:r w:rsidRPr="00E00D96">
        <w:t xml:space="preserve">no topo do mesmo terraço T4, nas imediações desta estação (Cunha </w:t>
      </w:r>
      <w:r w:rsidRPr="00780589">
        <w:rPr>
          <w:i/>
        </w:rPr>
        <w:t>et al</w:t>
      </w:r>
      <w:r w:rsidRPr="00E00D96">
        <w:t>., 2008).</w:t>
      </w:r>
    </w:p>
    <w:p w:rsidR="00A34B7A" w:rsidRPr="003F1840" w:rsidRDefault="00A34B7A" w:rsidP="00A34B7A">
      <w:pPr>
        <w:spacing w:line="360" w:lineRule="auto"/>
        <w:rPr>
          <w:b/>
          <w:color w:val="FF0000"/>
        </w:rPr>
      </w:pPr>
    </w:p>
    <w:p w:rsidR="00A34B7A" w:rsidRDefault="00A34B7A" w:rsidP="00A34B7A">
      <w:pPr>
        <w:spacing w:line="360" w:lineRule="auto"/>
        <w:jc w:val="both"/>
        <w:rPr>
          <w:b/>
          <w:color w:val="FF0000"/>
        </w:rPr>
      </w:pPr>
    </w:p>
    <w:p w:rsidR="00A34B7A" w:rsidRPr="00C33F4C" w:rsidRDefault="00A34B7A" w:rsidP="00A34B7A">
      <w:pPr>
        <w:spacing w:line="360" w:lineRule="auto"/>
        <w:jc w:val="both"/>
      </w:pPr>
      <w:r w:rsidRPr="00A07DB6">
        <w:rPr>
          <w:b/>
        </w:rPr>
        <w:t>6.1.</w:t>
      </w:r>
      <w:r>
        <w:rPr>
          <w:b/>
        </w:rPr>
        <w:t>3</w:t>
      </w:r>
      <w:r w:rsidRPr="00A07DB6">
        <w:rPr>
          <w:b/>
        </w:rPr>
        <w:t xml:space="preserve">- </w:t>
      </w:r>
      <w:r w:rsidRPr="00C33F4C">
        <w:t>Estruturas</w:t>
      </w:r>
      <w:r>
        <w:t>.</w:t>
      </w:r>
    </w:p>
    <w:p w:rsidR="00A34B7A" w:rsidRPr="00A07DB6" w:rsidRDefault="00A34B7A" w:rsidP="00A34B7A">
      <w:pPr>
        <w:spacing w:line="360" w:lineRule="auto"/>
        <w:jc w:val="both"/>
        <w:rPr>
          <w:b/>
        </w:rPr>
      </w:pPr>
    </w:p>
    <w:p w:rsidR="00A34B7A" w:rsidRDefault="00A34B7A" w:rsidP="00A34B7A">
      <w:pPr>
        <w:spacing w:line="360" w:lineRule="auto"/>
        <w:ind w:firstLine="708"/>
        <w:jc w:val="both"/>
      </w:pPr>
      <w:r>
        <w:t>A escavação realizada na estação dos Pegos do Tejo 2 permitiu identificar um nível de seixos de quartzito e, em menor quantidade, de quartzo. Quando se iniciou a intervenção, este nível parecia corresponder um nível de terraço depositado em contexto de alta energia. No entanto, a escavação demonstrou que este empedrado não cobria toda a área da escavação, existindo mesmo algumas zonas deste empedrado onde não se identificaram blocos de quartzito</w:t>
      </w:r>
      <w:r w:rsidRPr="00DA5DE4">
        <w:rPr>
          <w:sz w:val="22"/>
          <w:szCs w:val="22"/>
        </w:rPr>
        <w:t xml:space="preserve"> </w:t>
      </w:r>
      <w:r>
        <w:rPr>
          <w:sz w:val="22"/>
          <w:szCs w:val="22"/>
        </w:rPr>
        <w:t>(Foto 6</w:t>
      </w:r>
      <w:r w:rsidRPr="00D77F06">
        <w:rPr>
          <w:sz w:val="22"/>
          <w:szCs w:val="22"/>
        </w:rPr>
        <w:t>.1.</w:t>
      </w:r>
      <w:r>
        <w:rPr>
          <w:sz w:val="22"/>
          <w:szCs w:val="22"/>
        </w:rPr>
        <w:t>2).</w:t>
      </w:r>
      <w:r w:rsidRPr="008467F3">
        <w:rPr>
          <w:sz w:val="22"/>
          <w:szCs w:val="22"/>
        </w:rPr>
        <w:t xml:space="preserve"> </w:t>
      </w:r>
    </w:p>
    <w:p w:rsidR="00A34B7A" w:rsidRDefault="00A34B7A" w:rsidP="00A34B7A">
      <w:pPr>
        <w:spacing w:line="360" w:lineRule="auto"/>
        <w:ind w:firstLine="708"/>
        <w:jc w:val="both"/>
      </w:pPr>
    </w:p>
    <w:p w:rsidR="00A34B7A" w:rsidRPr="008467F3" w:rsidRDefault="00EA3774" w:rsidP="00A34B7A">
      <w:pPr>
        <w:spacing w:line="360" w:lineRule="auto"/>
        <w:jc w:val="both"/>
      </w:pPr>
      <w:r>
        <w:rPr>
          <w:noProof/>
          <w:lang w:eastAsia="en-US"/>
        </w:rPr>
        <w:pict>
          <v:shape id="_x0000_s1084" type="#_x0000_t202" style="position:absolute;left:0;text-align:left;margin-left:-3.7pt;margin-top:284.5pt;width:430.9pt;height:37.35pt;z-index:251725824;mso-width-relative:margin;mso-height-relative:margin" stroked="f">
            <v:textbox style="mso-next-textbox:#_x0000_s1084">
              <w:txbxContent>
                <w:p w:rsidR="00B34B0F" w:rsidRPr="008467F3" w:rsidRDefault="00B34B0F" w:rsidP="00A34B7A">
                  <w:pPr>
                    <w:jc w:val="both"/>
                    <w:rPr>
                      <w:sz w:val="22"/>
                      <w:szCs w:val="22"/>
                    </w:rPr>
                  </w:pPr>
                  <w:r>
                    <w:rPr>
                      <w:sz w:val="22"/>
                      <w:szCs w:val="22"/>
                    </w:rPr>
                    <w:t xml:space="preserve">Foto </w:t>
                  </w:r>
                  <w:r w:rsidRPr="00D77F06">
                    <w:rPr>
                      <w:sz w:val="22"/>
                      <w:szCs w:val="22"/>
                    </w:rPr>
                    <w:t>6.1.</w:t>
                  </w:r>
                  <w:r>
                    <w:rPr>
                      <w:sz w:val="22"/>
                      <w:szCs w:val="22"/>
                    </w:rPr>
                    <w:t>2</w:t>
                  </w:r>
                  <w:r w:rsidRPr="008467F3">
                    <w:rPr>
                      <w:sz w:val="22"/>
                      <w:szCs w:val="22"/>
                    </w:rPr>
                    <w:t xml:space="preserve"> – Vista geral do topo do nível arqueológico. Em primeiro plano, em baixo à direita, o espaço sem seixos delimitando a lareira.</w:t>
                  </w:r>
                </w:p>
                <w:p w:rsidR="00B34B0F" w:rsidRDefault="00B34B0F" w:rsidP="00A34B7A"/>
              </w:txbxContent>
            </v:textbox>
          </v:shape>
        </w:pict>
      </w:r>
      <w:r w:rsidR="00A34B7A">
        <w:rPr>
          <w:noProof/>
        </w:rPr>
        <w:drawing>
          <wp:inline distT="0" distB="0" distL="0" distR="0">
            <wp:extent cx="5391150" cy="3590925"/>
            <wp:effectExtent l="19050" t="0" r="0" b="0"/>
            <wp:docPr id="30" name="Imagem 6" descr="foto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n"/>
                    <pic:cNvPicPr>
                      <a:picLocks noChangeAspect="1" noChangeArrowheads="1"/>
                    </pic:cNvPicPr>
                  </pic:nvPicPr>
                  <pic:blipFill>
                    <a:blip r:embed="rId41" cstate="print"/>
                    <a:srcRect/>
                    <a:stretch>
                      <a:fillRect/>
                    </a:stretch>
                  </pic:blipFill>
                  <pic:spPr bwMode="auto">
                    <a:xfrm>
                      <a:off x="0" y="0"/>
                      <a:ext cx="5391150" cy="3590925"/>
                    </a:xfrm>
                    <a:prstGeom prst="rect">
                      <a:avLst/>
                    </a:prstGeom>
                    <a:noFill/>
                    <a:ln w="9525">
                      <a:noFill/>
                      <a:miter lim="800000"/>
                      <a:headEnd/>
                      <a:tailEnd/>
                    </a:ln>
                  </pic:spPr>
                </pic:pic>
              </a:graphicData>
            </a:graphic>
          </wp:inline>
        </w:drawing>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ind w:firstLine="708"/>
        <w:jc w:val="both"/>
      </w:pPr>
      <w:r>
        <w:lastRenderedPageBreak/>
        <w:t xml:space="preserve">Na sequência da remoção desta camada foi possível identificar novos elementos que permitiram trazer mais informação sobre o empedrado. </w:t>
      </w:r>
      <w:r w:rsidRPr="0064400A">
        <w:t>N</w:t>
      </w:r>
      <w:r>
        <w:t>as decapagens seguintes</w:t>
      </w:r>
      <w:r w:rsidRPr="0064400A">
        <w:t>, confirmou-se a presença de u</w:t>
      </w:r>
      <w:r>
        <w:t>ma lareira localizada nas quadrí</w:t>
      </w:r>
      <w:r w:rsidRPr="0064400A">
        <w:t>culas L3/L2</w:t>
      </w:r>
      <w:r>
        <w:t>, já indiciada</w:t>
      </w:r>
      <w:r w:rsidRPr="0064400A">
        <w:t xml:space="preserve"> pela ausência de pedras nesta área aq</w:t>
      </w:r>
      <w:r>
        <w:t>uando da 1.ª decapagem do sítio. Esta</w:t>
      </w:r>
      <w:r w:rsidRPr="00BC4051">
        <w:t xml:space="preserve"> </w:t>
      </w:r>
      <w:r>
        <w:t>lareira apresenta uma forma sub</w:t>
      </w:r>
      <w:r w:rsidRPr="00BC4051">
        <w:t>circular</w:t>
      </w:r>
      <w:r>
        <w:t xml:space="preserve"> com um tamanho máximo de 65 cm. </w:t>
      </w:r>
      <w:r w:rsidRPr="00BC4051">
        <w:t>É constituída por uma base de blocos proveniente das cristas quartzíticas e abundante em toda a encosta. O empedrado superior é composto pelo mesmo tipo de quartzito e algum quartzo leitoso</w:t>
      </w:r>
      <w:r>
        <w:t xml:space="preserve"> (fotos 6.1.3 e 6.1.4)</w:t>
      </w:r>
      <w:r w:rsidRPr="00BC4051">
        <w:t xml:space="preserve">. </w:t>
      </w:r>
    </w:p>
    <w:p w:rsidR="00A34B7A" w:rsidRDefault="00EA3774" w:rsidP="00A34B7A">
      <w:pPr>
        <w:spacing w:line="360" w:lineRule="auto"/>
        <w:jc w:val="center"/>
      </w:pPr>
      <w:r w:rsidRPr="00EA3774">
        <w:rPr>
          <w:b/>
          <w:noProof/>
          <w:u w:val="single"/>
          <w:lang w:eastAsia="en-US"/>
        </w:rPr>
        <w:pict>
          <v:shape id="_x0000_s1087" type="#_x0000_t202" style="position:absolute;left:0;text-align:left;margin-left:-1.6pt;margin-top:262.25pt;width:430.8pt;height:32.5pt;z-index:251728896;mso-height-percent:200;mso-height-percent:200;mso-width-relative:margin;mso-height-relative:margin" stroked="f">
            <v:textbox style="mso-next-textbox:#_x0000_s1087;mso-fit-shape-to-text:t">
              <w:txbxContent>
                <w:p w:rsidR="00B34B0F" w:rsidRPr="0095111E" w:rsidRDefault="00B34B0F" w:rsidP="00A34B7A">
                  <w:pPr>
                    <w:jc w:val="both"/>
                  </w:pPr>
                  <w:r w:rsidRPr="0095111E">
                    <w:rPr>
                      <w:sz w:val="22"/>
                      <w:szCs w:val="22"/>
                    </w:rPr>
                    <w:t>Foto 6.1.</w:t>
                  </w:r>
                  <w:r>
                    <w:rPr>
                      <w:sz w:val="22"/>
                      <w:szCs w:val="22"/>
                    </w:rPr>
                    <w:t>3</w:t>
                  </w:r>
                  <w:r w:rsidRPr="0095111E">
                    <w:rPr>
                      <w:sz w:val="22"/>
                      <w:szCs w:val="22"/>
                    </w:rPr>
                    <w:t>- Pegos do Tejo 2</w:t>
                  </w:r>
                  <w:r>
                    <w:rPr>
                      <w:sz w:val="22"/>
                      <w:szCs w:val="22"/>
                    </w:rPr>
                    <w:t xml:space="preserve">. Vista de pormenor da parte superior da lareira. À direita do cm 30 da fita métrica encontra-se o biface em rocha microcristalina (seta preta), </w:t>
                  </w:r>
                  <w:proofErr w:type="gramStart"/>
                  <w:r w:rsidRPr="0095111E">
                    <w:rPr>
                      <w:i/>
                      <w:sz w:val="22"/>
                      <w:szCs w:val="22"/>
                    </w:rPr>
                    <w:t>in sit</w:t>
                  </w:r>
                  <w:r>
                    <w:rPr>
                      <w:i/>
                      <w:sz w:val="22"/>
                      <w:szCs w:val="22"/>
                    </w:rPr>
                    <w:t>u</w:t>
                  </w:r>
                  <w:proofErr w:type="gramEnd"/>
                  <w:r>
                    <w:rPr>
                      <w:sz w:val="22"/>
                      <w:szCs w:val="22"/>
                    </w:rPr>
                    <w:t xml:space="preserve">. </w:t>
                  </w:r>
                </w:p>
              </w:txbxContent>
            </v:textbox>
          </v:shape>
        </w:pict>
      </w:r>
      <w:r w:rsidR="00A34B7A">
        <w:rPr>
          <w:noProof/>
        </w:rPr>
        <w:drawing>
          <wp:inline distT="0" distB="0" distL="0" distR="0">
            <wp:extent cx="4981575" cy="3324225"/>
            <wp:effectExtent l="19050" t="0" r="9525" b="0"/>
            <wp:docPr id="31" name="Imagem 7" descr="PT2l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2lar1"/>
                    <pic:cNvPicPr>
                      <a:picLocks noChangeAspect="1" noChangeArrowheads="1"/>
                    </pic:cNvPicPr>
                  </pic:nvPicPr>
                  <pic:blipFill>
                    <a:blip r:embed="rId42" cstate="print"/>
                    <a:srcRect/>
                    <a:stretch>
                      <a:fillRect/>
                    </a:stretch>
                  </pic:blipFill>
                  <pic:spPr bwMode="auto">
                    <a:xfrm>
                      <a:off x="0" y="0"/>
                      <a:ext cx="4981575" cy="3324225"/>
                    </a:xfrm>
                    <a:prstGeom prst="rect">
                      <a:avLst/>
                    </a:prstGeom>
                    <a:noFill/>
                    <a:ln w="9525">
                      <a:noFill/>
                      <a:miter lim="800000"/>
                      <a:headEnd/>
                      <a:tailEnd/>
                    </a:ln>
                  </pic:spPr>
                </pic:pic>
              </a:graphicData>
            </a:graphic>
          </wp:inline>
        </w:drawing>
      </w:r>
    </w:p>
    <w:p w:rsidR="00A34B7A" w:rsidRDefault="00A34B7A" w:rsidP="00A34B7A">
      <w:pPr>
        <w:spacing w:line="360" w:lineRule="auto"/>
      </w:pPr>
    </w:p>
    <w:p w:rsidR="00A34B7A" w:rsidRDefault="00EA3774" w:rsidP="00A34B7A">
      <w:pPr>
        <w:spacing w:line="360" w:lineRule="auto"/>
        <w:jc w:val="center"/>
      </w:pPr>
      <w:r w:rsidRPr="00EA3774">
        <w:rPr>
          <w:b/>
          <w:noProof/>
          <w:u w:val="single"/>
          <w:lang w:eastAsia="en-US"/>
        </w:rPr>
        <w:pict>
          <v:shape id="_x0000_s1086" type="#_x0000_t202" style="position:absolute;left:0;text-align:left;margin-left:34.95pt;margin-top:229.45pt;width:372pt;height:19.85pt;z-index:251727872;mso-height-percent:200;mso-height-percent:200;mso-width-relative:margin;mso-height-relative:margin" stroked="f">
            <v:textbox style="mso-next-textbox:#_x0000_s1086;mso-fit-shape-to-text:t">
              <w:txbxContent>
                <w:p w:rsidR="00B34B0F" w:rsidRPr="008C2691" w:rsidRDefault="00B34B0F" w:rsidP="00A34B7A">
                  <w:r w:rsidRPr="008C2691">
                    <w:rPr>
                      <w:sz w:val="22"/>
                      <w:szCs w:val="22"/>
                    </w:rPr>
                    <w:t>Foto 6.1.</w:t>
                  </w:r>
                  <w:r>
                    <w:rPr>
                      <w:sz w:val="22"/>
                      <w:szCs w:val="22"/>
                    </w:rPr>
                    <w:t>4</w:t>
                  </w:r>
                  <w:r w:rsidRPr="008C2691">
                    <w:rPr>
                      <w:sz w:val="22"/>
                      <w:szCs w:val="22"/>
                    </w:rPr>
                    <w:t>- Pegos do Tejo 2</w:t>
                  </w:r>
                  <w:r>
                    <w:rPr>
                      <w:sz w:val="22"/>
                      <w:szCs w:val="22"/>
                    </w:rPr>
                    <w:t>- Base da lareira identificada nos quadrados L3/L2.</w:t>
                  </w:r>
                </w:p>
              </w:txbxContent>
            </v:textbox>
          </v:shape>
        </w:pict>
      </w:r>
      <w:r w:rsidR="00A34B7A">
        <w:rPr>
          <w:noProof/>
        </w:rPr>
        <w:drawing>
          <wp:inline distT="0" distB="0" distL="0" distR="0">
            <wp:extent cx="4371975" cy="2905125"/>
            <wp:effectExtent l="19050" t="0" r="9525" b="0"/>
            <wp:docPr id="32" name="Imagem 8" descr="foto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 n"/>
                    <pic:cNvPicPr>
                      <a:picLocks noChangeAspect="1" noChangeArrowheads="1"/>
                    </pic:cNvPicPr>
                  </pic:nvPicPr>
                  <pic:blipFill>
                    <a:blip r:embed="rId43" cstate="print"/>
                    <a:srcRect/>
                    <a:stretch>
                      <a:fillRect/>
                    </a:stretch>
                  </pic:blipFill>
                  <pic:spPr bwMode="auto">
                    <a:xfrm>
                      <a:off x="0" y="0"/>
                      <a:ext cx="4371975" cy="2905125"/>
                    </a:xfrm>
                    <a:prstGeom prst="rect">
                      <a:avLst/>
                    </a:prstGeom>
                    <a:noFill/>
                    <a:ln w="9525">
                      <a:noFill/>
                      <a:miter lim="800000"/>
                      <a:headEnd/>
                      <a:tailEnd/>
                    </a:ln>
                  </pic:spPr>
                </pic:pic>
              </a:graphicData>
            </a:graphic>
          </wp:inline>
        </w:drawing>
      </w:r>
    </w:p>
    <w:p w:rsidR="00A34B7A" w:rsidRDefault="00A34B7A" w:rsidP="00A34B7A">
      <w:pPr>
        <w:spacing w:line="360" w:lineRule="auto"/>
        <w:ind w:firstLine="708"/>
        <w:jc w:val="both"/>
      </w:pPr>
      <w:r w:rsidRPr="00BC4051">
        <w:lastRenderedPageBreak/>
        <w:t>Durante a escavação do interior desta estrutura foram recolhidos seixos com indícios de alteração térmica acentuada. O sedimento do interior da lareira apresentava uma cor ligeiramente mais escura. Algumas das pedras que limitam o anel superior apresentavam sinais de ruborização, como também apresentam essa mesma ruborização as pedras de base, que também se preservaram</w:t>
      </w:r>
      <w:r>
        <w:t xml:space="preserve"> (</w:t>
      </w:r>
      <w:r w:rsidRPr="00062DAA">
        <w:t>foto 6.1.</w:t>
      </w:r>
      <w:r>
        <w:t>4</w:t>
      </w:r>
      <w:r w:rsidRPr="00062DAA">
        <w:t>).</w:t>
      </w:r>
    </w:p>
    <w:p w:rsidR="00A34B7A" w:rsidRDefault="00A34B7A" w:rsidP="00A34B7A">
      <w:pPr>
        <w:spacing w:line="360" w:lineRule="auto"/>
        <w:ind w:firstLine="708"/>
        <w:jc w:val="both"/>
      </w:pPr>
      <w:r>
        <w:t>A sobreposição dos desenhos de escavação (</w:t>
      </w:r>
      <w:r>
        <w:rPr>
          <w:sz w:val="22"/>
          <w:szCs w:val="22"/>
        </w:rPr>
        <w:t>Figura 6.1.</w:t>
      </w:r>
      <w:r w:rsidRPr="0095111E">
        <w:rPr>
          <w:sz w:val="22"/>
          <w:szCs w:val="22"/>
        </w:rPr>
        <w:t>2</w:t>
      </w:r>
      <w:r>
        <w:rPr>
          <w:sz w:val="22"/>
          <w:szCs w:val="22"/>
        </w:rPr>
        <w:t xml:space="preserve">) </w:t>
      </w:r>
      <w:r>
        <w:t>permite verificar que a base da lareira se encontra na mesma posição que a ausência de pedras identificada aquando da escavação da camada pétrea superior. No canto superior direito existe uma sobreposição entre a base da lareira e o anel superior.</w: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jc w:val="center"/>
      </w:pPr>
      <w:r>
        <w:rPr>
          <w:noProof/>
        </w:rPr>
        <w:drawing>
          <wp:inline distT="0" distB="0" distL="0" distR="0">
            <wp:extent cx="3800475" cy="3600450"/>
            <wp:effectExtent l="19050" t="0" r="9525" b="0"/>
            <wp:docPr id="33" name="Imagem 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pic:cNvPicPr>
                      <a:picLocks noChangeAspect="1" noChangeArrowheads="1"/>
                    </pic:cNvPicPr>
                  </pic:nvPicPr>
                  <pic:blipFill>
                    <a:blip r:embed="rId44" cstate="print"/>
                    <a:srcRect/>
                    <a:stretch>
                      <a:fillRect/>
                    </a:stretch>
                  </pic:blipFill>
                  <pic:spPr bwMode="auto">
                    <a:xfrm>
                      <a:off x="0" y="0"/>
                      <a:ext cx="3800475" cy="3600450"/>
                    </a:xfrm>
                    <a:prstGeom prst="rect">
                      <a:avLst/>
                    </a:prstGeom>
                    <a:noFill/>
                    <a:ln w="9525">
                      <a:noFill/>
                      <a:miter lim="800000"/>
                      <a:headEnd/>
                      <a:tailEnd/>
                    </a:ln>
                  </pic:spPr>
                </pic:pic>
              </a:graphicData>
            </a:graphic>
          </wp:inline>
        </w:drawing>
      </w:r>
    </w:p>
    <w:p w:rsidR="00A34B7A" w:rsidRDefault="00EA3774" w:rsidP="00A34B7A">
      <w:pPr>
        <w:spacing w:line="360" w:lineRule="auto"/>
        <w:jc w:val="both"/>
      </w:pPr>
      <w:r>
        <w:rPr>
          <w:noProof/>
        </w:rPr>
        <w:pict>
          <v:shape id="_x0000_s1088" type="#_x0000_t202" style="position:absolute;left:0;text-align:left;margin-left:51.45pt;margin-top:.95pt;width:339.75pt;height:57pt;z-index:251729920;mso-width-relative:margin;mso-height-relative:margin" stroked="f">
            <v:textbox style="mso-next-textbox:#_x0000_s1088">
              <w:txbxContent>
                <w:p w:rsidR="00B34B0F" w:rsidRPr="0095111E" w:rsidRDefault="00B34B0F" w:rsidP="00A34B7A">
                  <w:pPr>
                    <w:jc w:val="both"/>
                  </w:pPr>
                  <w:r w:rsidRPr="0095111E">
                    <w:rPr>
                      <w:sz w:val="22"/>
                      <w:szCs w:val="22"/>
                    </w:rPr>
                    <w:t>Figura 6.1.</w:t>
                  </w:r>
                  <w:r>
                    <w:rPr>
                      <w:sz w:val="22"/>
                      <w:szCs w:val="22"/>
                    </w:rPr>
                    <w:t>2</w:t>
                  </w:r>
                  <w:r w:rsidRPr="0095111E">
                    <w:rPr>
                      <w:sz w:val="22"/>
                      <w:szCs w:val="22"/>
                    </w:rPr>
                    <w:t>- Pegos do Tejo 2</w:t>
                  </w:r>
                  <w:r>
                    <w:rPr>
                      <w:sz w:val="22"/>
                      <w:szCs w:val="22"/>
                    </w:rPr>
                    <w:t xml:space="preserve">. Representação gráfica da lareira (em cima) e o seu corte (em baixo). </w:t>
                  </w:r>
                  <w:proofErr w:type="gramStart"/>
                  <w:r>
                    <w:rPr>
                      <w:sz w:val="22"/>
                      <w:szCs w:val="22"/>
                    </w:rPr>
                    <w:t>A azul claro</w:t>
                  </w:r>
                  <w:proofErr w:type="gramEnd"/>
                  <w:r>
                    <w:rPr>
                      <w:sz w:val="22"/>
                      <w:szCs w:val="22"/>
                    </w:rPr>
                    <w:t xml:space="preserve"> a camada superior que faz parte do empedrado. A </w:t>
                  </w:r>
                  <w:proofErr w:type="gramStart"/>
                  <w:r>
                    <w:rPr>
                      <w:sz w:val="22"/>
                      <w:szCs w:val="22"/>
                    </w:rPr>
                    <w:t>azul escuro</w:t>
                  </w:r>
                  <w:proofErr w:type="gramEnd"/>
                  <w:r>
                    <w:rPr>
                      <w:sz w:val="22"/>
                      <w:szCs w:val="22"/>
                    </w:rPr>
                    <w:t xml:space="preserve">, a base situada num nível inferior. </w:t>
                  </w:r>
                </w:p>
              </w:txbxContent>
            </v:textbox>
          </v:shape>
        </w:pict>
      </w:r>
    </w:p>
    <w:p w:rsidR="00A34B7A" w:rsidRDefault="00A34B7A" w:rsidP="00A34B7A">
      <w:pPr>
        <w:spacing w:line="360" w:lineRule="auto"/>
        <w:ind w:firstLine="708"/>
        <w:jc w:val="both"/>
      </w:pPr>
    </w:p>
    <w:p w:rsidR="00A34B7A" w:rsidRDefault="00A34B7A" w:rsidP="00A34B7A">
      <w:pPr>
        <w:spacing w:line="360" w:lineRule="auto"/>
        <w:jc w:val="both"/>
      </w:pPr>
    </w:p>
    <w:p w:rsidR="00A34B7A" w:rsidRDefault="00A34B7A" w:rsidP="00A34B7A">
      <w:pPr>
        <w:spacing w:line="360" w:lineRule="auto"/>
        <w:jc w:val="both"/>
      </w:pPr>
    </w:p>
    <w:p w:rsidR="00A34B7A" w:rsidRDefault="00A34B7A" w:rsidP="00A34B7A">
      <w:pPr>
        <w:spacing w:line="360" w:lineRule="auto"/>
        <w:ind w:firstLine="708"/>
        <w:jc w:val="both"/>
      </w:pPr>
      <w:r w:rsidRPr="0064400A">
        <w:t xml:space="preserve">Além </w:t>
      </w:r>
      <w:r>
        <w:t xml:space="preserve">da identificação </w:t>
      </w:r>
      <w:r w:rsidRPr="0064400A">
        <w:t xml:space="preserve">desta lareira verificou-se a presença de umas anomalias sedimentares </w:t>
      </w:r>
      <w:r>
        <w:t>situadas na parte Norte da escavação. As características destas anomalias sedimentares levantaram a hipótese de se estar n</w:t>
      </w:r>
      <w:r w:rsidRPr="0064400A">
        <w:t xml:space="preserve">a presença de buracos de poste </w:t>
      </w:r>
      <w:r w:rsidRPr="00810E6E">
        <w:t xml:space="preserve">(foto </w:t>
      </w:r>
      <w:r>
        <w:t>6.1.5</w:t>
      </w:r>
      <w:r w:rsidRPr="00810E6E">
        <w:t>)</w:t>
      </w:r>
      <w:r w:rsidRPr="0064400A">
        <w:t xml:space="preserve">. </w:t>
      </w:r>
    </w:p>
    <w:p w:rsidR="00A34B7A" w:rsidRPr="00A07DB6" w:rsidRDefault="00A34B7A" w:rsidP="00A34B7A">
      <w:pPr>
        <w:spacing w:line="360" w:lineRule="auto"/>
        <w:jc w:val="both"/>
      </w:pPr>
      <w:r>
        <w:rPr>
          <w:noProof/>
        </w:rPr>
        <w:lastRenderedPageBreak/>
        <w:drawing>
          <wp:inline distT="0" distB="0" distL="0" distR="0">
            <wp:extent cx="5400675" cy="3605530"/>
            <wp:effectExtent l="19050" t="0" r="9525" b="0"/>
            <wp:docPr id="34" name="Imagem 12" descr="6.1.5a.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a. tif.tif"/>
                    <pic:cNvPicPr/>
                  </pic:nvPicPr>
                  <pic:blipFill>
                    <a:blip r:embed="rId45" cstate="print"/>
                    <a:stretch>
                      <a:fillRect/>
                    </a:stretch>
                  </pic:blipFill>
                  <pic:spPr>
                    <a:xfrm>
                      <a:off x="0" y="0"/>
                      <a:ext cx="5400675" cy="3605530"/>
                    </a:xfrm>
                    <a:prstGeom prst="rect">
                      <a:avLst/>
                    </a:prstGeom>
                  </pic:spPr>
                </pic:pic>
              </a:graphicData>
            </a:graphic>
          </wp:inline>
        </w:drawing>
      </w:r>
    </w:p>
    <w:p w:rsidR="00A34B7A" w:rsidRDefault="00EA3774" w:rsidP="00A34B7A">
      <w:pPr>
        <w:spacing w:line="360" w:lineRule="auto"/>
      </w:pPr>
      <w:r w:rsidRPr="00EA3774">
        <w:rPr>
          <w:b/>
          <w:noProof/>
          <w:u w:val="single"/>
          <w:lang w:eastAsia="en-US"/>
        </w:rPr>
        <w:pict>
          <v:shape id="_x0000_s1089" type="#_x0000_t202" style="position:absolute;margin-left:313.2pt;margin-top:7.1pt;width:117pt;height:269.15pt;z-index:251730944;mso-width-relative:margin;mso-height-relative:margin" stroked="f">
            <v:textbox style="mso-next-textbox:#_x0000_s1089">
              <w:txbxContent>
                <w:p w:rsidR="00B34B0F" w:rsidRPr="0095111E" w:rsidRDefault="00B34B0F" w:rsidP="00A34B7A">
                  <w:pPr>
                    <w:jc w:val="both"/>
                  </w:pPr>
                  <w:r w:rsidRPr="0095111E">
                    <w:rPr>
                      <w:sz w:val="22"/>
                      <w:szCs w:val="22"/>
                    </w:rPr>
                    <w:t>Foto 6.1.</w:t>
                  </w:r>
                  <w:r>
                    <w:rPr>
                      <w:sz w:val="22"/>
                      <w:szCs w:val="22"/>
                    </w:rPr>
                    <w:t>5</w:t>
                  </w:r>
                  <w:r w:rsidRPr="0095111E">
                    <w:rPr>
                      <w:sz w:val="22"/>
                      <w:szCs w:val="22"/>
                    </w:rPr>
                    <w:t>- Pegos do Tejo 2</w:t>
                  </w:r>
                  <w:r>
                    <w:rPr>
                      <w:sz w:val="22"/>
                      <w:szCs w:val="22"/>
                    </w:rPr>
                    <w:t xml:space="preserve">. Em cima: vista geral da localização dos buracos de poste, em fase de escavação. Ao lado: pormenor de um dos buracos de poste situado no limite entre os quadrados L4 e M4. </w:t>
                  </w:r>
                </w:p>
              </w:txbxContent>
            </v:textbox>
          </v:shape>
        </w:pict>
      </w:r>
      <w:r w:rsidR="00A34B7A">
        <w:rPr>
          <w:noProof/>
        </w:rPr>
        <w:drawing>
          <wp:inline distT="0" distB="0" distL="0" distR="0">
            <wp:extent cx="3812849" cy="3514725"/>
            <wp:effectExtent l="19050" t="0" r="0" b="0"/>
            <wp:docPr id="35" name="Imagem 11" descr="6.1.5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 b.tif"/>
                    <pic:cNvPicPr/>
                  </pic:nvPicPr>
                  <pic:blipFill>
                    <a:blip r:embed="rId46" cstate="print"/>
                    <a:stretch>
                      <a:fillRect/>
                    </a:stretch>
                  </pic:blipFill>
                  <pic:spPr>
                    <a:xfrm>
                      <a:off x="0" y="0"/>
                      <a:ext cx="3813850" cy="3515648"/>
                    </a:xfrm>
                    <a:prstGeom prst="rect">
                      <a:avLst/>
                    </a:prstGeom>
                  </pic:spPr>
                </pic:pic>
              </a:graphicData>
            </a:graphic>
          </wp:inline>
        </w:drawing>
      </w:r>
    </w:p>
    <w:p w:rsidR="00A34B7A" w:rsidRDefault="00A34B7A" w:rsidP="00A34B7A">
      <w:pPr>
        <w:spacing w:line="360" w:lineRule="auto"/>
        <w:jc w:val="both"/>
      </w:pPr>
    </w:p>
    <w:p w:rsidR="00A34B7A" w:rsidRDefault="00A34B7A" w:rsidP="00A34B7A">
      <w:pPr>
        <w:spacing w:line="360" w:lineRule="auto"/>
        <w:ind w:firstLine="708"/>
        <w:jc w:val="both"/>
      </w:pPr>
      <w:r w:rsidRPr="0064400A">
        <w:t xml:space="preserve">Estas anomalias estão alinhadas e apresentam um espaçamento entre si constante. Pelas características apresentadas poderão de facto representar buracos de poste realizados para suportar um qualquer tipo de estrutura perecível. Esta conclusão parece ser corroborada pela análise espacial da distribuição da indústria lítica </w:t>
      </w:r>
      <w:r>
        <w:t>recolhida</w:t>
      </w:r>
      <w:r w:rsidRPr="0064400A">
        <w:t>.</w:t>
      </w:r>
      <w:r w:rsidRPr="008C2691">
        <w:t xml:space="preserve"> </w:t>
      </w:r>
      <w:r w:rsidRPr="0064400A">
        <w:lastRenderedPageBreak/>
        <w:t xml:space="preserve">A presença de materiais líticos cessa junto à linha definida pelos buracos de poste o que poderá representar o que costuma denominar-se por </w:t>
      </w:r>
      <w:r w:rsidRPr="00FC70A9">
        <w:rPr>
          <w:i/>
        </w:rPr>
        <w:t>efeito de parede</w:t>
      </w:r>
      <w:r>
        <w:rPr>
          <w:color w:val="FF0000"/>
        </w:rPr>
        <w:t>.</w:t>
      </w:r>
    </w:p>
    <w:p w:rsidR="00A34B7A" w:rsidRDefault="00A34B7A" w:rsidP="00A34B7A">
      <w:pPr>
        <w:spacing w:line="360" w:lineRule="auto"/>
        <w:jc w:val="center"/>
      </w:pPr>
    </w:p>
    <w:p w:rsidR="00A34B7A" w:rsidRDefault="00A34B7A" w:rsidP="00A34B7A">
      <w:pPr>
        <w:spacing w:line="360" w:lineRule="auto"/>
        <w:jc w:val="both"/>
        <w:rPr>
          <w:color w:val="FF0000"/>
        </w:rPr>
      </w:pPr>
      <w:r>
        <w:rPr>
          <w:noProof/>
          <w:color w:val="FF0000"/>
        </w:rPr>
        <w:drawing>
          <wp:inline distT="0" distB="0" distL="0" distR="0">
            <wp:extent cx="5408930" cy="2969895"/>
            <wp:effectExtent l="19050" t="0" r="1270" b="0"/>
            <wp:docPr id="85" name="Imagem 85" descr="DistEspa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tEspacial"/>
                    <pic:cNvPicPr>
                      <a:picLocks noChangeAspect="1" noChangeArrowheads="1"/>
                    </pic:cNvPicPr>
                  </pic:nvPicPr>
                  <pic:blipFill>
                    <a:blip r:embed="rId47" cstate="print"/>
                    <a:srcRect/>
                    <a:stretch>
                      <a:fillRect/>
                    </a:stretch>
                  </pic:blipFill>
                  <pic:spPr bwMode="auto">
                    <a:xfrm>
                      <a:off x="0" y="0"/>
                      <a:ext cx="5408930" cy="2969895"/>
                    </a:xfrm>
                    <a:prstGeom prst="rect">
                      <a:avLst/>
                    </a:prstGeom>
                    <a:noFill/>
                    <a:ln w="9525">
                      <a:noFill/>
                      <a:miter lim="800000"/>
                      <a:headEnd/>
                      <a:tailEnd/>
                    </a:ln>
                  </pic:spPr>
                </pic:pic>
              </a:graphicData>
            </a:graphic>
          </wp:inline>
        </w:drawing>
      </w:r>
    </w:p>
    <w:p w:rsidR="00A34B7A" w:rsidRDefault="00EA3774" w:rsidP="00A34B7A">
      <w:pPr>
        <w:spacing w:line="360" w:lineRule="auto"/>
        <w:jc w:val="both"/>
        <w:rPr>
          <w:color w:val="FF0000"/>
        </w:rPr>
      </w:pPr>
      <w:r w:rsidRPr="00EA3774">
        <w:rPr>
          <w:noProof/>
        </w:rPr>
        <w:pict>
          <v:shape id="_x0000_s1090" type="#_x0000_t202" style="position:absolute;left:0;text-align:left;margin-left:1.2pt;margin-top:-.3pt;width:403.75pt;height:38.25pt;z-index:251731968;mso-width-relative:margin;mso-height-relative:margin" stroked="f">
            <v:textbox style="mso-next-textbox:#_x0000_s1090">
              <w:txbxContent>
                <w:p w:rsidR="00B34B0F" w:rsidRPr="008467F3" w:rsidRDefault="00B34B0F" w:rsidP="00A34B7A">
                  <w:pPr>
                    <w:jc w:val="both"/>
                    <w:rPr>
                      <w:sz w:val="22"/>
                      <w:szCs w:val="22"/>
                    </w:rPr>
                  </w:pPr>
                  <w:r w:rsidRPr="008467F3">
                    <w:rPr>
                      <w:sz w:val="22"/>
                      <w:szCs w:val="22"/>
                    </w:rPr>
                    <w:t>Fig</w:t>
                  </w:r>
                  <w:r>
                    <w:rPr>
                      <w:sz w:val="22"/>
                      <w:szCs w:val="22"/>
                    </w:rPr>
                    <w:t>ura</w:t>
                  </w:r>
                  <w:r w:rsidRPr="008467F3">
                    <w:rPr>
                      <w:sz w:val="22"/>
                      <w:szCs w:val="22"/>
                    </w:rPr>
                    <w:t xml:space="preserve"> 6.</w:t>
                  </w:r>
                  <w:r>
                    <w:rPr>
                      <w:sz w:val="22"/>
                      <w:szCs w:val="22"/>
                    </w:rPr>
                    <w:t xml:space="preserve">1.3 </w:t>
                  </w:r>
                  <w:r w:rsidRPr="008467F3">
                    <w:rPr>
                      <w:sz w:val="22"/>
                      <w:szCs w:val="22"/>
                    </w:rPr>
                    <w:t>– Registo gráfico do empedrado do topo da camada arqueológica</w:t>
                  </w:r>
                  <w:r>
                    <w:rPr>
                      <w:sz w:val="22"/>
                      <w:szCs w:val="22"/>
                    </w:rPr>
                    <w:t xml:space="preserve"> e com identificação da indústria lítica (pontos vermelhos)</w:t>
                  </w:r>
                </w:p>
                <w:p w:rsidR="00B34B0F" w:rsidRDefault="00B34B0F" w:rsidP="00A34B7A"/>
              </w:txbxContent>
            </v:textbox>
          </v:shape>
        </w:pict>
      </w:r>
    </w:p>
    <w:p w:rsidR="00A34B7A" w:rsidRDefault="00A34B7A" w:rsidP="00A34B7A">
      <w:pPr>
        <w:spacing w:line="360" w:lineRule="auto"/>
        <w:jc w:val="both"/>
        <w:rPr>
          <w:color w:val="FF0000"/>
        </w:rPr>
      </w:pPr>
    </w:p>
    <w:p w:rsidR="00A34B7A" w:rsidRPr="007F35B9" w:rsidRDefault="00A34B7A" w:rsidP="00A34B7A">
      <w:pPr>
        <w:spacing w:line="360" w:lineRule="auto"/>
        <w:jc w:val="both"/>
        <w:rPr>
          <w:color w:val="FF0000"/>
        </w:rPr>
      </w:pPr>
    </w:p>
    <w:p w:rsidR="00A34B7A" w:rsidRPr="001C26A5" w:rsidRDefault="00A34B7A" w:rsidP="00A34B7A">
      <w:pPr>
        <w:spacing w:line="360" w:lineRule="auto"/>
        <w:ind w:firstLine="708"/>
        <w:jc w:val="both"/>
      </w:pPr>
      <w:r>
        <w:t>O desenho de conjunto das ocorrências arqueológicas (</w:t>
      </w:r>
      <w:r w:rsidRPr="00062DAA">
        <w:rPr>
          <w:sz w:val="22"/>
          <w:szCs w:val="22"/>
        </w:rPr>
        <w:t>Figura 6.1.</w:t>
      </w:r>
      <w:r>
        <w:rPr>
          <w:sz w:val="22"/>
          <w:szCs w:val="22"/>
        </w:rPr>
        <w:t xml:space="preserve">4) permite confirmar uma associação entre os vários elementos identificados. Verifica-se que </w:t>
      </w:r>
      <w:r>
        <w:t>a</w:t>
      </w:r>
      <w:r w:rsidRPr="001C26A5">
        <w:t xml:space="preserve"> projecção vertical do material coincide com </w:t>
      </w:r>
      <w:r>
        <w:t>o</w:t>
      </w:r>
      <w:r w:rsidRPr="001C26A5">
        <w:t xml:space="preserve"> </w:t>
      </w:r>
      <w:r>
        <w:t>empedrado</w:t>
      </w:r>
      <w:r w:rsidRPr="001C26A5">
        <w:t>. O nível pétreo e os materiais arqueológicos estão distribuídos verticalmente e horizontalmente no mesmo nível.</w:t>
      </w:r>
    </w:p>
    <w:p w:rsidR="00A34B7A" w:rsidRPr="001C26A5" w:rsidRDefault="00A34B7A" w:rsidP="00A34B7A">
      <w:pPr>
        <w:spacing w:line="360" w:lineRule="auto"/>
        <w:jc w:val="both"/>
      </w:pPr>
      <w:r w:rsidRPr="001C26A5">
        <w:t xml:space="preserve"> </w:t>
      </w:r>
      <w:r w:rsidR="00077643">
        <w:tab/>
      </w:r>
      <w:r w:rsidRPr="001C26A5">
        <w:t>A projecção de material arqueológico parece evidenciar dois níveis distintos de ocupação</w:t>
      </w:r>
      <w:r>
        <w:t xml:space="preserve"> (</w:t>
      </w:r>
      <w:r w:rsidRPr="00062DAA">
        <w:rPr>
          <w:sz w:val="22"/>
          <w:szCs w:val="22"/>
        </w:rPr>
        <w:t>Figura 6.1.</w:t>
      </w:r>
      <w:r>
        <w:rPr>
          <w:sz w:val="22"/>
          <w:szCs w:val="22"/>
        </w:rPr>
        <w:t>5)</w:t>
      </w:r>
      <w:r w:rsidRPr="001C26A5">
        <w:t xml:space="preserve">. O primeiro coincide com o limite espacial da couraça pétrea e com o limite definido pelos buracos de poste. O nível inferior parece alastrar para o corte Norte. No entanto os dois níveis estão interligados devendo corresponder a sucessivas ocupações do mesmo local. </w:t>
      </w:r>
    </w:p>
    <w:p w:rsidR="00A34B7A" w:rsidRDefault="00A34B7A" w:rsidP="00077643">
      <w:pPr>
        <w:spacing w:line="360" w:lineRule="auto"/>
        <w:ind w:firstLine="708"/>
        <w:jc w:val="both"/>
      </w:pPr>
      <w:r w:rsidRPr="001C26A5">
        <w:t>O nível superior, devido à elaboração das infra-estru</w:t>
      </w:r>
      <w:r>
        <w:t>tu</w:t>
      </w:r>
      <w:r w:rsidRPr="001C26A5">
        <w:t xml:space="preserve">ras criadas (buracos de poste, lareira), parece indicar uma intenção de permanência sucessiva ou intermitente no </w:t>
      </w:r>
      <w:r w:rsidRPr="007F35B9">
        <w:t xml:space="preserve">mesmo lugar. Este pode ser um indicador que a deslocação destas comunidades não se regia por um padrão aleatório mas sim por uma migração sazonal entre diferentes </w:t>
      </w:r>
      <w:r>
        <w:t xml:space="preserve">áreas de permanência. </w:t>
      </w:r>
    </w:p>
    <w:p w:rsidR="00A34B7A" w:rsidRDefault="00A34B7A" w:rsidP="00A34B7A">
      <w:pPr>
        <w:spacing w:line="360" w:lineRule="auto"/>
        <w:jc w:val="both"/>
      </w:pPr>
    </w:p>
    <w:p w:rsidR="00A34B7A" w:rsidRDefault="00A34B7A" w:rsidP="00A34B7A">
      <w:pPr>
        <w:spacing w:line="360" w:lineRule="auto"/>
        <w:jc w:val="both"/>
      </w:pPr>
    </w:p>
    <w:p w:rsidR="00A34B7A" w:rsidRDefault="00A34B7A" w:rsidP="00A34B7A">
      <w:pPr>
        <w:spacing w:line="360" w:lineRule="auto"/>
        <w:jc w:val="both"/>
      </w:pPr>
    </w:p>
    <w:p w:rsidR="00A34B7A" w:rsidRPr="007F35B9" w:rsidRDefault="00EA3774" w:rsidP="00A34B7A">
      <w:pPr>
        <w:spacing w:line="360" w:lineRule="auto"/>
        <w:jc w:val="both"/>
        <w:sectPr w:rsidR="00A34B7A" w:rsidRPr="007F35B9" w:rsidSect="00D16605">
          <w:pgSz w:w="11907" w:h="16840" w:code="9"/>
          <w:pgMar w:top="1418" w:right="1701" w:bottom="1435" w:left="1701" w:header="0" w:footer="0" w:gutter="0"/>
          <w:pgNumType w:start="70"/>
          <w:cols w:space="708"/>
          <w:docGrid w:linePitch="360"/>
        </w:sectPr>
      </w:pPr>
      <w:r w:rsidRPr="00EA3774">
        <w:rPr>
          <w:b/>
          <w:noProof/>
          <w:u w:val="single"/>
          <w:lang w:eastAsia="en-US"/>
        </w:rPr>
        <w:pict>
          <v:shape id="_x0000_s1085" type="#_x0000_t202" style="position:absolute;left:0;text-align:left;margin-left:-42.3pt;margin-top:654.65pt;width:512.25pt;height:49.5pt;z-index:251726848;mso-width-relative:margin;mso-height-relative:margin" stroked="f">
            <v:textbox style="mso-next-textbox:#_x0000_s1085">
              <w:txbxContent>
                <w:p w:rsidR="00B34B0F" w:rsidRPr="007F35B9" w:rsidRDefault="00B34B0F" w:rsidP="00A34B7A">
                  <w:pPr>
                    <w:jc w:val="both"/>
                  </w:pPr>
                  <w:r w:rsidRPr="007F35B9">
                    <w:rPr>
                      <w:sz w:val="22"/>
                      <w:szCs w:val="22"/>
                    </w:rPr>
                    <w:t>Figura 6.1.</w:t>
                  </w:r>
                  <w:r>
                    <w:rPr>
                      <w:sz w:val="22"/>
                      <w:szCs w:val="22"/>
                    </w:rPr>
                    <w:t>4</w:t>
                  </w:r>
                  <w:r w:rsidRPr="007F35B9">
                    <w:rPr>
                      <w:sz w:val="22"/>
                      <w:szCs w:val="22"/>
                    </w:rPr>
                    <w:t>- Pegos do Tejo 2. Desenho geral das ocorrências arqueológicas. A localização da lareira (a cinzento), dos buracos de poste (a azul) e a indústria lítica (a vermelho) permitem ter um</w:t>
                  </w:r>
                  <w:r>
                    <w:rPr>
                      <w:sz w:val="22"/>
                      <w:szCs w:val="22"/>
                    </w:rPr>
                    <w:t>a</w:t>
                  </w:r>
                  <w:r w:rsidRPr="007F35B9">
                    <w:rPr>
                      <w:sz w:val="22"/>
                      <w:szCs w:val="22"/>
                    </w:rPr>
                    <w:t xml:space="preserve"> visão de conjunto desta ocupação.</w:t>
                  </w:r>
                </w:p>
                <w:p w:rsidR="00B34B0F" w:rsidRDefault="00B34B0F" w:rsidP="00A34B7A"/>
              </w:txbxContent>
            </v:textbox>
          </v:shape>
        </w:pict>
      </w:r>
      <w:r w:rsidR="00A34B7A">
        <w:rPr>
          <w:noProof/>
        </w:rPr>
        <w:drawing>
          <wp:inline distT="0" distB="0" distL="0" distR="0">
            <wp:extent cx="4511040" cy="8210550"/>
            <wp:effectExtent l="19050" t="0" r="3810" b="0"/>
            <wp:docPr id="86" name="Imagem 86" descr="DE+L+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L+BP"/>
                    <pic:cNvPicPr>
                      <a:picLocks noChangeAspect="1" noChangeArrowheads="1"/>
                    </pic:cNvPicPr>
                  </pic:nvPicPr>
                  <pic:blipFill>
                    <a:blip r:embed="rId48" cstate="print"/>
                    <a:srcRect/>
                    <a:stretch>
                      <a:fillRect/>
                    </a:stretch>
                  </pic:blipFill>
                  <pic:spPr bwMode="auto">
                    <a:xfrm>
                      <a:off x="0" y="0"/>
                      <a:ext cx="4511040" cy="8210550"/>
                    </a:xfrm>
                    <a:prstGeom prst="rect">
                      <a:avLst/>
                    </a:prstGeom>
                    <a:noFill/>
                    <a:ln w="9525">
                      <a:noFill/>
                      <a:miter lim="800000"/>
                      <a:headEnd/>
                      <a:tailEnd/>
                    </a:ln>
                  </pic:spPr>
                </pic:pic>
              </a:graphicData>
            </a:graphic>
          </wp:inline>
        </w:drawing>
      </w:r>
    </w:p>
    <w:p w:rsidR="00A34B7A" w:rsidRDefault="00EA3774" w:rsidP="00A34B7A">
      <w:pPr>
        <w:spacing w:line="360" w:lineRule="auto"/>
        <w:jc w:val="both"/>
        <w:rPr>
          <w:b/>
        </w:rPr>
      </w:pPr>
      <w:r w:rsidRPr="00EA3774">
        <w:rPr>
          <w:noProof/>
          <w:color w:val="FF0000"/>
        </w:rPr>
        <w:lastRenderedPageBreak/>
        <w:pict>
          <v:shape id="_x0000_s1091" type="#_x0000_t202" style="position:absolute;left:0;text-align:left;margin-left:268.45pt;margin-top:159.35pt;width:54.55pt;height:539.8pt;z-index:251732992;mso-width-relative:margin;mso-height-relative:margin" stroked="f">
            <v:textbox style="layout-flow:vertical;mso-layout-flow-alt:bottom-to-top;mso-next-textbox:#_x0000_s1091;mso-fit-shape-to-text:t">
              <w:txbxContent>
                <w:p w:rsidR="00B34B0F" w:rsidRPr="007F35B9" w:rsidRDefault="00B34B0F" w:rsidP="00A34B7A">
                  <w:proofErr w:type="gramStart"/>
                  <w:r w:rsidRPr="007F35B9">
                    <w:rPr>
                      <w:sz w:val="22"/>
                      <w:szCs w:val="22"/>
                    </w:rPr>
                    <w:t>Figura  6.</w:t>
                  </w:r>
                  <w:proofErr w:type="gramEnd"/>
                  <w:r w:rsidRPr="007F35B9">
                    <w:rPr>
                      <w:sz w:val="22"/>
                      <w:szCs w:val="22"/>
                    </w:rPr>
                    <w:t>1.</w:t>
                  </w:r>
                  <w:r>
                    <w:rPr>
                      <w:sz w:val="22"/>
                      <w:szCs w:val="22"/>
                    </w:rPr>
                    <w:t>5</w:t>
                  </w:r>
                  <w:r w:rsidRPr="007F35B9">
                    <w:rPr>
                      <w:sz w:val="22"/>
                      <w:szCs w:val="22"/>
                    </w:rPr>
                    <w:t>- Pegos do Tejo 2. Projecção vertical do registo arqueológico. A azul a primeira decapagem, a vermelho a segunda e a verde</w:t>
                  </w:r>
                  <w:r>
                    <w:rPr>
                      <w:sz w:val="22"/>
                      <w:szCs w:val="22"/>
                    </w:rPr>
                    <w:t>, a terceira.</w:t>
                  </w:r>
                </w:p>
                <w:p w:rsidR="00B34B0F" w:rsidRPr="007F35B9" w:rsidRDefault="00B34B0F" w:rsidP="00A34B7A"/>
              </w:txbxContent>
            </v:textbox>
          </v:shape>
        </w:pict>
      </w:r>
      <w:r w:rsidR="00A34B7A">
        <w:rPr>
          <w:b/>
          <w:noProof/>
        </w:rPr>
        <w:drawing>
          <wp:inline distT="0" distB="0" distL="0" distR="0">
            <wp:extent cx="1152525" cy="8879205"/>
            <wp:effectExtent l="19050" t="0" r="9525" b="0"/>
            <wp:docPr id="97" name="Imagem 9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g"/>
                    <pic:cNvPicPr>
                      <a:picLocks noChangeAspect="1" noChangeArrowheads="1"/>
                    </pic:cNvPicPr>
                  </pic:nvPicPr>
                  <pic:blipFill>
                    <a:blip r:embed="rId49" cstate="print"/>
                    <a:srcRect/>
                    <a:stretch>
                      <a:fillRect/>
                    </a:stretch>
                  </pic:blipFill>
                  <pic:spPr bwMode="auto">
                    <a:xfrm>
                      <a:off x="0" y="0"/>
                      <a:ext cx="1152525" cy="8879205"/>
                    </a:xfrm>
                    <a:prstGeom prst="rect">
                      <a:avLst/>
                    </a:prstGeom>
                    <a:noFill/>
                    <a:ln w="9525">
                      <a:noFill/>
                      <a:miter lim="800000"/>
                      <a:headEnd/>
                      <a:tailEnd/>
                    </a:ln>
                  </pic:spPr>
                </pic:pic>
              </a:graphicData>
            </a:graphic>
          </wp:inline>
        </w:drawing>
      </w:r>
    </w:p>
    <w:p w:rsidR="00A34B7A" w:rsidRDefault="00A34B7A" w:rsidP="00A34B7A">
      <w:pPr>
        <w:pStyle w:val="Avanodecorpodetexto"/>
        <w:spacing w:line="360" w:lineRule="auto"/>
        <w:jc w:val="both"/>
      </w:pPr>
    </w:p>
    <w:p w:rsidR="00A34B7A" w:rsidRPr="00C33F4C" w:rsidRDefault="00A34B7A" w:rsidP="00A34B7A">
      <w:pPr>
        <w:pStyle w:val="Avanodecorpodetexto"/>
        <w:spacing w:after="0" w:line="360" w:lineRule="auto"/>
        <w:ind w:left="0" w:firstLine="708"/>
        <w:jc w:val="both"/>
        <w:rPr>
          <w:b/>
        </w:rPr>
      </w:pPr>
      <w:r>
        <w:rPr>
          <w:b/>
        </w:rPr>
        <w:t xml:space="preserve">6.1.4- </w:t>
      </w:r>
      <w:r w:rsidRPr="00C33F4C">
        <w:t>A indústria lítica.</w:t>
      </w:r>
    </w:p>
    <w:p w:rsidR="00A34B7A" w:rsidRDefault="00A34B7A" w:rsidP="00A34B7A">
      <w:pPr>
        <w:pStyle w:val="Avanodecorpodetexto"/>
        <w:spacing w:after="0" w:line="360" w:lineRule="auto"/>
        <w:ind w:left="0" w:firstLine="708"/>
        <w:jc w:val="both"/>
      </w:pPr>
    </w:p>
    <w:p w:rsidR="00A34B7A" w:rsidRDefault="00A34B7A" w:rsidP="00A34B7A">
      <w:pPr>
        <w:pStyle w:val="Avanodecorpodetexto"/>
        <w:spacing w:after="0" w:line="360" w:lineRule="auto"/>
        <w:ind w:left="0" w:firstLine="708"/>
        <w:jc w:val="both"/>
      </w:pPr>
      <w:r>
        <w:t xml:space="preserve">A escavação dos Pegos do Tejo 2 resultou na exumação de um total de 464 peças </w:t>
      </w:r>
      <w:r w:rsidRPr="009629D4">
        <w:t>(</w:t>
      </w:r>
      <w:r>
        <w:t>T</w:t>
      </w:r>
      <w:r w:rsidRPr="009629D4">
        <w:t>abela 6.1.1).</w:t>
      </w:r>
      <w:r>
        <w:t xml:space="preserve"> </w:t>
      </w:r>
      <w:r w:rsidRPr="0064400A">
        <w:t>Foi recolhida uma indústria lítica com alguma abundância (</w:t>
      </w:r>
      <w:r>
        <w:t>±60</w:t>
      </w:r>
      <w:r w:rsidRPr="0064400A">
        <w:t xml:space="preserve"> peças por m²) que permite caracterizá-la como uma indústria sobre lasca. </w:t>
      </w:r>
      <w:r>
        <w:t>Desse conjunto realizou-se</w:t>
      </w:r>
      <w:r w:rsidRPr="008D73CC">
        <w:t xml:space="preserve"> uma triagem</w:t>
      </w:r>
      <w:r>
        <w:t xml:space="preserve">, seleccionando as peças que mais dados poderiam trazer para uma melhor compreensão dos processos de produção da utensilagem lítica. Foram excluídos restos de talhe que, devido às suas características morfológicas, não apresentavam dados que permitissem o seu enquadramento numa cadeia operativa bem definida. Como resultado desse processo foi possível estabelecer uma razão entre o número de peças recolhidas e o número de peças estudadas e que se apresenta no seguinte quadro: </w:t>
      </w:r>
    </w:p>
    <w:p w:rsidR="00A34B7A" w:rsidRDefault="00A34B7A" w:rsidP="00A34B7A">
      <w:pPr>
        <w:pStyle w:val="Avanodecorpodetexto"/>
        <w:spacing w:after="0" w:line="360" w:lineRule="auto"/>
        <w:ind w:left="0" w:firstLine="708"/>
        <w:jc w:val="both"/>
      </w:pPr>
    </w:p>
    <w:p w:rsidR="00A34B7A" w:rsidRDefault="00A34B7A" w:rsidP="00A34B7A">
      <w:pPr>
        <w:pStyle w:val="Avanodecorpodetexto"/>
        <w:spacing w:line="360" w:lineRule="auto"/>
        <w:ind w:left="0"/>
        <w:jc w:val="center"/>
      </w:pPr>
    </w:p>
    <w:tbl>
      <w:tblPr>
        <w:tblStyle w:val="SombreadoClaro-Cor5"/>
        <w:tblW w:w="0" w:type="auto"/>
        <w:tblInd w:w="817" w:type="dxa"/>
        <w:tblLook w:val="04A0"/>
      </w:tblPr>
      <w:tblGrid>
        <w:gridCol w:w="1163"/>
        <w:gridCol w:w="2346"/>
        <w:gridCol w:w="2517"/>
        <w:gridCol w:w="1097"/>
      </w:tblGrid>
      <w:tr w:rsidR="00A34B7A" w:rsidTr="00A34B7A">
        <w:trPr>
          <w:cnfStyle w:val="100000000000"/>
        </w:trPr>
        <w:tc>
          <w:tcPr>
            <w:cnfStyle w:val="001000000000"/>
            <w:tcW w:w="738" w:type="dxa"/>
          </w:tcPr>
          <w:p w:rsidR="00A34B7A" w:rsidRPr="00F431E9" w:rsidRDefault="00A34B7A" w:rsidP="00A34B7A">
            <w:pPr>
              <w:pStyle w:val="Avanodecorpodetexto"/>
              <w:spacing w:line="360" w:lineRule="auto"/>
              <w:ind w:left="0"/>
              <w:jc w:val="center"/>
              <w:rPr>
                <w:b w:val="0"/>
                <w:color w:val="auto"/>
              </w:rPr>
            </w:pPr>
            <w:r w:rsidRPr="00F431E9">
              <w:rPr>
                <w:b w:val="0"/>
                <w:color w:val="auto"/>
              </w:rPr>
              <w:t>Quadrado</w:t>
            </w:r>
          </w:p>
        </w:tc>
        <w:tc>
          <w:tcPr>
            <w:tcW w:w="2346" w:type="dxa"/>
          </w:tcPr>
          <w:p w:rsidR="00A34B7A" w:rsidRPr="00F431E9" w:rsidRDefault="00A34B7A" w:rsidP="00A34B7A">
            <w:pPr>
              <w:pStyle w:val="Avanodecorpodetexto"/>
              <w:spacing w:line="360" w:lineRule="auto"/>
              <w:ind w:left="0"/>
              <w:jc w:val="center"/>
              <w:cnfStyle w:val="100000000000"/>
              <w:rPr>
                <w:b w:val="0"/>
                <w:color w:val="auto"/>
              </w:rPr>
            </w:pPr>
            <w:r w:rsidRPr="00F431E9">
              <w:rPr>
                <w:b w:val="0"/>
                <w:color w:val="auto"/>
              </w:rPr>
              <w:t>Número de registos</w:t>
            </w:r>
          </w:p>
        </w:tc>
        <w:tc>
          <w:tcPr>
            <w:tcW w:w="2517" w:type="dxa"/>
          </w:tcPr>
          <w:p w:rsidR="00A34B7A" w:rsidRPr="00F431E9" w:rsidRDefault="00A34B7A" w:rsidP="00A34B7A">
            <w:pPr>
              <w:pStyle w:val="Avanodecorpodetexto"/>
              <w:spacing w:line="360" w:lineRule="auto"/>
              <w:ind w:left="0"/>
              <w:jc w:val="center"/>
              <w:cnfStyle w:val="100000000000"/>
              <w:rPr>
                <w:b w:val="0"/>
                <w:color w:val="auto"/>
              </w:rPr>
            </w:pPr>
            <w:r w:rsidRPr="00F431E9">
              <w:rPr>
                <w:b w:val="0"/>
                <w:color w:val="auto"/>
              </w:rPr>
              <w:t>N.º de peças estudadas</w:t>
            </w:r>
          </w:p>
        </w:tc>
        <w:tc>
          <w:tcPr>
            <w:tcW w:w="1097" w:type="dxa"/>
          </w:tcPr>
          <w:p w:rsidR="00A34B7A" w:rsidRPr="00F431E9" w:rsidRDefault="00A34B7A" w:rsidP="00A34B7A">
            <w:pPr>
              <w:pStyle w:val="Avanodecorpodetexto"/>
              <w:spacing w:line="360" w:lineRule="auto"/>
              <w:ind w:left="0"/>
              <w:jc w:val="center"/>
              <w:cnfStyle w:val="100000000000"/>
              <w:rPr>
                <w:b w:val="0"/>
                <w:color w:val="auto"/>
              </w:rPr>
            </w:pPr>
            <w:r w:rsidRPr="00F431E9">
              <w:rPr>
                <w:b w:val="0"/>
                <w:color w:val="auto"/>
              </w:rPr>
              <w:t>%</w:t>
            </w:r>
          </w:p>
        </w:tc>
      </w:tr>
      <w:tr w:rsidR="00A34B7A" w:rsidTr="00A34B7A">
        <w:trPr>
          <w:cnfStyle w:val="000000100000"/>
        </w:trPr>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L2</w:t>
            </w:r>
          </w:p>
        </w:tc>
        <w:tc>
          <w:tcPr>
            <w:tcW w:w="2346"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66</w:t>
            </w:r>
          </w:p>
        </w:tc>
        <w:tc>
          <w:tcPr>
            <w:tcW w:w="251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34</w:t>
            </w:r>
          </w:p>
        </w:tc>
        <w:tc>
          <w:tcPr>
            <w:tcW w:w="109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51,51</w:t>
            </w:r>
          </w:p>
        </w:tc>
      </w:tr>
      <w:tr w:rsidR="00A34B7A" w:rsidTr="00A34B7A">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M2</w:t>
            </w:r>
          </w:p>
        </w:tc>
        <w:tc>
          <w:tcPr>
            <w:tcW w:w="2346"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54</w:t>
            </w:r>
          </w:p>
        </w:tc>
        <w:tc>
          <w:tcPr>
            <w:tcW w:w="251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24</w:t>
            </w:r>
          </w:p>
        </w:tc>
        <w:tc>
          <w:tcPr>
            <w:tcW w:w="109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44,44</w:t>
            </w:r>
          </w:p>
        </w:tc>
      </w:tr>
      <w:tr w:rsidR="00A34B7A" w:rsidTr="00A34B7A">
        <w:trPr>
          <w:cnfStyle w:val="000000100000"/>
        </w:trPr>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L3</w:t>
            </w:r>
          </w:p>
        </w:tc>
        <w:tc>
          <w:tcPr>
            <w:tcW w:w="2346"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66</w:t>
            </w:r>
          </w:p>
        </w:tc>
        <w:tc>
          <w:tcPr>
            <w:tcW w:w="251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34</w:t>
            </w:r>
          </w:p>
        </w:tc>
        <w:tc>
          <w:tcPr>
            <w:tcW w:w="109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51,51</w:t>
            </w:r>
          </w:p>
        </w:tc>
      </w:tr>
      <w:tr w:rsidR="00A34B7A" w:rsidTr="00A34B7A">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M3</w:t>
            </w:r>
          </w:p>
        </w:tc>
        <w:tc>
          <w:tcPr>
            <w:tcW w:w="2346"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88</w:t>
            </w:r>
          </w:p>
        </w:tc>
        <w:tc>
          <w:tcPr>
            <w:tcW w:w="251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46</w:t>
            </w:r>
          </w:p>
        </w:tc>
        <w:tc>
          <w:tcPr>
            <w:tcW w:w="109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52,27</w:t>
            </w:r>
          </w:p>
        </w:tc>
      </w:tr>
      <w:tr w:rsidR="00A34B7A" w:rsidTr="00A34B7A">
        <w:trPr>
          <w:cnfStyle w:val="000000100000"/>
        </w:trPr>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L4</w:t>
            </w:r>
          </w:p>
        </w:tc>
        <w:tc>
          <w:tcPr>
            <w:tcW w:w="2346"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53</w:t>
            </w:r>
          </w:p>
        </w:tc>
        <w:tc>
          <w:tcPr>
            <w:tcW w:w="251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33</w:t>
            </w:r>
          </w:p>
        </w:tc>
        <w:tc>
          <w:tcPr>
            <w:tcW w:w="109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62,26</w:t>
            </w:r>
          </w:p>
        </w:tc>
      </w:tr>
      <w:tr w:rsidR="00A34B7A" w:rsidTr="00A34B7A">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M4</w:t>
            </w:r>
          </w:p>
        </w:tc>
        <w:tc>
          <w:tcPr>
            <w:tcW w:w="2346"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60</w:t>
            </w:r>
          </w:p>
        </w:tc>
        <w:tc>
          <w:tcPr>
            <w:tcW w:w="251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32</w:t>
            </w:r>
          </w:p>
        </w:tc>
        <w:tc>
          <w:tcPr>
            <w:tcW w:w="109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53,33</w:t>
            </w:r>
          </w:p>
        </w:tc>
      </w:tr>
      <w:tr w:rsidR="00A34B7A" w:rsidTr="00A34B7A">
        <w:trPr>
          <w:cnfStyle w:val="000000100000"/>
        </w:trPr>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L5</w:t>
            </w:r>
          </w:p>
        </w:tc>
        <w:tc>
          <w:tcPr>
            <w:tcW w:w="2346"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40</w:t>
            </w:r>
          </w:p>
        </w:tc>
        <w:tc>
          <w:tcPr>
            <w:tcW w:w="251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16</w:t>
            </w:r>
          </w:p>
        </w:tc>
        <w:tc>
          <w:tcPr>
            <w:tcW w:w="109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40</w:t>
            </w:r>
          </w:p>
        </w:tc>
      </w:tr>
      <w:tr w:rsidR="00A34B7A" w:rsidTr="00A34B7A">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M5</w:t>
            </w:r>
          </w:p>
        </w:tc>
        <w:tc>
          <w:tcPr>
            <w:tcW w:w="2346"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37</w:t>
            </w:r>
          </w:p>
        </w:tc>
        <w:tc>
          <w:tcPr>
            <w:tcW w:w="251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17</w:t>
            </w:r>
          </w:p>
        </w:tc>
        <w:tc>
          <w:tcPr>
            <w:tcW w:w="1097" w:type="dxa"/>
          </w:tcPr>
          <w:p w:rsidR="00A34B7A" w:rsidRPr="00F431E9" w:rsidRDefault="00A34B7A" w:rsidP="00A34B7A">
            <w:pPr>
              <w:pStyle w:val="Avanodecorpodetexto"/>
              <w:spacing w:line="360" w:lineRule="auto"/>
              <w:ind w:left="0"/>
              <w:jc w:val="center"/>
              <w:cnfStyle w:val="000000000000"/>
              <w:rPr>
                <w:color w:val="auto"/>
              </w:rPr>
            </w:pPr>
            <w:r w:rsidRPr="00F431E9">
              <w:rPr>
                <w:color w:val="auto"/>
              </w:rPr>
              <w:t>45,94</w:t>
            </w:r>
          </w:p>
        </w:tc>
      </w:tr>
      <w:tr w:rsidR="00A34B7A" w:rsidTr="00A34B7A">
        <w:trPr>
          <w:cnfStyle w:val="000000100000"/>
        </w:trPr>
        <w:tc>
          <w:tcPr>
            <w:cnfStyle w:val="001000000000"/>
            <w:tcW w:w="738" w:type="dxa"/>
          </w:tcPr>
          <w:p w:rsidR="00A34B7A" w:rsidRPr="00F431E9" w:rsidRDefault="00A34B7A" w:rsidP="00A34B7A">
            <w:pPr>
              <w:pStyle w:val="Avanodecorpodetexto"/>
              <w:spacing w:line="360" w:lineRule="auto"/>
              <w:ind w:left="0"/>
              <w:jc w:val="center"/>
              <w:rPr>
                <w:color w:val="auto"/>
              </w:rPr>
            </w:pPr>
            <w:r w:rsidRPr="00F431E9">
              <w:rPr>
                <w:color w:val="auto"/>
              </w:rPr>
              <w:t>Total</w:t>
            </w:r>
          </w:p>
        </w:tc>
        <w:tc>
          <w:tcPr>
            <w:tcW w:w="2346"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464</w:t>
            </w:r>
          </w:p>
        </w:tc>
        <w:tc>
          <w:tcPr>
            <w:tcW w:w="251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236</w:t>
            </w:r>
          </w:p>
        </w:tc>
        <w:tc>
          <w:tcPr>
            <w:tcW w:w="1097" w:type="dxa"/>
          </w:tcPr>
          <w:p w:rsidR="00A34B7A" w:rsidRPr="00F431E9" w:rsidRDefault="00A34B7A" w:rsidP="00A34B7A">
            <w:pPr>
              <w:pStyle w:val="Avanodecorpodetexto"/>
              <w:spacing w:line="360" w:lineRule="auto"/>
              <w:ind w:left="0"/>
              <w:jc w:val="center"/>
              <w:cnfStyle w:val="000000100000"/>
              <w:rPr>
                <w:color w:val="auto"/>
              </w:rPr>
            </w:pPr>
            <w:r w:rsidRPr="00F431E9">
              <w:rPr>
                <w:color w:val="auto"/>
              </w:rPr>
              <w:t>50,86</w:t>
            </w:r>
          </w:p>
        </w:tc>
      </w:tr>
    </w:tbl>
    <w:p w:rsidR="00A34B7A" w:rsidRPr="00F431E9" w:rsidRDefault="00EA3774" w:rsidP="00A34B7A">
      <w:pPr>
        <w:pStyle w:val="Avanodecorpodetexto"/>
        <w:spacing w:line="360" w:lineRule="auto"/>
        <w:jc w:val="both"/>
        <w:rPr>
          <w:b/>
        </w:rPr>
      </w:pPr>
      <w:r>
        <w:rPr>
          <w:b/>
          <w:noProof/>
          <w:lang w:eastAsia="en-US"/>
        </w:rPr>
        <w:pict>
          <v:shape id="_x0000_s1050" type="#_x0000_t202" style="position:absolute;left:0;text-align:left;margin-left:25.75pt;margin-top:1.95pt;width:366.35pt;height:37.5pt;z-index:251691008;mso-position-horizontal-relative:text;mso-position-vertical-relative:text;mso-width-relative:margin;mso-height-relative:margin" stroked="f">
            <v:textbox style="mso-next-textbox:#_x0000_s1050">
              <w:txbxContent>
                <w:p w:rsidR="00B34B0F" w:rsidRPr="001E2B1B" w:rsidRDefault="00B34B0F" w:rsidP="00A34B7A">
                  <w:pPr>
                    <w:pStyle w:val="Avanodecorpodetexto"/>
                    <w:ind w:left="0"/>
                    <w:jc w:val="both"/>
                    <w:rPr>
                      <w:b/>
                      <w:sz w:val="22"/>
                      <w:szCs w:val="22"/>
                    </w:rPr>
                  </w:pPr>
                  <w:r w:rsidRPr="001E2B1B">
                    <w:rPr>
                      <w:b/>
                      <w:sz w:val="22"/>
                      <w:szCs w:val="22"/>
                    </w:rPr>
                    <w:t>Tabela 6.1</w:t>
                  </w:r>
                  <w:r>
                    <w:rPr>
                      <w:b/>
                      <w:sz w:val="22"/>
                      <w:szCs w:val="22"/>
                    </w:rPr>
                    <w:t>.1</w:t>
                  </w:r>
                  <w:r w:rsidRPr="001E2B1B">
                    <w:rPr>
                      <w:b/>
                      <w:sz w:val="22"/>
                      <w:szCs w:val="22"/>
                    </w:rPr>
                    <w:t xml:space="preserve"> – Número de registos levantados por quadrado, número de peças estudadas e percentagens parciais e totais.</w:t>
                  </w:r>
                </w:p>
                <w:p w:rsidR="00B34B0F" w:rsidRDefault="00B34B0F" w:rsidP="00A34B7A"/>
              </w:txbxContent>
            </v:textbox>
          </v:shape>
        </w:pict>
      </w:r>
    </w:p>
    <w:p w:rsidR="00A34B7A" w:rsidRDefault="00A34B7A" w:rsidP="00A34B7A">
      <w:pPr>
        <w:pStyle w:val="Avanodecorpodetexto"/>
        <w:spacing w:line="360" w:lineRule="auto"/>
        <w:ind w:left="284"/>
        <w:jc w:val="both"/>
      </w:pPr>
      <w:r>
        <w:t xml:space="preserve">  </w:t>
      </w:r>
    </w:p>
    <w:p w:rsidR="00A34B7A" w:rsidRDefault="00A34B7A" w:rsidP="00A34B7A">
      <w:pPr>
        <w:pStyle w:val="Avanodecorpodetexto"/>
        <w:spacing w:line="360" w:lineRule="auto"/>
        <w:ind w:left="0"/>
        <w:jc w:val="both"/>
      </w:pPr>
    </w:p>
    <w:p w:rsidR="00D92F53" w:rsidRDefault="00D92F53" w:rsidP="00A34B7A">
      <w:pPr>
        <w:pStyle w:val="Avanodecorpodetexto"/>
        <w:spacing w:line="360" w:lineRule="auto"/>
        <w:ind w:left="0"/>
        <w:jc w:val="both"/>
      </w:pPr>
    </w:p>
    <w:p w:rsidR="00A34B7A" w:rsidRPr="00C33F4C" w:rsidRDefault="00A34B7A" w:rsidP="00A34B7A">
      <w:pPr>
        <w:autoSpaceDE w:val="0"/>
        <w:autoSpaceDN w:val="0"/>
        <w:adjustRightInd w:val="0"/>
        <w:spacing w:line="360" w:lineRule="auto"/>
        <w:jc w:val="both"/>
      </w:pPr>
      <w:r w:rsidRPr="00C33F4C">
        <w:lastRenderedPageBreak/>
        <w:t>6.</w:t>
      </w:r>
      <w:r w:rsidR="00166C52">
        <w:t>1</w:t>
      </w:r>
      <w:r w:rsidRPr="00C33F4C">
        <w:t>.1.1- Matéria-prima</w:t>
      </w:r>
      <w:r>
        <w:t>.</w:t>
      </w:r>
    </w:p>
    <w:p w:rsidR="00A34B7A" w:rsidRDefault="00A34B7A" w:rsidP="00A34B7A">
      <w:pPr>
        <w:autoSpaceDE w:val="0"/>
        <w:autoSpaceDN w:val="0"/>
        <w:adjustRightInd w:val="0"/>
        <w:spacing w:line="360" w:lineRule="auto"/>
        <w:jc w:val="both"/>
      </w:pPr>
      <w:r>
        <w:t xml:space="preserve"> </w:t>
      </w:r>
    </w:p>
    <w:p w:rsidR="00A34B7A" w:rsidRDefault="00A34B7A" w:rsidP="00A34B7A">
      <w:pPr>
        <w:autoSpaceDE w:val="0"/>
        <w:autoSpaceDN w:val="0"/>
        <w:adjustRightInd w:val="0"/>
        <w:spacing w:line="360" w:lineRule="auto"/>
        <w:ind w:firstLine="708"/>
        <w:jc w:val="both"/>
      </w:pPr>
      <w:r>
        <w:t xml:space="preserve">Quando o estudo de uma colecção arqueológica, constituída por indústria lítica, se baseia nos princípios de cadeia operatória, a análise da matéria-prima pode trazer à superfície todo um conjunto considerável de informações que, recorrendo a outra abordagem metodológica, passariam despercebidos. Através desta abordagem, são importantes os factores como o tipo de suporte utilizado, de onde provêm, que rochas são seleccionadas e que tipo de percutor é utilizado.  </w:t>
      </w:r>
    </w:p>
    <w:p w:rsidR="00A34B7A" w:rsidRDefault="00A34B7A" w:rsidP="00A34B7A">
      <w:pPr>
        <w:autoSpaceDE w:val="0"/>
        <w:autoSpaceDN w:val="0"/>
        <w:adjustRightInd w:val="0"/>
        <w:jc w:val="both"/>
      </w:pPr>
    </w:p>
    <w:p w:rsidR="00A34B7A" w:rsidRDefault="00A34B7A" w:rsidP="00A34B7A">
      <w:pPr>
        <w:autoSpaceDE w:val="0"/>
        <w:autoSpaceDN w:val="0"/>
        <w:adjustRightInd w:val="0"/>
        <w:jc w:val="both"/>
      </w:pPr>
    </w:p>
    <w:p w:rsidR="00A34B7A" w:rsidRDefault="00A34B7A" w:rsidP="00A34B7A">
      <w:pPr>
        <w:autoSpaceDE w:val="0"/>
        <w:autoSpaceDN w:val="0"/>
        <w:adjustRightInd w:val="0"/>
        <w:spacing w:line="360" w:lineRule="auto"/>
        <w:ind w:firstLine="708"/>
        <w:jc w:val="both"/>
      </w:pPr>
      <w:r>
        <w:t>No sítio dos Pegos do Tejo 2 verifica-se uma predisposição para o recurso a matéria-prima que se apresenta em placas em detrimento de seixos de rio, abundantes nos terraços do Tejo (</w:t>
      </w:r>
      <w:r w:rsidRPr="00C75044">
        <w:rPr>
          <w:sz w:val="22"/>
          <w:szCs w:val="22"/>
        </w:rPr>
        <w:t>Gráfico 6.1.1</w:t>
      </w:r>
      <w:r>
        <w:rPr>
          <w:sz w:val="22"/>
          <w:szCs w:val="22"/>
        </w:rPr>
        <w:t>)</w:t>
      </w:r>
      <w:r>
        <w:t>. Estas placas correspondem a fragmentos de quartzito que se vão desprendendo gradualmente das cristas quartzíticas Ordovícicas. Á medida que vão sendo arrastados pelos depósitos de vertente</w:t>
      </w:r>
      <w:proofErr w:type="gramStart"/>
      <w:r>
        <w:t>,</w:t>
      </w:r>
      <w:proofErr w:type="gramEnd"/>
      <w:r>
        <w:t xml:space="preserve"> vão sendo alterados superficialmente por processos químicos e mecânicos. Este tipo de suporte possui a grande vantagem de apresentar superfícies planas e geometria paralelepipédica, o que facilita uma primeira abordagem à massa a debitar. A existência de uma parte substantiva de suportes indeterminados resulta no facto de existir uma percentagem de fragmentos que se desprendem das cristas que acabam por ser trabalhados pelo rio Tejo e terminar como seixos em terraços. Quando o córtex da peça é inexistente torna-se difícil diferenciar o tipo do suporte. </w:t>
      </w:r>
    </w:p>
    <w:p w:rsidR="00A34B7A" w:rsidRDefault="00EA3774" w:rsidP="00A34B7A">
      <w:pPr>
        <w:autoSpaceDE w:val="0"/>
        <w:autoSpaceDN w:val="0"/>
        <w:adjustRightInd w:val="0"/>
        <w:jc w:val="center"/>
        <w:rPr>
          <w:noProof/>
        </w:rPr>
      </w:pPr>
      <w:r>
        <w:rPr>
          <w:noProof/>
        </w:rPr>
        <w:pict>
          <v:shape id="_x0000_s1051" type="#_x0000_t202" style="position:absolute;left:0;text-align:left;margin-left:35.65pt;margin-top:237.35pt;width:361.5pt;height:27pt;z-index:251692032;mso-width-relative:margin;mso-height-relative:margin" stroked="f">
            <v:textbox style="mso-next-textbox:#_x0000_s1051">
              <w:txbxContent>
                <w:p w:rsidR="00B34B0F" w:rsidRPr="00C75044" w:rsidRDefault="00B34B0F" w:rsidP="00A34B7A">
                  <w:pPr>
                    <w:jc w:val="both"/>
                    <w:rPr>
                      <w:sz w:val="22"/>
                      <w:szCs w:val="22"/>
                    </w:rPr>
                  </w:pPr>
                  <w:r w:rsidRPr="00C75044">
                    <w:rPr>
                      <w:sz w:val="22"/>
                      <w:szCs w:val="22"/>
                    </w:rPr>
                    <w:t>Gráfico 6.1.1- Suporte da matéria-prima registada nos Pegos do Tejo 2.</w:t>
                  </w:r>
                </w:p>
              </w:txbxContent>
            </v:textbox>
          </v:shape>
        </w:pict>
      </w:r>
      <w:r w:rsidR="00A34B7A">
        <w:rPr>
          <w:noProof/>
        </w:rPr>
        <w:object w:dxaOrig="7212" w:dyaOrig="40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5pt;height:241.1pt" o:ole="">
            <v:imagedata r:id="rId50" o:title=""/>
          </v:shape>
          <o:OLEObject Type="Embed" ProgID="Excel.Sheet.12" ShapeID="_x0000_i1025" DrawAspect="Content" ObjectID="_1556969305" r:id="rId51"/>
        </w:object>
      </w:r>
    </w:p>
    <w:p w:rsidR="00A34B7A" w:rsidRDefault="00A34B7A" w:rsidP="00A34B7A">
      <w:pPr>
        <w:autoSpaceDE w:val="0"/>
        <w:autoSpaceDN w:val="0"/>
        <w:adjustRightInd w:val="0"/>
        <w:spacing w:line="360" w:lineRule="auto"/>
        <w:ind w:firstLine="708"/>
        <w:jc w:val="both"/>
      </w:pPr>
      <w:r>
        <w:lastRenderedPageBreak/>
        <w:t>Pelo contrário e como se pode ver pela origem da matéria-prima, grande parte do material debitado nesta ocupação tem origem local, quer na forma de seixo ou de placa (</w:t>
      </w:r>
      <w:r w:rsidRPr="00C75044">
        <w:rPr>
          <w:sz w:val="22"/>
          <w:szCs w:val="22"/>
        </w:rPr>
        <w:t>Gráfico 6.1.2</w:t>
      </w:r>
      <w:r>
        <w:t xml:space="preserve">). </w:t>
      </w:r>
    </w:p>
    <w:p w:rsidR="00A34B7A" w:rsidRDefault="00EA3774" w:rsidP="00A34B7A">
      <w:pPr>
        <w:autoSpaceDE w:val="0"/>
        <w:autoSpaceDN w:val="0"/>
        <w:adjustRightInd w:val="0"/>
        <w:spacing w:line="360" w:lineRule="auto"/>
        <w:rPr>
          <w:noProof/>
        </w:rPr>
      </w:pPr>
      <w:r>
        <w:rPr>
          <w:noProof/>
          <w:lang w:eastAsia="en-US"/>
        </w:rPr>
        <w:pict>
          <v:shape id="_x0000_s1052" type="#_x0000_t202" style="position:absolute;margin-left:34.15pt;margin-top:210.5pt;width:363.05pt;height:33.65pt;z-index:251693056;mso-height-percent:200;mso-height-percent:200;mso-width-relative:margin;mso-height-relative:margin" filled="f" stroked="f">
            <v:textbox style="mso-next-textbox:#_x0000_s1052;mso-fit-shape-to-text:t">
              <w:txbxContent>
                <w:p w:rsidR="00B34B0F" w:rsidRPr="00C75044" w:rsidRDefault="00B34B0F" w:rsidP="00A34B7A">
                  <w:pPr>
                    <w:jc w:val="both"/>
                    <w:rPr>
                      <w:sz w:val="22"/>
                      <w:szCs w:val="22"/>
                    </w:rPr>
                  </w:pPr>
                  <w:r w:rsidRPr="00C75044">
                    <w:rPr>
                      <w:sz w:val="22"/>
                      <w:szCs w:val="22"/>
                    </w:rPr>
                    <w:t>Gráfico 6.1.2- Origem da matéria-prima registada nos Pegos do Tejo 2</w:t>
                  </w:r>
                  <w:r>
                    <w:rPr>
                      <w:sz w:val="22"/>
                      <w:szCs w:val="22"/>
                    </w:rPr>
                    <w:t>.</w:t>
                  </w:r>
                </w:p>
                <w:p w:rsidR="00B34B0F" w:rsidRDefault="00B34B0F" w:rsidP="00A34B7A"/>
              </w:txbxContent>
            </v:textbox>
          </v:shape>
        </w:pict>
      </w:r>
      <w:r w:rsidR="00A34B7A">
        <w:rPr>
          <w:noProof/>
        </w:rPr>
        <w:object w:dxaOrig="7212" w:dyaOrig="4085">
          <v:shape id="_x0000_i1026" type="#_x0000_t75" style="width:406.05pt;height:229.4pt" o:ole="">
            <v:imagedata r:id="rId52" o:title=""/>
          </v:shape>
          <o:OLEObject Type="Embed" ProgID="Excel.Sheet.12" ShapeID="_x0000_i1026" DrawAspect="Content" ObjectID="_1556969306" r:id="rId53"/>
        </w:object>
      </w: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r>
        <w:t>Quanto ao tipo de rocha utilizado verifica-se, na sequência do que foi dito em relação à origem, uma supremacia do recurso ao quartzito (</w:t>
      </w:r>
      <w:r w:rsidRPr="00C75044">
        <w:rPr>
          <w:sz w:val="22"/>
          <w:szCs w:val="22"/>
        </w:rPr>
        <w:t>Gráfico 6.1.3</w:t>
      </w:r>
      <w:r>
        <w:rPr>
          <w:sz w:val="22"/>
          <w:szCs w:val="22"/>
        </w:rPr>
        <w:t>)</w:t>
      </w:r>
      <w:r>
        <w:t xml:space="preserve">. Este facto é facilmente perceptível quando analisamos as características físicas do quartzito. Este apresenta-se homogéneo, de grão fino, sem fracturas, o que autoriza um vasto leque de técnicas de talhe. O recurso a outro tipo de rochas é residual, sobressaindo mesmo assim o quartzo como segunda escolha. </w:t>
      </w:r>
    </w:p>
    <w:p w:rsidR="00A34B7A" w:rsidRPr="00E93B25" w:rsidRDefault="00A34B7A" w:rsidP="00A34B7A">
      <w:pPr>
        <w:autoSpaceDE w:val="0"/>
        <w:autoSpaceDN w:val="0"/>
        <w:adjustRightInd w:val="0"/>
        <w:spacing w:line="360" w:lineRule="auto"/>
        <w:ind w:firstLine="708"/>
        <w:jc w:val="both"/>
      </w:pPr>
    </w:p>
    <w:p w:rsidR="00A34B7A" w:rsidRDefault="00EA3774" w:rsidP="00A34B7A">
      <w:pPr>
        <w:autoSpaceDE w:val="0"/>
        <w:autoSpaceDN w:val="0"/>
        <w:adjustRightInd w:val="0"/>
      </w:pPr>
      <w:r>
        <w:rPr>
          <w:noProof/>
          <w:lang w:eastAsia="en-US"/>
        </w:rPr>
        <w:pict>
          <v:shape id="_x0000_s1053" type="#_x0000_t202" style="position:absolute;margin-left:34.15pt;margin-top:211.1pt;width:374.25pt;height:33.65pt;z-index:251694080;mso-height-percent:200;mso-height-percent:200;mso-width-relative:margin;mso-height-relative:margin" stroked="f">
            <v:textbox style="mso-next-textbox:#_x0000_s1053;mso-fit-shape-to-text:t">
              <w:txbxContent>
                <w:p w:rsidR="00B34B0F" w:rsidRPr="00C75044" w:rsidRDefault="00B34B0F" w:rsidP="00A34B7A">
                  <w:pPr>
                    <w:jc w:val="both"/>
                    <w:rPr>
                      <w:sz w:val="22"/>
                      <w:szCs w:val="22"/>
                    </w:rPr>
                  </w:pPr>
                  <w:r w:rsidRPr="00C75044">
                    <w:rPr>
                      <w:sz w:val="22"/>
                      <w:szCs w:val="22"/>
                    </w:rPr>
                    <w:t>Gráfico 6.1.3- Constituição da matéria-prima registada nos Pegos do Tejo 2</w:t>
                  </w:r>
                  <w:r>
                    <w:rPr>
                      <w:sz w:val="22"/>
                      <w:szCs w:val="22"/>
                    </w:rPr>
                    <w:t>.</w:t>
                  </w:r>
                </w:p>
                <w:p w:rsidR="00B34B0F" w:rsidRDefault="00B34B0F" w:rsidP="00A34B7A"/>
              </w:txbxContent>
            </v:textbox>
          </v:shape>
        </w:pict>
      </w:r>
      <w:r w:rsidR="00A34B7A">
        <w:rPr>
          <w:noProof/>
        </w:rPr>
        <w:t xml:space="preserve">   </w:t>
      </w:r>
      <w:r w:rsidR="00A34B7A">
        <w:rPr>
          <w:noProof/>
        </w:rPr>
        <w:object w:dxaOrig="7212" w:dyaOrig="4085">
          <v:shape id="_x0000_i1027" type="#_x0000_t75" style="width:401pt;height:226.9pt" o:ole="">
            <v:imagedata r:id="rId54" o:title=""/>
          </v:shape>
          <o:OLEObject Type="Embed" ProgID="Excel.Sheet.12" ShapeID="_x0000_i1027" DrawAspect="Content" ObjectID="_1556969307" r:id="rId55"/>
        </w:object>
      </w:r>
    </w:p>
    <w:p w:rsidR="00A34B7A" w:rsidRDefault="00A34B7A" w:rsidP="00A34B7A">
      <w:pPr>
        <w:pStyle w:val="Avanodecorpodetexto"/>
        <w:spacing w:line="360" w:lineRule="auto"/>
        <w:ind w:left="0" w:firstLine="708"/>
        <w:jc w:val="both"/>
      </w:pPr>
      <w:r>
        <w:lastRenderedPageBreak/>
        <w:t xml:space="preserve">A observação macroscópica de toda a colecção permitiu verificar que a maior parte do conjunto talhado estava num estado que se pode considerar fresco (92%). O material que se apresenta patinado representa 7% da população, existindo uma percentagem residual que se pode definir, em termos de estado de conservação, como rolado. O material rolado não foi reutilizado aquando da ocupação humana dos Pegos do Tejo 2, sendo parte da matriz sedimentológica da estação. O mesmo já não acontece com o material patinado, apresentando frequentemente vestígios de reavivamento. O caso mais evidente desse reavivamento corresponde ao caso do biface apresentado na </w:t>
      </w:r>
      <w:r w:rsidRPr="00B8245C">
        <w:t>figura 6.1.4</w:t>
      </w:r>
      <w:r>
        <w:t>,</w:t>
      </w:r>
      <w:r w:rsidRPr="00B8245C">
        <w:t xml:space="preserve"> n.º 1 e</w:t>
      </w:r>
      <w:r>
        <w:t xml:space="preserve"> na foto </w:t>
      </w:r>
      <w:r w:rsidRPr="00B8245C">
        <w:t>6.1.1,</w:t>
      </w:r>
      <w:r>
        <w:t xml:space="preserve"> que foi reutilizado como raspadeira lateral. </w:t>
      </w:r>
    </w:p>
    <w:p w:rsidR="00A34B7A" w:rsidRDefault="00EA3774" w:rsidP="00A34B7A">
      <w:pPr>
        <w:pStyle w:val="Avanodecorpodetexto"/>
        <w:spacing w:line="360" w:lineRule="auto"/>
        <w:ind w:left="0"/>
        <w:jc w:val="center"/>
      </w:pPr>
      <w:r w:rsidRPr="00EA3774">
        <w:rPr>
          <w:noProof/>
          <w:color w:val="FF0000"/>
          <w:lang w:eastAsia="en-US"/>
        </w:rPr>
        <w:pict>
          <v:shape id="_x0000_s1054" type="#_x0000_t202" style="position:absolute;left:0;text-align:left;margin-left:31.95pt;margin-top:214.55pt;width:371pt;height:27.45pt;z-index:251695104;mso-width-relative:margin;mso-height-relative:margin" stroked="f">
            <v:textbox style="mso-next-textbox:#_x0000_s1054">
              <w:txbxContent>
                <w:p w:rsidR="00B34B0F" w:rsidRPr="00B8245C" w:rsidRDefault="00B34B0F" w:rsidP="00A34B7A">
                  <w:pPr>
                    <w:jc w:val="both"/>
                    <w:rPr>
                      <w:sz w:val="22"/>
                      <w:szCs w:val="22"/>
                    </w:rPr>
                  </w:pPr>
                  <w:r w:rsidRPr="00B8245C">
                    <w:rPr>
                      <w:sz w:val="22"/>
                      <w:szCs w:val="22"/>
                    </w:rPr>
                    <w:t>Gráfico 6.1.4 Estado físico do material analisado nos Pegos do Tejo 2</w:t>
                  </w:r>
                  <w:r>
                    <w:rPr>
                      <w:sz w:val="22"/>
                      <w:szCs w:val="22"/>
                    </w:rPr>
                    <w:t>.</w:t>
                  </w:r>
                </w:p>
                <w:p w:rsidR="00B34B0F" w:rsidRDefault="00B34B0F" w:rsidP="00A34B7A"/>
                <w:p w:rsidR="00B34B0F" w:rsidRDefault="00B34B0F" w:rsidP="00A34B7A"/>
                <w:p w:rsidR="00B34B0F" w:rsidRDefault="00B34B0F" w:rsidP="00A34B7A"/>
              </w:txbxContent>
            </v:textbox>
          </v:shape>
        </w:pict>
      </w:r>
      <w:r w:rsidR="00A34B7A" w:rsidRPr="00C75044">
        <w:rPr>
          <w:noProof/>
        </w:rPr>
        <w:t xml:space="preserve"> </w:t>
      </w:r>
      <w:r w:rsidR="00A34B7A">
        <w:rPr>
          <w:noProof/>
        </w:rPr>
        <w:object w:dxaOrig="7212" w:dyaOrig="4085">
          <v:shape id="_x0000_i1028" type="#_x0000_t75" style="width:409.4pt;height:230.25pt" o:ole="">
            <v:imagedata r:id="rId56" o:title=""/>
          </v:shape>
          <o:OLEObject Type="Embed" ProgID="Excel.Sheet.12" ShapeID="_x0000_i1028" DrawAspect="Content" ObjectID="_1556969308" r:id="rId57"/>
        </w:object>
      </w:r>
    </w:p>
    <w:p w:rsidR="00A34B7A" w:rsidRDefault="00EA3774" w:rsidP="00A34B7A">
      <w:pPr>
        <w:pStyle w:val="Avanodecorpodetexto"/>
        <w:spacing w:line="360" w:lineRule="auto"/>
        <w:ind w:left="0"/>
        <w:jc w:val="both"/>
      </w:pPr>
      <w:r>
        <w:rPr>
          <w:noProof/>
          <w:lang w:eastAsia="en-US"/>
        </w:rPr>
        <w:pict>
          <v:shape id="_x0000_s1075" type="#_x0000_t202" style="position:absolute;left:0;text-align:left;margin-left:199.9pt;margin-top:218.15pt;width:170.1pt;height:47.25pt;z-index:251716608;mso-width-percent:400;mso-width-percent:400;mso-width-relative:margin;mso-height-relative:margin" stroked="f">
            <v:textbox style="mso-next-textbox:#_x0000_s1075">
              <w:txbxContent>
                <w:p w:rsidR="00B34B0F" w:rsidRPr="00B8245C" w:rsidRDefault="00B34B0F" w:rsidP="00A34B7A">
                  <w:pPr>
                    <w:rPr>
                      <w:sz w:val="22"/>
                      <w:szCs w:val="22"/>
                    </w:rPr>
                  </w:pPr>
                  <w:r w:rsidRPr="00B8245C">
                    <w:rPr>
                      <w:sz w:val="22"/>
                      <w:szCs w:val="22"/>
                    </w:rPr>
                    <w:t>Foto 6.1.</w:t>
                  </w:r>
                  <w:r>
                    <w:rPr>
                      <w:sz w:val="22"/>
                      <w:szCs w:val="22"/>
                    </w:rPr>
                    <w:t>6</w:t>
                  </w:r>
                  <w:r w:rsidRPr="00B8245C">
                    <w:rPr>
                      <w:sz w:val="22"/>
                      <w:szCs w:val="22"/>
                    </w:rPr>
                    <w:t xml:space="preserve">- Pormenor do biface em </w:t>
                  </w:r>
                  <w:r>
                    <w:rPr>
                      <w:sz w:val="22"/>
                      <w:szCs w:val="22"/>
                    </w:rPr>
                    <w:t>rocha microcristalina</w:t>
                  </w:r>
                  <w:r w:rsidRPr="00B8245C">
                    <w:rPr>
                      <w:sz w:val="22"/>
                      <w:szCs w:val="22"/>
                    </w:rPr>
                    <w:t xml:space="preserve"> recolhido nos Pegos do Tejo 2</w:t>
                  </w:r>
                  <w:r>
                    <w:rPr>
                      <w:sz w:val="22"/>
                      <w:szCs w:val="22"/>
                    </w:rPr>
                    <w:t>.</w:t>
                  </w:r>
                </w:p>
                <w:p w:rsidR="00B34B0F" w:rsidRDefault="00B34B0F" w:rsidP="00A34B7A"/>
              </w:txbxContent>
            </v:textbox>
          </v:shape>
        </w:pict>
      </w:r>
      <w:r w:rsidR="00A34B7A">
        <w:rPr>
          <w:noProof/>
        </w:rPr>
        <w:drawing>
          <wp:inline distT="0" distB="0" distL="0" distR="0">
            <wp:extent cx="2486025" cy="3314700"/>
            <wp:effectExtent l="19050" t="0" r="9525" b="0"/>
            <wp:docPr id="36" name="Imagem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pic:cNvPicPr>
                      <a:picLocks noChangeAspect="1" noChangeArrowheads="1"/>
                    </pic:cNvPicPr>
                  </pic:nvPicPr>
                  <pic:blipFill>
                    <a:blip r:embed="rId58" cstate="print"/>
                    <a:srcRect/>
                    <a:stretch>
                      <a:fillRect/>
                    </a:stretch>
                  </pic:blipFill>
                  <pic:spPr bwMode="auto">
                    <a:xfrm>
                      <a:off x="0" y="0"/>
                      <a:ext cx="2486025" cy="3314700"/>
                    </a:xfrm>
                    <a:prstGeom prst="rect">
                      <a:avLst/>
                    </a:prstGeom>
                    <a:noFill/>
                    <a:ln w="9525">
                      <a:noFill/>
                      <a:miter lim="800000"/>
                      <a:headEnd/>
                      <a:tailEnd/>
                    </a:ln>
                  </pic:spPr>
                </pic:pic>
              </a:graphicData>
            </a:graphic>
          </wp:inline>
        </w:drawing>
      </w:r>
    </w:p>
    <w:p w:rsidR="00A34B7A" w:rsidRDefault="00A34B7A" w:rsidP="00A34B7A">
      <w:pPr>
        <w:pStyle w:val="Avanodecorpodetexto"/>
        <w:spacing w:line="360" w:lineRule="auto"/>
        <w:ind w:left="0" w:firstLine="708"/>
        <w:jc w:val="both"/>
      </w:pPr>
      <w:r>
        <w:lastRenderedPageBreak/>
        <w:t>O que sobressai, quando se observam os resultados obtidos em relação à presença/ausência de córtex na indústria recolhida nos Pegos do Tejo 2, é a supremacia do número de peças que apresentam vestígios da camada exterior do suporte</w:t>
      </w:r>
      <w:r w:rsidRPr="00037E2E">
        <w:rPr>
          <w:sz w:val="22"/>
          <w:szCs w:val="22"/>
        </w:rPr>
        <w:t xml:space="preserve"> </w:t>
      </w:r>
      <w:r>
        <w:rPr>
          <w:sz w:val="22"/>
          <w:szCs w:val="22"/>
        </w:rPr>
        <w:t>(Gráfico 6.1.5)</w:t>
      </w:r>
      <w:r>
        <w:t xml:space="preserve">. Nesta estação 77% das peças apresentam vestígios de córtex contra 23% que já não possuem qualquer resto da superfície original da matéria-prima utilizada. </w:t>
      </w:r>
    </w:p>
    <w:p w:rsidR="00A34B7A" w:rsidRDefault="00EA3774" w:rsidP="00A34B7A">
      <w:pPr>
        <w:autoSpaceDE w:val="0"/>
        <w:autoSpaceDN w:val="0"/>
        <w:adjustRightInd w:val="0"/>
        <w:jc w:val="center"/>
      </w:pPr>
      <w:r>
        <w:rPr>
          <w:noProof/>
          <w:lang w:eastAsia="en-US"/>
        </w:rPr>
        <w:pict>
          <v:shape id="_x0000_s1081" type="#_x0000_t202" style="position:absolute;left:0;text-align:left;margin-left:32.85pt;margin-top:216.65pt;width:374.8pt;height:46.3pt;z-index:251722752;mso-height-percent:200;mso-height-percent:200;mso-width-relative:margin;mso-height-relative:margin" stroked="f">
            <v:textbox style="mso-next-textbox:#_x0000_s1081;mso-fit-shape-to-text:t">
              <w:txbxContent>
                <w:p w:rsidR="00B34B0F" w:rsidRPr="00B8245C" w:rsidRDefault="00B34B0F" w:rsidP="00A34B7A">
                  <w:pPr>
                    <w:jc w:val="both"/>
                    <w:rPr>
                      <w:sz w:val="22"/>
                      <w:szCs w:val="22"/>
                    </w:rPr>
                  </w:pPr>
                  <w:r>
                    <w:rPr>
                      <w:sz w:val="22"/>
                      <w:szCs w:val="22"/>
                    </w:rPr>
                    <w:t>Gráfico 6.1.5</w:t>
                  </w:r>
                  <w:r w:rsidRPr="00B8245C">
                    <w:rPr>
                      <w:sz w:val="22"/>
                      <w:szCs w:val="22"/>
                    </w:rPr>
                    <w:t xml:space="preserve">- Presença/ausência de córtex na indústria lítica recolhida nos Pegos do Tejo 2.  </w:t>
                  </w:r>
                </w:p>
                <w:p w:rsidR="00B34B0F" w:rsidRDefault="00B34B0F" w:rsidP="00A34B7A"/>
              </w:txbxContent>
            </v:textbox>
          </v:shape>
        </w:pict>
      </w:r>
      <w:r w:rsidR="00A34B7A">
        <w:rPr>
          <w:noProof/>
        </w:rPr>
        <w:object w:dxaOrig="7212" w:dyaOrig="4085">
          <v:shape id="_x0000_i1029" type="#_x0000_t75" style="width:416.1pt;height:236.95pt" o:ole="">
            <v:imagedata r:id="rId59" o:title=""/>
          </v:shape>
          <o:OLEObject Type="Embed" ProgID="Excel.Sheet.12" ShapeID="_x0000_i1029" DrawAspect="Content" ObjectID="_1556969309" r:id="rId60"/>
        </w:object>
      </w:r>
    </w:p>
    <w:p w:rsidR="00A34B7A" w:rsidRDefault="00A34B7A" w:rsidP="00A34B7A">
      <w:pPr>
        <w:autoSpaceDE w:val="0"/>
        <w:autoSpaceDN w:val="0"/>
        <w:adjustRightInd w:val="0"/>
        <w:jc w:val="center"/>
      </w:pPr>
    </w:p>
    <w:p w:rsidR="00A34B7A" w:rsidRDefault="00A34B7A" w:rsidP="00A34B7A">
      <w:pPr>
        <w:autoSpaceDE w:val="0"/>
        <w:autoSpaceDN w:val="0"/>
        <w:adjustRightInd w:val="0"/>
        <w:rPr>
          <w:b/>
        </w:rPr>
      </w:pPr>
    </w:p>
    <w:p w:rsidR="00A34B7A" w:rsidRDefault="00A34B7A" w:rsidP="00A34B7A">
      <w:pPr>
        <w:autoSpaceDE w:val="0"/>
        <w:autoSpaceDN w:val="0"/>
        <w:adjustRightInd w:val="0"/>
        <w:rPr>
          <w:b/>
        </w:rPr>
      </w:pPr>
    </w:p>
    <w:p w:rsidR="00A34B7A" w:rsidRDefault="00A34B7A" w:rsidP="00A34B7A">
      <w:pPr>
        <w:autoSpaceDE w:val="0"/>
        <w:autoSpaceDN w:val="0"/>
        <w:adjustRightInd w:val="0"/>
        <w:rPr>
          <w:b/>
        </w:rPr>
      </w:pPr>
    </w:p>
    <w:p w:rsidR="00A34B7A" w:rsidRPr="00C33F4C" w:rsidRDefault="00166C52" w:rsidP="00A34B7A">
      <w:pPr>
        <w:autoSpaceDE w:val="0"/>
        <w:autoSpaceDN w:val="0"/>
        <w:adjustRightInd w:val="0"/>
      </w:pPr>
      <w:r>
        <w:t>6.1</w:t>
      </w:r>
      <w:r w:rsidR="00A34B7A" w:rsidRPr="00C33F4C">
        <w:t>.1.2- Percutor</w:t>
      </w:r>
      <w:r w:rsidR="00A34B7A">
        <w:t>.</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spacing w:line="360" w:lineRule="auto"/>
        <w:jc w:val="both"/>
      </w:pPr>
      <w:r>
        <w:tab/>
        <w:t>Durante a escavação desta estação foram exumados 9 fragmentos de rocha, de forma globular ou subglobular, que pelas características físicas e pelos estigmas que apresentavam foram caracterizados como percutores</w:t>
      </w:r>
      <w:r w:rsidRPr="00037E2E">
        <w:rPr>
          <w:sz w:val="22"/>
          <w:szCs w:val="22"/>
        </w:rPr>
        <w:t xml:space="preserve"> </w:t>
      </w:r>
      <w:r>
        <w:rPr>
          <w:sz w:val="22"/>
          <w:szCs w:val="22"/>
        </w:rPr>
        <w:t>(</w:t>
      </w:r>
      <w:r w:rsidRPr="00B8245C">
        <w:rPr>
          <w:sz w:val="22"/>
          <w:szCs w:val="22"/>
        </w:rPr>
        <w:t>Gráfico 6.1.</w:t>
      </w:r>
      <w:r>
        <w:rPr>
          <w:sz w:val="22"/>
          <w:szCs w:val="22"/>
        </w:rPr>
        <w:t>6)</w:t>
      </w:r>
      <w:r>
        <w:t xml:space="preserve">. Pelo que foi possível verificar da análise realizada, o recurso a percutor orgânico seria residual. A distinção entre percutores duros ou minerais e tenros ou orgânicos é mais fácil uma vez que os estigmas apresentados pelas peças resultantes do processo de talhe são mais evidentes. A definição do uso de percutor orgânico é mais difícil, uma vez que o recurso a percutores minerais, provenientes de rochas mais brandas, origina estigmas que podem ser confundidos com aqueles obtidos por percutores orgânicos (Roussel </w:t>
      </w:r>
      <w:r w:rsidRPr="00D9156B">
        <w:rPr>
          <w:i/>
        </w:rPr>
        <w:t>et al</w:t>
      </w:r>
      <w:r>
        <w:t xml:space="preserve">, 2009). </w:t>
      </w:r>
      <w:r w:rsidRPr="005701FA">
        <w:t>O percutor utilizado é preponderantemente duro, em material mineral (96%), o que justifica</w:t>
      </w:r>
      <w:r>
        <w:t xml:space="preserve"> a</w:t>
      </w:r>
      <w:r w:rsidRPr="005701FA">
        <w:t xml:space="preserve"> presença abundante </w:t>
      </w:r>
      <w:r>
        <w:t xml:space="preserve">de </w:t>
      </w:r>
      <w:r w:rsidRPr="005701FA">
        <w:t>lascas com acidentes de Siret, aproveitadas para utensílios.</w:t>
      </w:r>
    </w:p>
    <w:p w:rsidR="00A34B7A" w:rsidRDefault="00A34B7A" w:rsidP="00A34B7A">
      <w:pPr>
        <w:autoSpaceDE w:val="0"/>
        <w:autoSpaceDN w:val="0"/>
        <w:adjustRightInd w:val="0"/>
        <w:spacing w:line="360" w:lineRule="auto"/>
        <w:jc w:val="center"/>
        <w:rPr>
          <w:noProof/>
        </w:rPr>
      </w:pPr>
      <w:r>
        <w:rPr>
          <w:noProof/>
        </w:rPr>
        <w:object w:dxaOrig="7212" w:dyaOrig="4085">
          <v:shape id="_x0000_i1030" type="#_x0000_t75" style="width:387.65pt;height:218.5pt" o:ole="">
            <v:imagedata r:id="rId61" o:title=""/>
          </v:shape>
          <o:OLEObject Type="Embed" ProgID="Excel.Sheet.12" ShapeID="_x0000_i1030" DrawAspect="Content" ObjectID="_1556969310" r:id="rId62"/>
        </w:object>
      </w:r>
    </w:p>
    <w:p w:rsidR="00A34B7A" w:rsidRDefault="00EA3774" w:rsidP="00A34B7A">
      <w:pPr>
        <w:autoSpaceDE w:val="0"/>
        <w:autoSpaceDN w:val="0"/>
        <w:adjustRightInd w:val="0"/>
        <w:spacing w:line="360" w:lineRule="auto"/>
        <w:jc w:val="center"/>
        <w:rPr>
          <w:noProof/>
        </w:rPr>
      </w:pPr>
      <w:r>
        <w:rPr>
          <w:noProof/>
          <w:lang w:eastAsia="en-US"/>
        </w:rPr>
        <w:pict>
          <v:shape id="_x0000_s1055" type="#_x0000_t202" style="position:absolute;left:0;text-align:left;margin-left:0;margin-top:0;width:369.7pt;height:37.8pt;z-index:251696128;mso-position-horizontal:center;mso-width-relative:margin;mso-height-relative:margin" stroked="f">
            <v:textbox style="mso-next-textbox:#_x0000_s1055">
              <w:txbxContent>
                <w:p w:rsidR="00B34B0F" w:rsidRPr="00B8245C" w:rsidRDefault="00B34B0F" w:rsidP="00A34B7A">
                  <w:pPr>
                    <w:jc w:val="both"/>
                    <w:rPr>
                      <w:sz w:val="22"/>
                      <w:szCs w:val="22"/>
                    </w:rPr>
                  </w:pPr>
                  <w:r w:rsidRPr="00B8245C">
                    <w:rPr>
                      <w:sz w:val="22"/>
                      <w:szCs w:val="22"/>
                    </w:rPr>
                    <w:t>Gráfico 6.1.</w:t>
                  </w:r>
                  <w:r>
                    <w:rPr>
                      <w:sz w:val="22"/>
                      <w:szCs w:val="22"/>
                    </w:rPr>
                    <w:t>6</w:t>
                  </w:r>
                  <w:r w:rsidRPr="00B8245C">
                    <w:rPr>
                      <w:sz w:val="22"/>
                      <w:szCs w:val="22"/>
                    </w:rPr>
                    <w:t>- Tipos de percutor registado nos Pegos do Tejo 2, através da análise dos estigmas presentes no material debitado.</w:t>
                  </w:r>
                </w:p>
                <w:p w:rsidR="00B34B0F" w:rsidRDefault="00B34B0F" w:rsidP="00A34B7A"/>
              </w:txbxContent>
            </v:textbox>
          </v:shape>
        </w:pic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r>
        <w:t>Os percutores recolhidos na estação dos Pegos do Tejo 2, e identificados como tal, são nove (foto 6.1.7). A matéria-prima escolhida corresponde maioritariamente ao quartzito de vários tipos, sendo algum de grão grosseiro.</w:t>
      </w:r>
      <w:r w:rsidRPr="00D94977">
        <w:t xml:space="preserve"> </w:t>
      </w:r>
    </w:p>
    <w:p w:rsidR="00A34B7A" w:rsidRDefault="00A34B7A" w:rsidP="00A34B7A">
      <w:pPr>
        <w:autoSpaceDE w:val="0"/>
        <w:autoSpaceDN w:val="0"/>
        <w:adjustRightInd w:val="0"/>
        <w:spacing w:line="360" w:lineRule="auto"/>
        <w:ind w:firstLine="708"/>
        <w:jc w:val="both"/>
      </w:pPr>
    </w:p>
    <w:p w:rsidR="00A34B7A" w:rsidRDefault="00EA3774" w:rsidP="00A34B7A">
      <w:pPr>
        <w:autoSpaceDE w:val="0"/>
        <w:autoSpaceDN w:val="0"/>
        <w:adjustRightInd w:val="0"/>
        <w:spacing w:line="360" w:lineRule="auto"/>
        <w:jc w:val="both"/>
      </w:pPr>
      <w:r>
        <w:rPr>
          <w:noProof/>
        </w:rPr>
        <w:pict>
          <v:shape id="_x0000_s1077" type="#_x0000_t202" style="position:absolute;left:0;text-align:left;margin-left:-.8pt;margin-top:292.5pt;width:422.25pt;height:25pt;z-index:251718656;mso-width-relative:margin;mso-height-relative:margin" stroked="f">
            <v:textbox style="mso-next-textbox:#_x0000_s1077">
              <w:txbxContent>
                <w:p w:rsidR="00B34B0F" w:rsidRPr="00B8245C" w:rsidRDefault="00B34B0F" w:rsidP="00A34B7A">
                  <w:pPr>
                    <w:rPr>
                      <w:sz w:val="22"/>
                      <w:szCs w:val="22"/>
                    </w:rPr>
                  </w:pPr>
                  <w:r w:rsidRPr="00B8245C">
                    <w:rPr>
                      <w:sz w:val="22"/>
                      <w:szCs w:val="22"/>
                    </w:rPr>
                    <w:t>Foto 6.1.</w:t>
                  </w:r>
                  <w:r>
                    <w:rPr>
                      <w:sz w:val="22"/>
                      <w:szCs w:val="22"/>
                    </w:rPr>
                    <w:t>7</w:t>
                  </w:r>
                  <w:r w:rsidRPr="00B8245C">
                    <w:rPr>
                      <w:sz w:val="22"/>
                      <w:szCs w:val="22"/>
                    </w:rPr>
                    <w:t>- Vista geral dos nove percutores recolhidos na serie dos Pegos do Tejo 2.</w:t>
                  </w:r>
                </w:p>
                <w:p w:rsidR="00B34B0F" w:rsidRDefault="00B34B0F" w:rsidP="00A34B7A"/>
              </w:txbxContent>
            </v:textbox>
          </v:shape>
        </w:pict>
      </w:r>
      <w:r w:rsidR="00A34B7A">
        <w:rPr>
          <w:noProof/>
        </w:rPr>
        <w:drawing>
          <wp:inline distT="0" distB="0" distL="0" distR="0">
            <wp:extent cx="5391150" cy="3638550"/>
            <wp:effectExtent l="19050" t="0" r="0" b="0"/>
            <wp:docPr id="37" name="Imagem 1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1"/>
                    <pic:cNvPicPr>
                      <a:picLocks noChangeAspect="1" noChangeArrowheads="1"/>
                    </pic:cNvPicPr>
                  </pic:nvPicPr>
                  <pic:blipFill>
                    <a:blip r:embed="rId63" cstate="print"/>
                    <a:srcRect/>
                    <a:stretch>
                      <a:fillRect/>
                    </a:stretch>
                  </pic:blipFill>
                  <pic:spPr bwMode="auto">
                    <a:xfrm>
                      <a:off x="0" y="0"/>
                      <a:ext cx="5391150" cy="3638550"/>
                    </a:xfrm>
                    <a:prstGeom prst="rect">
                      <a:avLst/>
                    </a:prstGeom>
                    <a:noFill/>
                    <a:ln w="9525">
                      <a:noFill/>
                      <a:miter lim="800000"/>
                      <a:headEnd/>
                      <a:tailEnd/>
                    </a:ln>
                  </pic:spPr>
                </pic:pic>
              </a:graphicData>
            </a:graphic>
          </wp:inline>
        </w:drawing>
      </w:r>
      <w:r w:rsidR="00A34B7A">
        <w:t xml:space="preserve"> </w:t>
      </w:r>
    </w:p>
    <w:p w:rsidR="00A34B7A" w:rsidRDefault="00A34B7A" w:rsidP="00A34B7A">
      <w:pPr>
        <w:autoSpaceDE w:val="0"/>
        <w:autoSpaceDN w:val="0"/>
        <w:adjustRightInd w:val="0"/>
        <w:spacing w:line="360" w:lineRule="auto"/>
        <w:ind w:firstLine="708"/>
        <w:jc w:val="both"/>
      </w:pPr>
      <w:r>
        <w:lastRenderedPageBreak/>
        <w:t>Um dos percutores é em arenito (foto 6.1.2, canto inferior esquerdo). Em termos de dimensões verifica-se uma certa homogeneidade na volumetria, situando-se sete deles, entre 75-100 mm de comprimento e 65-80 mm de largura (</w:t>
      </w:r>
      <w:r w:rsidRPr="00B8245C">
        <w:rPr>
          <w:sz w:val="22"/>
          <w:szCs w:val="22"/>
        </w:rPr>
        <w:t>Gráfico 6.1.</w:t>
      </w:r>
      <w:r>
        <w:rPr>
          <w:sz w:val="22"/>
          <w:szCs w:val="22"/>
        </w:rPr>
        <w:t>7)</w:t>
      </w:r>
      <w:r>
        <w:t xml:space="preserve">. </w:t>
      </w:r>
    </w:p>
    <w:p w:rsidR="00A34B7A" w:rsidRDefault="00EA3774" w:rsidP="00A34B7A">
      <w:pPr>
        <w:autoSpaceDE w:val="0"/>
        <w:autoSpaceDN w:val="0"/>
        <w:adjustRightInd w:val="0"/>
        <w:spacing w:line="360" w:lineRule="auto"/>
        <w:jc w:val="center"/>
      </w:pPr>
      <w:r>
        <w:rPr>
          <w:noProof/>
          <w:lang w:eastAsia="en-US"/>
        </w:rPr>
        <w:pict>
          <v:shape id="_x0000_s1056" type="#_x0000_t202" style="position:absolute;left:0;text-align:left;margin-left:24.45pt;margin-top:218pt;width:393pt;height:35.2pt;z-index:251697152;mso-width-relative:margin;mso-height-relative:margin" stroked="f">
            <v:textbox style="mso-next-textbox:#_x0000_s1056">
              <w:txbxContent>
                <w:p w:rsidR="00B34B0F" w:rsidRPr="00B8245C" w:rsidRDefault="00B34B0F" w:rsidP="00A34B7A">
                  <w:pPr>
                    <w:jc w:val="both"/>
                    <w:rPr>
                      <w:sz w:val="22"/>
                      <w:szCs w:val="22"/>
                    </w:rPr>
                  </w:pPr>
                  <w:r w:rsidRPr="00B8245C">
                    <w:rPr>
                      <w:sz w:val="22"/>
                      <w:szCs w:val="22"/>
                    </w:rPr>
                    <w:t>Gráfico 6.1.</w:t>
                  </w:r>
                  <w:r>
                    <w:rPr>
                      <w:sz w:val="22"/>
                      <w:szCs w:val="22"/>
                    </w:rPr>
                    <w:t>7- R</w:t>
                  </w:r>
                  <w:r w:rsidRPr="00B8245C">
                    <w:rPr>
                      <w:sz w:val="22"/>
                      <w:szCs w:val="22"/>
                    </w:rPr>
                    <w:t xml:space="preserve">elação </w:t>
                  </w:r>
                  <w:r>
                    <w:rPr>
                      <w:sz w:val="22"/>
                      <w:szCs w:val="22"/>
                    </w:rPr>
                    <w:t>entre o comprimento e a largura</w:t>
                  </w:r>
                  <w:r w:rsidRPr="00B8245C">
                    <w:rPr>
                      <w:sz w:val="22"/>
                      <w:szCs w:val="22"/>
                    </w:rPr>
                    <w:t xml:space="preserve"> dos percutores recolhidos nos Pegos do Tejo 2.  </w:t>
                  </w:r>
                </w:p>
                <w:p w:rsidR="00B34B0F" w:rsidRDefault="00B34B0F" w:rsidP="00A34B7A"/>
              </w:txbxContent>
            </v:textbox>
          </v:shape>
        </w:pict>
      </w:r>
      <w:r w:rsidR="00A34B7A">
        <w:rPr>
          <w:noProof/>
        </w:rPr>
        <w:object w:dxaOrig="7212" w:dyaOrig="4085">
          <v:shape id="_x0000_i1031" type="#_x0000_t75" style="width:407.7pt;height:230.25pt" o:ole="">
            <v:imagedata r:id="rId64" o:title=""/>
          </v:shape>
          <o:OLEObject Type="Embed" ProgID="Excel.Sheet.12" ShapeID="_x0000_i1031" DrawAspect="Content" ObjectID="_1556969311" r:id="rId65"/>
        </w:object>
      </w:r>
    </w:p>
    <w:p w:rsidR="00A34B7A" w:rsidRDefault="00A34B7A" w:rsidP="00A34B7A">
      <w:pPr>
        <w:autoSpaceDE w:val="0"/>
        <w:autoSpaceDN w:val="0"/>
        <w:adjustRightInd w:val="0"/>
        <w:spacing w:line="360" w:lineRule="auto"/>
        <w:jc w:val="both"/>
        <w:rPr>
          <w:noProof/>
        </w:rPr>
      </w:pP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r>
        <w:t xml:space="preserve">Os restantes dois percutores apresentam dimensões menores, com uma variabilidade formal maior. Estas características não deixam de ser perceptíveis devido à necessidade de ter percutores mais pequenos, para o final da sequência de redução. </w:t>
      </w:r>
    </w:p>
    <w:p w:rsidR="00A34B7A" w:rsidRDefault="00A34B7A" w:rsidP="00A34B7A">
      <w:pPr>
        <w:autoSpaceDE w:val="0"/>
        <w:autoSpaceDN w:val="0"/>
        <w:adjustRightInd w:val="0"/>
        <w:spacing w:line="360" w:lineRule="auto"/>
        <w:ind w:firstLine="708"/>
        <w:jc w:val="both"/>
        <w:rPr>
          <w:noProof/>
        </w:rPr>
      </w:pPr>
      <w:r>
        <w:t xml:space="preserve">Quanto ao peso, verifica-se uma distribuição dos percutores entre os 78 g para o de menor dimensão a 586 g para o maior. </w:t>
      </w:r>
    </w:p>
    <w:p w:rsidR="00A34B7A" w:rsidRDefault="00A34B7A" w:rsidP="00A34B7A">
      <w:pPr>
        <w:autoSpaceDE w:val="0"/>
        <w:autoSpaceDN w:val="0"/>
        <w:adjustRightInd w:val="0"/>
        <w:jc w:val="center"/>
        <w:rPr>
          <w:noProof/>
        </w:rPr>
      </w:pPr>
    </w:p>
    <w:tbl>
      <w:tblPr>
        <w:tblStyle w:val="SombreadoClaro-Cor11"/>
        <w:tblW w:w="0" w:type="auto"/>
        <w:tblLook w:val="04A0"/>
      </w:tblPr>
      <w:tblGrid>
        <w:gridCol w:w="1551"/>
        <w:gridCol w:w="1391"/>
        <w:gridCol w:w="1656"/>
        <w:gridCol w:w="1385"/>
        <w:gridCol w:w="1412"/>
        <w:gridCol w:w="1325"/>
      </w:tblGrid>
      <w:tr w:rsidR="00A34B7A" w:rsidRPr="001C5C54" w:rsidTr="00A34B7A">
        <w:trPr>
          <w:cnfStyle w:val="100000000000"/>
        </w:trPr>
        <w:tc>
          <w:tcPr>
            <w:cnfStyle w:val="001000000000"/>
            <w:tcW w:w="1551" w:type="dxa"/>
          </w:tcPr>
          <w:p w:rsidR="00A34B7A" w:rsidRPr="00F431E9" w:rsidRDefault="00A34B7A" w:rsidP="00A34B7A">
            <w:pPr>
              <w:autoSpaceDE w:val="0"/>
              <w:autoSpaceDN w:val="0"/>
              <w:adjustRightInd w:val="0"/>
              <w:rPr>
                <w:b w:val="0"/>
                <w:color w:val="auto"/>
              </w:rPr>
            </w:pPr>
            <w:r w:rsidRPr="00F431E9">
              <w:rPr>
                <w:b w:val="0"/>
                <w:color w:val="auto"/>
              </w:rPr>
              <w:t>Identificação</w:t>
            </w:r>
          </w:p>
        </w:tc>
        <w:tc>
          <w:tcPr>
            <w:tcW w:w="1391" w:type="dxa"/>
          </w:tcPr>
          <w:p w:rsidR="00A34B7A" w:rsidRPr="00F431E9" w:rsidRDefault="00A34B7A" w:rsidP="00A34B7A">
            <w:pPr>
              <w:autoSpaceDE w:val="0"/>
              <w:autoSpaceDN w:val="0"/>
              <w:adjustRightInd w:val="0"/>
              <w:cnfStyle w:val="100000000000"/>
              <w:rPr>
                <w:b w:val="0"/>
                <w:color w:val="auto"/>
              </w:rPr>
            </w:pPr>
            <w:r w:rsidRPr="00F431E9">
              <w:rPr>
                <w:b w:val="0"/>
                <w:color w:val="auto"/>
              </w:rPr>
              <w:t>Matéria-prima</w:t>
            </w:r>
          </w:p>
        </w:tc>
        <w:tc>
          <w:tcPr>
            <w:tcW w:w="1656" w:type="dxa"/>
          </w:tcPr>
          <w:p w:rsidR="00A34B7A" w:rsidRPr="00F431E9" w:rsidRDefault="00A34B7A" w:rsidP="00A34B7A">
            <w:pPr>
              <w:autoSpaceDE w:val="0"/>
              <w:autoSpaceDN w:val="0"/>
              <w:adjustRightInd w:val="0"/>
              <w:cnfStyle w:val="100000000000"/>
              <w:rPr>
                <w:b w:val="0"/>
                <w:color w:val="auto"/>
              </w:rPr>
            </w:pPr>
            <w:r w:rsidRPr="00F431E9">
              <w:rPr>
                <w:b w:val="0"/>
                <w:color w:val="auto"/>
              </w:rPr>
              <w:t>Comprimento (mm)</w:t>
            </w:r>
          </w:p>
        </w:tc>
        <w:tc>
          <w:tcPr>
            <w:tcW w:w="1385" w:type="dxa"/>
          </w:tcPr>
          <w:p w:rsidR="00A34B7A" w:rsidRPr="00F431E9" w:rsidRDefault="00A34B7A" w:rsidP="00A34B7A">
            <w:pPr>
              <w:autoSpaceDE w:val="0"/>
              <w:autoSpaceDN w:val="0"/>
              <w:adjustRightInd w:val="0"/>
              <w:cnfStyle w:val="100000000000"/>
              <w:rPr>
                <w:b w:val="0"/>
                <w:color w:val="auto"/>
              </w:rPr>
            </w:pPr>
            <w:r w:rsidRPr="00F431E9">
              <w:rPr>
                <w:b w:val="0"/>
                <w:color w:val="auto"/>
              </w:rPr>
              <w:t>Largura (mm)</w:t>
            </w:r>
          </w:p>
        </w:tc>
        <w:tc>
          <w:tcPr>
            <w:tcW w:w="1412" w:type="dxa"/>
          </w:tcPr>
          <w:p w:rsidR="00A34B7A" w:rsidRPr="00F431E9" w:rsidRDefault="00A34B7A" w:rsidP="00A34B7A">
            <w:pPr>
              <w:autoSpaceDE w:val="0"/>
              <w:autoSpaceDN w:val="0"/>
              <w:adjustRightInd w:val="0"/>
              <w:cnfStyle w:val="100000000000"/>
              <w:rPr>
                <w:b w:val="0"/>
                <w:color w:val="auto"/>
              </w:rPr>
            </w:pPr>
            <w:r w:rsidRPr="00F431E9">
              <w:rPr>
                <w:b w:val="0"/>
                <w:color w:val="auto"/>
              </w:rPr>
              <w:t>Espessura (mm)</w:t>
            </w:r>
          </w:p>
        </w:tc>
        <w:tc>
          <w:tcPr>
            <w:tcW w:w="1325" w:type="dxa"/>
          </w:tcPr>
          <w:p w:rsidR="00A34B7A" w:rsidRPr="00F431E9" w:rsidRDefault="00A34B7A" w:rsidP="00A34B7A">
            <w:pPr>
              <w:autoSpaceDE w:val="0"/>
              <w:autoSpaceDN w:val="0"/>
              <w:adjustRightInd w:val="0"/>
              <w:cnfStyle w:val="100000000000"/>
              <w:rPr>
                <w:b w:val="0"/>
                <w:color w:val="auto"/>
              </w:rPr>
            </w:pPr>
            <w:r w:rsidRPr="00F431E9">
              <w:rPr>
                <w:b w:val="0"/>
                <w:color w:val="auto"/>
              </w:rPr>
              <w:t>Peso (g)</w:t>
            </w:r>
          </w:p>
        </w:tc>
      </w:tr>
      <w:tr w:rsidR="00A34B7A" w:rsidRPr="001C5C54" w:rsidTr="00A34B7A">
        <w:trPr>
          <w:cnfStyle w:val="000000100000"/>
        </w:trPr>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L2 29</w:t>
            </w:r>
          </w:p>
        </w:tc>
        <w:tc>
          <w:tcPr>
            <w:tcW w:w="1391" w:type="dxa"/>
          </w:tcPr>
          <w:p w:rsidR="00A34B7A" w:rsidRPr="00F431E9" w:rsidRDefault="00A34B7A" w:rsidP="00A34B7A">
            <w:pPr>
              <w:autoSpaceDE w:val="0"/>
              <w:autoSpaceDN w:val="0"/>
              <w:adjustRightInd w:val="0"/>
              <w:cnfStyle w:val="000000100000"/>
              <w:rPr>
                <w:color w:val="auto"/>
              </w:rPr>
            </w:pPr>
            <w:r w:rsidRPr="00F431E9">
              <w:rPr>
                <w:color w:val="auto"/>
              </w:rPr>
              <w:t>Quartzito</w:t>
            </w:r>
          </w:p>
        </w:tc>
        <w:tc>
          <w:tcPr>
            <w:tcW w:w="1656" w:type="dxa"/>
          </w:tcPr>
          <w:p w:rsidR="00A34B7A" w:rsidRPr="00F431E9" w:rsidRDefault="00A34B7A" w:rsidP="00A34B7A">
            <w:pPr>
              <w:autoSpaceDE w:val="0"/>
              <w:autoSpaceDN w:val="0"/>
              <w:adjustRightInd w:val="0"/>
              <w:jc w:val="right"/>
              <w:cnfStyle w:val="000000100000"/>
              <w:rPr>
                <w:color w:val="auto"/>
              </w:rPr>
            </w:pPr>
            <w:r w:rsidRPr="00F431E9">
              <w:rPr>
                <w:color w:val="auto"/>
              </w:rPr>
              <w:t>78,19</w:t>
            </w:r>
          </w:p>
        </w:tc>
        <w:tc>
          <w:tcPr>
            <w:tcW w:w="1385" w:type="dxa"/>
          </w:tcPr>
          <w:p w:rsidR="00A34B7A" w:rsidRPr="00F431E9" w:rsidRDefault="00A34B7A" w:rsidP="00A34B7A">
            <w:pPr>
              <w:autoSpaceDE w:val="0"/>
              <w:autoSpaceDN w:val="0"/>
              <w:adjustRightInd w:val="0"/>
              <w:jc w:val="right"/>
              <w:cnfStyle w:val="000000100000"/>
              <w:rPr>
                <w:color w:val="auto"/>
              </w:rPr>
            </w:pPr>
            <w:r w:rsidRPr="00F431E9">
              <w:rPr>
                <w:color w:val="auto"/>
              </w:rPr>
              <w:t>68,56</w:t>
            </w:r>
          </w:p>
        </w:tc>
        <w:tc>
          <w:tcPr>
            <w:tcW w:w="1412" w:type="dxa"/>
          </w:tcPr>
          <w:p w:rsidR="00A34B7A" w:rsidRPr="00F431E9" w:rsidRDefault="00A34B7A" w:rsidP="00A34B7A">
            <w:pPr>
              <w:jc w:val="right"/>
              <w:cnfStyle w:val="000000100000"/>
              <w:rPr>
                <w:color w:val="auto"/>
              </w:rPr>
            </w:pPr>
            <w:r w:rsidRPr="00F431E9">
              <w:rPr>
                <w:color w:val="auto"/>
              </w:rPr>
              <w:t>55,88</w:t>
            </w:r>
          </w:p>
        </w:tc>
        <w:tc>
          <w:tcPr>
            <w:tcW w:w="1325" w:type="dxa"/>
          </w:tcPr>
          <w:p w:rsidR="00A34B7A" w:rsidRPr="00F431E9" w:rsidRDefault="00A34B7A" w:rsidP="00A34B7A">
            <w:pPr>
              <w:autoSpaceDE w:val="0"/>
              <w:autoSpaceDN w:val="0"/>
              <w:adjustRightInd w:val="0"/>
              <w:jc w:val="right"/>
              <w:cnfStyle w:val="000000100000"/>
              <w:rPr>
                <w:color w:val="auto"/>
              </w:rPr>
            </w:pPr>
            <w:r w:rsidRPr="00F431E9">
              <w:rPr>
                <w:color w:val="auto"/>
              </w:rPr>
              <w:t>341</w:t>
            </w:r>
          </w:p>
        </w:tc>
      </w:tr>
      <w:tr w:rsidR="00A34B7A" w:rsidRPr="001C5C54" w:rsidTr="00A34B7A">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L2 40</w:t>
            </w:r>
          </w:p>
        </w:tc>
        <w:tc>
          <w:tcPr>
            <w:tcW w:w="1391" w:type="dxa"/>
          </w:tcPr>
          <w:p w:rsidR="00A34B7A" w:rsidRPr="00F431E9" w:rsidRDefault="00A34B7A" w:rsidP="00A34B7A">
            <w:pPr>
              <w:autoSpaceDE w:val="0"/>
              <w:autoSpaceDN w:val="0"/>
              <w:adjustRightInd w:val="0"/>
              <w:cnfStyle w:val="000000000000"/>
              <w:rPr>
                <w:color w:val="auto"/>
              </w:rPr>
            </w:pPr>
            <w:r w:rsidRPr="00F431E9">
              <w:rPr>
                <w:color w:val="auto"/>
              </w:rPr>
              <w:t>Quartzito</w:t>
            </w:r>
          </w:p>
        </w:tc>
        <w:tc>
          <w:tcPr>
            <w:tcW w:w="1656" w:type="dxa"/>
          </w:tcPr>
          <w:p w:rsidR="00A34B7A" w:rsidRPr="00F431E9" w:rsidRDefault="00A34B7A" w:rsidP="00A34B7A">
            <w:pPr>
              <w:jc w:val="right"/>
              <w:cnfStyle w:val="000000000000"/>
              <w:rPr>
                <w:color w:val="auto"/>
              </w:rPr>
            </w:pPr>
            <w:r w:rsidRPr="00F431E9">
              <w:rPr>
                <w:color w:val="auto"/>
              </w:rPr>
              <w:t>96,23</w:t>
            </w:r>
          </w:p>
        </w:tc>
        <w:tc>
          <w:tcPr>
            <w:tcW w:w="1385" w:type="dxa"/>
          </w:tcPr>
          <w:p w:rsidR="00A34B7A" w:rsidRPr="00F431E9" w:rsidRDefault="00A34B7A" w:rsidP="00A34B7A">
            <w:pPr>
              <w:jc w:val="right"/>
              <w:cnfStyle w:val="000000000000"/>
              <w:rPr>
                <w:color w:val="auto"/>
              </w:rPr>
            </w:pPr>
            <w:r w:rsidRPr="00F431E9">
              <w:rPr>
                <w:color w:val="auto"/>
              </w:rPr>
              <w:t>74,89</w:t>
            </w:r>
          </w:p>
        </w:tc>
        <w:tc>
          <w:tcPr>
            <w:tcW w:w="1412" w:type="dxa"/>
          </w:tcPr>
          <w:p w:rsidR="00A34B7A" w:rsidRPr="00F431E9" w:rsidRDefault="00A34B7A" w:rsidP="00A34B7A">
            <w:pPr>
              <w:jc w:val="right"/>
              <w:cnfStyle w:val="000000000000"/>
              <w:rPr>
                <w:color w:val="auto"/>
              </w:rPr>
            </w:pPr>
            <w:r w:rsidRPr="00F431E9">
              <w:rPr>
                <w:color w:val="auto"/>
              </w:rPr>
              <w:t>73,29</w:t>
            </w:r>
          </w:p>
        </w:tc>
        <w:tc>
          <w:tcPr>
            <w:tcW w:w="1325" w:type="dxa"/>
          </w:tcPr>
          <w:p w:rsidR="00A34B7A" w:rsidRPr="00F431E9" w:rsidRDefault="00A34B7A" w:rsidP="00A34B7A">
            <w:pPr>
              <w:autoSpaceDE w:val="0"/>
              <w:autoSpaceDN w:val="0"/>
              <w:adjustRightInd w:val="0"/>
              <w:jc w:val="right"/>
              <w:cnfStyle w:val="000000000000"/>
              <w:rPr>
                <w:color w:val="auto"/>
              </w:rPr>
            </w:pPr>
            <w:r w:rsidRPr="00F431E9">
              <w:rPr>
                <w:color w:val="auto"/>
              </w:rPr>
              <w:t>586</w:t>
            </w:r>
          </w:p>
        </w:tc>
      </w:tr>
      <w:tr w:rsidR="00A34B7A" w:rsidRPr="001C5C54" w:rsidTr="00A34B7A">
        <w:trPr>
          <w:cnfStyle w:val="000000100000"/>
        </w:trPr>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M3 45</w:t>
            </w:r>
          </w:p>
        </w:tc>
        <w:tc>
          <w:tcPr>
            <w:tcW w:w="1391" w:type="dxa"/>
          </w:tcPr>
          <w:p w:rsidR="00A34B7A" w:rsidRPr="00F431E9" w:rsidRDefault="00A34B7A" w:rsidP="00A34B7A">
            <w:pPr>
              <w:autoSpaceDE w:val="0"/>
              <w:autoSpaceDN w:val="0"/>
              <w:adjustRightInd w:val="0"/>
              <w:cnfStyle w:val="000000100000"/>
              <w:rPr>
                <w:color w:val="auto"/>
              </w:rPr>
            </w:pPr>
            <w:r w:rsidRPr="00F431E9">
              <w:rPr>
                <w:color w:val="auto"/>
              </w:rPr>
              <w:t>Quartzito</w:t>
            </w:r>
          </w:p>
        </w:tc>
        <w:tc>
          <w:tcPr>
            <w:tcW w:w="1656" w:type="dxa"/>
          </w:tcPr>
          <w:p w:rsidR="00A34B7A" w:rsidRPr="00F431E9" w:rsidRDefault="00A34B7A" w:rsidP="00A34B7A">
            <w:pPr>
              <w:jc w:val="right"/>
              <w:cnfStyle w:val="000000100000"/>
              <w:rPr>
                <w:color w:val="auto"/>
              </w:rPr>
            </w:pPr>
            <w:r w:rsidRPr="00F431E9">
              <w:rPr>
                <w:color w:val="auto"/>
              </w:rPr>
              <w:t>95,64</w:t>
            </w:r>
          </w:p>
        </w:tc>
        <w:tc>
          <w:tcPr>
            <w:tcW w:w="1385" w:type="dxa"/>
          </w:tcPr>
          <w:p w:rsidR="00A34B7A" w:rsidRPr="00F431E9" w:rsidRDefault="00A34B7A" w:rsidP="00A34B7A">
            <w:pPr>
              <w:jc w:val="right"/>
              <w:cnfStyle w:val="000000100000"/>
              <w:rPr>
                <w:color w:val="auto"/>
              </w:rPr>
            </w:pPr>
            <w:r w:rsidRPr="00F431E9">
              <w:rPr>
                <w:color w:val="auto"/>
              </w:rPr>
              <w:t>72,89</w:t>
            </w:r>
          </w:p>
        </w:tc>
        <w:tc>
          <w:tcPr>
            <w:tcW w:w="1412" w:type="dxa"/>
          </w:tcPr>
          <w:p w:rsidR="00A34B7A" w:rsidRPr="00F431E9" w:rsidRDefault="00A34B7A" w:rsidP="00A34B7A">
            <w:pPr>
              <w:jc w:val="right"/>
              <w:cnfStyle w:val="000000100000"/>
              <w:rPr>
                <w:color w:val="auto"/>
              </w:rPr>
            </w:pPr>
            <w:r w:rsidRPr="00F431E9">
              <w:rPr>
                <w:color w:val="auto"/>
              </w:rPr>
              <w:t>55,94</w:t>
            </w:r>
          </w:p>
        </w:tc>
        <w:tc>
          <w:tcPr>
            <w:tcW w:w="1325" w:type="dxa"/>
          </w:tcPr>
          <w:p w:rsidR="00A34B7A" w:rsidRPr="00F431E9" w:rsidRDefault="00A34B7A" w:rsidP="00A34B7A">
            <w:pPr>
              <w:autoSpaceDE w:val="0"/>
              <w:autoSpaceDN w:val="0"/>
              <w:adjustRightInd w:val="0"/>
              <w:jc w:val="right"/>
              <w:cnfStyle w:val="000000100000"/>
              <w:rPr>
                <w:color w:val="auto"/>
              </w:rPr>
            </w:pPr>
            <w:r w:rsidRPr="00F431E9">
              <w:rPr>
                <w:color w:val="auto"/>
              </w:rPr>
              <w:t>517</w:t>
            </w:r>
          </w:p>
        </w:tc>
      </w:tr>
      <w:tr w:rsidR="00A34B7A" w:rsidRPr="001C5C54" w:rsidTr="00A34B7A">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M3 83</w:t>
            </w:r>
          </w:p>
        </w:tc>
        <w:tc>
          <w:tcPr>
            <w:tcW w:w="1391" w:type="dxa"/>
          </w:tcPr>
          <w:p w:rsidR="00A34B7A" w:rsidRPr="00F431E9" w:rsidRDefault="00A34B7A" w:rsidP="00A34B7A">
            <w:pPr>
              <w:autoSpaceDE w:val="0"/>
              <w:autoSpaceDN w:val="0"/>
              <w:adjustRightInd w:val="0"/>
              <w:cnfStyle w:val="000000000000"/>
              <w:rPr>
                <w:color w:val="auto"/>
              </w:rPr>
            </w:pPr>
            <w:r w:rsidRPr="00F431E9">
              <w:rPr>
                <w:color w:val="auto"/>
              </w:rPr>
              <w:t>Quartzito</w:t>
            </w:r>
          </w:p>
        </w:tc>
        <w:tc>
          <w:tcPr>
            <w:tcW w:w="1656" w:type="dxa"/>
          </w:tcPr>
          <w:p w:rsidR="00A34B7A" w:rsidRPr="00F431E9" w:rsidRDefault="00A34B7A" w:rsidP="00A34B7A">
            <w:pPr>
              <w:jc w:val="right"/>
              <w:cnfStyle w:val="000000000000"/>
              <w:rPr>
                <w:color w:val="auto"/>
              </w:rPr>
            </w:pPr>
            <w:r w:rsidRPr="00F431E9">
              <w:rPr>
                <w:color w:val="auto"/>
              </w:rPr>
              <w:t>80,33</w:t>
            </w:r>
          </w:p>
        </w:tc>
        <w:tc>
          <w:tcPr>
            <w:tcW w:w="1385" w:type="dxa"/>
          </w:tcPr>
          <w:p w:rsidR="00A34B7A" w:rsidRPr="00F431E9" w:rsidRDefault="00A34B7A" w:rsidP="00A34B7A">
            <w:pPr>
              <w:jc w:val="right"/>
              <w:cnfStyle w:val="000000000000"/>
              <w:rPr>
                <w:color w:val="auto"/>
              </w:rPr>
            </w:pPr>
            <w:r w:rsidRPr="00F431E9">
              <w:rPr>
                <w:color w:val="auto"/>
              </w:rPr>
              <w:t>76,44</w:t>
            </w:r>
          </w:p>
        </w:tc>
        <w:tc>
          <w:tcPr>
            <w:tcW w:w="1412" w:type="dxa"/>
          </w:tcPr>
          <w:p w:rsidR="00A34B7A" w:rsidRPr="00F431E9" w:rsidRDefault="00A34B7A" w:rsidP="00A34B7A">
            <w:pPr>
              <w:jc w:val="right"/>
              <w:cnfStyle w:val="000000000000"/>
              <w:rPr>
                <w:color w:val="auto"/>
              </w:rPr>
            </w:pPr>
            <w:r w:rsidRPr="00F431E9">
              <w:rPr>
                <w:color w:val="auto"/>
              </w:rPr>
              <w:t>60,17</w:t>
            </w:r>
          </w:p>
        </w:tc>
        <w:tc>
          <w:tcPr>
            <w:tcW w:w="1325" w:type="dxa"/>
          </w:tcPr>
          <w:p w:rsidR="00A34B7A" w:rsidRPr="00F431E9" w:rsidRDefault="00A34B7A" w:rsidP="00A34B7A">
            <w:pPr>
              <w:autoSpaceDE w:val="0"/>
              <w:autoSpaceDN w:val="0"/>
              <w:adjustRightInd w:val="0"/>
              <w:jc w:val="right"/>
              <w:cnfStyle w:val="000000000000"/>
              <w:rPr>
                <w:color w:val="auto"/>
              </w:rPr>
            </w:pPr>
            <w:r w:rsidRPr="00F431E9">
              <w:rPr>
                <w:color w:val="auto"/>
              </w:rPr>
              <w:t>422</w:t>
            </w:r>
          </w:p>
        </w:tc>
      </w:tr>
      <w:tr w:rsidR="00A34B7A" w:rsidRPr="001C5C54" w:rsidTr="00A34B7A">
        <w:trPr>
          <w:cnfStyle w:val="000000100000"/>
        </w:trPr>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L4 09</w:t>
            </w:r>
          </w:p>
        </w:tc>
        <w:tc>
          <w:tcPr>
            <w:tcW w:w="1391" w:type="dxa"/>
          </w:tcPr>
          <w:p w:rsidR="00A34B7A" w:rsidRPr="00F431E9" w:rsidRDefault="00A34B7A" w:rsidP="00A34B7A">
            <w:pPr>
              <w:autoSpaceDE w:val="0"/>
              <w:autoSpaceDN w:val="0"/>
              <w:adjustRightInd w:val="0"/>
              <w:cnfStyle w:val="000000100000"/>
              <w:rPr>
                <w:color w:val="auto"/>
              </w:rPr>
            </w:pPr>
            <w:r w:rsidRPr="00F431E9">
              <w:rPr>
                <w:color w:val="auto"/>
              </w:rPr>
              <w:t>Quartzito</w:t>
            </w:r>
          </w:p>
        </w:tc>
        <w:tc>
          <w:tcPr>
            <w:tcW w:w="1656" w:type="dxa"/>
          </w:tcPr>
          <w:p w:rsidR="00A34B7A" w:rsidRPr="00F431E9" w:rsidRDefault="00A34B7A" w:rsidP="00A34B7A">
            <w:pPr>
              <w:jc w:val="right"/>
              <w:cnfStyle w:val="000000100000"/>
              <w:rPr>
                <w:color w:val="auto"/>
              </w:rPr>
            </w:pPr>
            <w:r w:rsidRPr="00F431E9">
              <w:rPr>
                <w:color w:val="auto"/>
              </w:rPr>
              <w:t>79,97</w:t>
            </w:r>
          </w:p>
        </w:tc>
        <w:tc>
          <w:tcPr>
            <w:tcW w:w="1385" w:type="dxa"/>
          </w:tcPr>
          <w:p w:rsidR="00A34B7A" w:rsidRPr="00F431E9" w:rsidRDefault="00A34B7A" w:rsidP="00A34B7A">
            <w:pPr>
              <w:jc w:val="right"/>
              <w:cnfStyle w:val="000000100000"/>
              <w:rPr>
                <w:color w:val="auto"/>
              </w:rPr>
            </w:pPr>
            <w:r w:rsidRPr="00F431E9">
              <w:rPr>
                <w:color w:val="auto"/>
              </w:rPr>
              <w:t>67,13</w:t>
            </w:r>
          </w:p>
        </w:tc>
        <w:tc>
          <w:tcPr>
            <w:tcW w:w="1412" w:type="dxa"/>
          </w:tcPr>
          <w:p w:rsidR="00A34B7A" w:rsidRPr="00F431E9" w:rsidRDefault="00A34B7A" w:rsidP="00A34B7A">
            <w:pPr>
              <w:jc w:val="right"/>
              <w:cnfStyle w:val="000000100000"/>
              <w:rPr>
                <w:color w:val="auto"/>
              </w:rPr>
            </w:pPr>
            <w:r w:rsidRPr="00F431E9">
              <w:rPr>
                <w:color w:val="auto"/>
              </w:rPr>
              <w:t>47,42</w:t>
            </w:r>
          </w:p>
        </w:tc>
        <w:tc>
          <w:tcPr>
            <w:tcW w:w="1325" w:type="dxa"/>
          </w:tcPr>
          <w:p w:rsidR="00A34B7A" w:rsidRPr="00F431E9" w:rsidRDefault="00A34B7A" w:rsidP="00A34B7A">
            <w:pPr>
              <w:autoSpaceDE w:val="0"/>
              <w:autoSpaceDN w:val="0"/>
              <w:adjustRightInd w:val="0"/>
              <w:jc w:val="right"/>
              <w:cnfStyle w:val="000000100000"/>
              <w:rPr>
                <w:color w:val="auto"/>
              </w:rPr>
            </w:pPr>
            <w:r w:rsidRPr="00F431E9">
              <w:rPr>
                <w:color w:val="auto"/>
              </w:rPr>
              <w:t>317</w:t>
            </w:r>
          </w:p>
        </w:tc>
      </w:tr>
      <w:tr w:rsidR="00A34B7A" w:rsidRPr="001C5C54" w:rsidTr="00A34B7A">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L4 34</w:t>
            </w:r>
          </w:p>
        </w:tc>
        <w:tc>
          <w:tcPr>
            <w:tcW w:w="1391" w:type="dxa"/>
          </w:tcPr>
          <w:p w:rsidR="00A34B7A" w:rsidRPr="00F431E9" w:rsidRDefault="00A34B7A" w:rsidP="00A34B7A">
            <w:pPr>
              <w:autoSpaceDE w:val="0"/>
              <w:autoSpaceDN w:val="0"/>
              <w:adjustRightInd w:val="0"/>
              <w:cnfStyle w:val="000000000000"/>
              <w:rPr>
                <w:color w:val="auto"/>
              </w:rPr>
            </w:pPr>
            <w:r w:rsidRPr="00F431E9">
              <w:rPr>
                <w:color w:val="auto"/>
              </w:rPr>
              <w:t>Quartzito</w:t>
            </w:r>
          </w:p>
        </w:tc>
        <w:tc>
          <w:tcPr>
            <w:tcW w:w="1656" w:type="dxa"/>
          </w:tcPr>
          <w:p w:rsidR="00A34B7A" w:rsidRPr="00F431E9" w:rsidRDefault="00A34B7A" w:rsidP="00A34B7A">
            <w:pPr>
              <w:jc w:val="right"/>
              <w:cnfStyle w:val="000000000000"/>
              <w:rPr>
                <w:color w:val="auto"/>
              </w:rPr>
            </w:pPr>
            <w:r w:rsidRPr="00F431E9">
              <w:rPr>
                <w:color w:val="auto"/>
              </w:rPr>
              <w:t>78,32</w:t>
            </w:r>
          </w:p>
        </w:tc>
        <w:tc>
          <w:tcPr>
            <w:tcW w:w="1385" w:type="dxa"/>
          </w:tcPr>
          <w:p w:rsidR="00A34B7A" w:rsidRPr="00F431E9" w:rsidRDefault="00A34B7A" w:rsidP="00A34B7A">
            <w:pPr>
              <w:jc w:val="right"/>
              <w:cnfStyle w:val="000000000000"/>
              <w:rPr>
                <w:color w:val="auto"/>
              </w:rPr>
            </w:pPr>
            <w:r w:rsidRPr="00F431E9">
              <w:rPr>
                <w:color w:val="auto"/>
              </w:rPr>
              <w:t>76,1</w:t>
            </w:r>
          </w:p>
        </w:tc>
        <w:tc>
          <w:tcPr>
            <w:tcW w:w="1412" w:type="dxa"/>
          </w:tcPr>
          <w:p w:rsidR="00A34B7A" w:rsidRPr="00F431E9" w:rsidRDefault="00A34B7A" w:rsidP="00A34B7A">
            <w:pPr>
              <w:jc w:val="right"/>
              <w:cnfStyle w:val="000000000000"/>
              <w:rPr>
                <w:color w:val="auto"/>
              </w:rPr>
            </w:pPr>
            <w:r w:rsidRPr="00F431E9">
              <w:rPr>
                <w:color w:val="auto"/>
              </w:rPr>
              <w:t>72,66</w:t>
            </w:r>
          </w:p>
        </w:tc>
        <w:tc>
          <w:tcPr>
            <w:tcW w:w="1325" w:type="dxa"/>
          </w:tcPr>
          <w:p w:rsidR="00A34B7A" w:rsidRPr="00F431E9" w:rsidRDefault="00A34B7A" w:rsidP="00A34B7A">
            <w:pPr>
              <w:autoSpaceDE w:val="0"/>
              <w:autoSpaceDN w:val="0"/>
              <w:adjustRightInd w:val="0"/>
              <w:jc w:val="right"/>
              <w:cnfStyle w:val="000000000000"/>
              <w:rPr>
                <w:color w:val="auto"/>
              </w:rPr>
            </w:pPr>
            <w:r w:rsidRPr="00F431E9">
              <w:rPr>
                <w:color w:val="auto"/>
              </w:rPr>
              <w:t>495</w:t>
            </w:r>
          </w:p>
        </w:tc>
      </w:tr>
      <w:tr w:rsidR="00A34B7A" w:rsidRPr="001C5C54" w:rsidTr="00A34B7A">
        <w:trPr>
          <w:cnfStyle w:val="000000100000"/>
        </w:trPr>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L4 39</w:t>
            </w:r>
          </w:p>
        </w:tc>
        <w:tc>
          <w:tcPr>
            <w:tcW w:w="1391" w:type="dxa"/>
          </w:tcPr>
          <w:p w:rsidR="00A34B7A" w:rsidRPr="00F431E9" w:rsidRDefault="00A34B7A" w:rsidP="00A34B7A">
            <w:pPr>
              <w:autoSpaceDE w:val="0"/>
              <w:autoSpaceDN w:val="0"/>
              <w:adjustRightInd w:val="0"/>
              <w:cnfStyle w:val="000000100000"/>
              <w:rPr>
                <w:color w:val="auto"/>
              </w:rPr>
            </w:pPr>
            <w:r w:rsidRPr="00F431E9">
              <w:rPr>
                <w:color w:val="auto"/>
              </w:rPr>
              <w:t>Quartzito</w:t>
            </w:r>
          </w:p>
        </w:tc>
        <w:tc>
          <w:tcPr>
            <w:tcW w:w="1656" w:type="dxa"/>
          </w:tcPr>
          <w:p w:rsidR="00A34B7A" w:rsidRPr="00F431E9" w:rsidRDefault="00A34B7A" w:rsidP="00A34B7A">
            <w:pPr>
              <w:jc w:val="right"/>
              <w:cnfStyle w:val="000000100000"/>
              <w:rPr>
                <w:color w:val="auto"/>
              </w:rPr>
            </w:pPr>
            <w:r w:rsidRPr="00F431E9">
              <w:rPr>
                <w:color w:val="auto"/>
              </w:rPr>
              <w:t>82,42</w:t>
            </w:r>
          </w:p>
        </w:tc>
        <w:tc>
          <w:tcPr>
            <w:tcW w:w="1385" w:type="dxa"/>
          </w:tcPr>
          <w:p w:rsidR="00A34B7A" w:rsidRPr="00F431E9" w:rsidRDefault="00A34B7A" w:rsidP="00A34B7A">
            <w:pPr>
              <w:jc w:val="right"/>
              <w:cnfStyle w:val="000000100000"/>
              <w:rPr>
                <w:color w:val="auto"/>
              </w:rPr>
            </w:pPr>
            <w:r w:rsidRPr="00F431E9">
              <w:rPr>
                <w:color w:val="auto"/>
              </w:rPr>
              <w:t>67,04</w:t>
            </w:r>
          </w:p>
        </w:tc>
        <w:tc>
          <w:tcPr>
            <w:tcW w:w="1412" w:type="dxa"/>
          </w:tcPr>
          <w:p w:rsidR="00A34B7A" w:rsidRPr="00F431E9" w:rsidRDefault="00A34B7A" w:rsidP="00A34B7A">
            <w:pPr>
              <w:jc w:val="right"/>
              <w:cnfStyle w:val="000000100000"/>
              <w:rPr>
                <w:color w:val="auto"/>
              </w:rPr>
            </w:pPr>
            <w:r w:rsidRPr="00F431E9">
              <w:rPr>
                <w:color w:val="auto"/>
              </w:rPr>
              <w:t>42,87</w:t>
            </w:r>
          </w:p>
        </w:tc>
        <w:tc>
          <w:tcPr>
            <w:tcW w:w="1325" w:type="dxa"/>
          </w:tcPr>
          <w:p w:rsidR="00A34B7A" w:rsidRPr="00F431E9" w:rsidRDefault="00A34B7A" w:rsidP="00A34B7A">
            <w:pPr>
              <w:autoSpaceDE w:val="0"/>
              <w:autoSpaceDN w:val="0"/>
              <w:adjustRightInd w:val="0"/>
              <w:jc w:val="right"/>
              <w:cnfStyle w:val="000000100000"/>
              <w:rPr>
                <w:color w:val="auto"/>
              </w:rPr>
            </w:pPr>
            <w:r w:rsidRPr="00F431E9">
              <w:rPr>
                <w:color w:val="auto"/>
              </w:rPr>
              <w:t>314</w:t>
            </w:r>
          </w:p>
        </w:tc>
      </w:tr>
      <w:tr w:rsidR="00A34B7A" w:rsidRPr="001C5C54" w:rsidTr="00A34B7A">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M4 04</w:t>
            </w:r>
          </w:p>
        </w:tc>
        <w:tc>
          <w:tcPr>
            <w:tcW w:w="1391" w:type="dxa"/>
          </w:tcPr>
          <w:p w:rsidR="00A34B7A" w:rsidRPr="00F431E9" w:rsidRDefault="00A34B7A" w:rsidP="00A34B7A">
            <w:pPr>
              <w:autoSpaceDE w:val="0"/>
              <w:autoSpaceDN w:val="0"/>
              <w:adjustRightInd w:val="0"/>
              <w:cnfStyle w:val="000000000000"/>
              <w:rPr>
                <w:color w:val="auto"/>
              </w:rPr>
            </w:pPr>
            <w:r w:rsidRPr="00F431E9">
              <w:rPr>
                <w:color w:val="auto"/>
              </w:rPr>
              <w:t>Quartzito</w:t>
            </w:r>
          </w:p>
        </w:tc>
        <w:tc>
          <w:tcPr>
            <w:tcW w:w="1656" w:type="dxa"/>
          </w:tcPr>
          <w:p w:rsidR="00A34B7A" w:rsidRPr="00F431E9" w:rsidRDefault="00A34B7A" w:rsidP="00A34B7A">
            <w:pPr>
              <w:jc w:val="right"/>
              <w:cnfStyle w:val="000000000000"/>
              <w:rPr>
                <w:color w:val="auto"/>
              </w:rPr>
            </w:pPr>
            <w:r w:rsidRPr="00F431E9">
              <w:rPr>
                <w:color w:val="auto"/>
              </w:rPr>
              <w:t>50,71</w:t>
            </w:r>
          </w:p>
        </w:tc>
        <w:tc>
          <w:tcPr>
            <w:tcW w:w="1385" w:type="dxa"/>
          </w:tcPr>
          <w:p w:rsidR="00A34B7A" w:rsidRPr="00F431E9" w:rsidRDefault="00A34B7A" w:rsidP="00A34B7A">
            <w:pPr>
              <w:jc w:val="right"/>
              <w:cnfStyle w:val="000000000000"/>
              <w:rPr>
                <w:color w:val="auto"/>
              </w:rPr>
            </w:pPr>
            <w:r w:rsidRPr="00F431E9">
              <w:rPr>
                <w:color w:val="auto"/>
              </w:rPr>
              <w:t>39,95</w:t>
            </w:r>
          </w:p>
        </w:tc>
        <w:tc>
          <w:tcPr>
            <w:tcW w:w="1412" w:type="dxa"/>
          </w:tcPr>
          <w:p w:rsidR="00A34B7A" w:rsidRPr="00F431E9" w:rsidRDefault="00A34B7A" w:rsidP="00A34B7A">
            <w:pPr>
              <w:jc w:val="right"/>
              <w:cnfStyle w:val="000000000000"/>
              <w:rPr>
                <w:color w:val="auto"/>
              </w:rPr>
            </w:pPr>
            <w:r w:rsidRPr="00F431E9">
              <w:rPr>
                <w:color w:val="auto"/>
              </w:rPr>
              <w:t>31,1</w:t>
            </w:r>
          </w:p>
        </w:tc>
        <w:tc>
          <w:tcPr>
            <w:tcW w:w="1325" w:type="dxa"/>
          </w:tcPr>
          <w:p w:rsidR="00A34B7A" w:rsidRPr="00F431E9" w:rsidRDefault="00A34B7A" w:rsidP="00A34B7A">
            <w:pPr>
              <w:autoSpaceDE w:val="0"/>
              <w:autoSpaceDN w:val="0"/>
              <w:adjustRightInd w:val="0"/>
              <w:jc w:val="right"/>
              <w:cnfStyle w:val="000000000000"/>
              <w:rPr>
                <w:color w:val="auto"/>
              </w:rPr>
            </w:pPr>
            <w:r w:rsidRPr="00F431E9">
              <w:rPr>
                <w:color w:val="auto"/>
              </w:rPr>
              <w:t>78</w:t>
            </w:r>
          </w:p>
        </w:tc>
      </w:tr>
      <w:tr w:rsidR="00A34B7A" w:rsidRPr="001C5C54" w:rsidTr="00A34B7A">
        <w:trPr>
          <w:cnfStyle w:val="000000100000"/>
        </w:trPr>
        <w:tc>
          <w:tcPr>
            <w:cnfStyle w:val="001000000000"/>
            <w:tcW w:w="1551" w:type="dxa"/>
          </w:tcPr>
          <w:p w:rsidR="00A34B7A" w:rsidRPr="00F431E9" w:rsidRDefault="00A34B7A" w:rsidP="00A34B7A">
            <w:pPr>
              <w:autoSpaceDE w:val="0"/>
              <w:autoSpaceDN w:val="0"/>
              <w:adjustRightInd w:val="0"/>
              <w:rPr>
                <w:color w:val="auto"/>
              </w:rPr>
            </w:pPr>
            <w:r w:rsidRPr="00F431E9">
              <w:rPr>
                <w:color w:val="auto"/>
              </w:rPr>
              <w:t>M4 15</w:t>
            </w:r>
          </w:p>
        </w:tc>
        <w:tc>
          <w:tcPr>
            <w:tcW w:w="1391" w:type="dxa"/>
          </w:tcPr>
          <w:p w:rsidR="00A34B7A" w:rsidRPr="00F431E9" w:rsidRDefault="00A34B7A" w:rsidP="00A34B7A">
            <w:pPr>
              <w:autoSpaceDE w:val="0"/>
              <w:autoSpaceDN w:val="0"/>
              <w:adjustRightInd w:val="0"/>
              <w:cnfStyle w:val="000000100000"/>
              <w:rPr>
                <w:color w:val="auto"/>
              </w:rPr>
            </w:pPr>
            <w:r w:rsidRPr="00F431E9">
              <w:rPr>
                <w:color w:val="auto"/>
              </w:rPr>
              <w:t>Arenito</w:t>
            </w:r>
          </w:p>
        </w:tc>
        <w:tc>
          <w:tcPr>
            <w:tcW w:w="1656" w:type="dxa"/>
          </w:tcPr>
          <w:p w:rsidR="00A34B7A" w:rsidRPr="00F431E9" w:rsidRDefault="00A34B7A" w:rsidP="00A34B7A">
            <w:pPr>
              <w:jc w:val="right"/>
              <w:cnfStyle w:val="000000100000"/>
              <w:rPr>
                <w:color w:val="auto"/>
              </w:rPr>
            </w:pPr>
            <w:r w:rsidRPr="00F431E9">
              <w:rPr>
                <w:color w:val="auto"/>
              </w:rPr>
              <w:t>66,35</w:t>
            </w:r>
          </w:p>
        </w:tc>
        <w:tc>
          <w:tcPr>
            <w:tcW w:w="1385" w:type="dxa"/>
          </w:tcPr>
          <w:p w:rsidR="00A34B7A" w:rsidRPr="00F431E9" w:rsidRDefault="00A34B7A" w:rsidP="00A34B7A">
            <w:pPr>
              <w:jc w:val="right"/>
              <w:cnfStyle w:val="000000100000"/>
              <w:rPr>
                <w:color w:val="auto"/>
              </w:rPr>
            </w:pPr>
            <w:r w:rsidRPr="00F431E9">
              <w:rPr>
                <w:color w:val="auto"/>
              </w:rPr>
              <w:t>55,16</w:t>
            </w:r>
          </w:p>
        </w:tc>
        <w:tc>
          <w:tcPr>
            <w:tcW w:w="1412" w:type="dxa"/>
          </w:tcPr>
          <w:p w:rsidR="00A34B7A" w:rsidRPr="00F431E9" w:rsidRDefault="00A34B7A" w:rsidP="00A34B7A">
            <w:pPr>
              <w:jc w:val="right"/>
              <w:cnfStyle w:val="000000100000"/>
              <w:rPr>
                <w:color w:val="auto"/>
              </w:rPr>
            </w:pPr>
            <w:r w:rsidRPr="00F431E9">
              <w:rPr>
                <w:color w:val="auto"/>
              </w:rPr>
              <w:t>30,72</w:t>
            </w:r>
          </w:p>
        </w:tc>
        <w:tc>
          <w:tcPr>
            <w:tcW w:w="1325" w:type="dxa"/>
          </w:tcPr>
          <w:p w:rsidR="00A34B7A" w:rsidRPr="00F431E9" w:rsidRDefault="00A34B7A" w:rsidP="00A34B7A">
            <w:pPr>
              <w:autoSpaceDE w:val="0"/>
              <w:autoSpaceDN w:val="0"/>
              <w:adjustRightInd w:val="0"/>
              <w:jc w:val="right"/>
              <w:cnfStyle w:val="000000100000"/>
              <w:rPr>
                <w:color w:val="auto"/>
              </w:rPr>
            </w:pPr>
            <w:r w:rsidRPr="00F431E9">
              <w:rPr>
                <w:color w:val="auto"/>
              </w:rPr>
              <w:t>156</w:t>
            </w:r>
          </w:p>
        </w:tc>
      </w:tr>
    </w:tbl>
    <w:p w:rsidR="00A34B7A" w:rsidRDefault="00EA3774" w:rsidP="00A34B7A">
      <w:pPr>
        <w:autoSpaceDE w:val="0"/>
        <w:autoSpaceDN w:val="0"/>
        <w:adjustRightInd w:val="0"/>
      </w:pPr>
      <w:r>
        <w:rPr>
          <w:noProof/>
          <w:lang w:eastAsia="en-US"/>
        </w:rPr>
        <w:pict>
          <v:shape id="_x0000_s1076" type="#_x0000_t202" style="position:absolute;margin-left:-6pt;margin-top:2.25pt;width:436.95pt;height:21pt;z-index:251717632;mso-height-percent:200;mso-position-horizontal-relative:text;mso-position-vertical-relative:text;mso-height-percent:200;mso-width-relative:margin;mso-height-relative:margin" stroked="f">
            <v:textbox style="mso-next-textbox:#_x0000_s1076;mso-fit-shape-to-text:t">
              <w:txbxContent>
                <w:p w:rsidR="00B34B0F" w:rsidRDefault="00B34B0F" w:rsidP="00A34B7A">
                  <w:r>
                    <w:t>Tabela 6.1.2- Dados morfológicos dos percutores.</w:t>
                  </w:r>
                </w:p>
              </w:txbxContent>
            </v:textbox>
          </v:shape>
        </w:pic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spacing w:line="360" w:lineRule="auto"/>
        <w:ind w:firstLine="708"/>
        <w:jc w:val="both"/>
        <w:rPr>
          <w:noProof/>
        </w:rPr>
      </w:pPr>
      <w:r>
        <w:lastRenderedPageBreak/>
        <w:t xml:space="preserve">No entanto, observa-se que o maior número de percutores se encontra numa bitola que começa nos 300g e acaba perto dos 600g. Deste modo, três percutores apresentam pesos na ordem dos 300g, dois percutores tem pesos na ordem dos 400g e dois pesaram acima dos 500g. </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Pr="00C33F4C" w:rsidRDefault="00166C52" w:rsidP="00A34B7A">
      <w:pPr>
        <w:autoSpaceDE w:val="0"/>
        <w:autoSpaceDN w:val="0"/>
        <w:adjustRightInd w:val="0"/>
      </w:pPr>
      <w:r>
        <w:t>6.1</w:t>
      </w:r>
      <w:r w:rsidR="00A34B7A" w:rsidRPr="00C33F4C">
        <w:t>.1.3- Caracterização morfológica da indústria lítica</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spacing w:line="360" w:lineRule="auto"/>
        <w:ind w:firstLine="708"/>
        <w:jc w:val="both"/>
        <w:rPr>
          <w:noProof/>
        </w:rPr>
      </w:pPr>
      <w:r>
        <w:t>Como já foi referido anteriormente, a</w:t>
      </w:r>
      <w:r w:rsidRPr="001818C1">
        <w:t xml:space="preserve"> indústria lítica </w:t>
      </w:r>
      <w:r>
        <w:t>recolhida na estação dos Pegos do Tejo 2 corresponde a</w:t>
      </w:r>
      <w:r w:rsidRPr="001818C1">
        <w:t xml:space="preserve"> uma indústria </w:t>
      </w:r>
      <w:r>
        <w:t>cujo objectivo era a produção de lascas</w:t>
      </w:r>
      <w:r w:rsidRPr="00037E2E">
        <w:rPr>
          <w:sz w:val="22"/>
          <w:szCs w:val="22"/>
        </w:rPr>
        <w:t xml:space="preserve"> </w:t>
      </w:r>
      <w:r>
        <w:rPr>
          <w:sz w:val="22"/>
          <w:szCs w:val="22"/>
        </w:rPr>
        <w:t>(</w:t>
      </w:r>
      <w:r w:rsidRPr="00B8245C">
        <w:rPr>
          <w:sz w:val="22"/>
          <w:szCs w:val="22"/>
        </w:rPr>
        <w:t>Gráfico 6.1.</w:t>
      </w:r>
      <w:r>
        <w:rPr>
          <w:sz w:val="22"/>
          <w:szCs w:val="22"/>
        </w:rPr>
        <w:t>8)</w:t>
      </w:r>
      <w:r w:rsidRPr="001818C1">
        <w:t>.</w:t>
      </w:r>
      <w:r w:rsidRPr="00D3322A">
        <w:rPr>
          <w:noProof/>
        </w:rPr>
        <w:t xml:space="preserve"> </w:t>
      </w:r>
      <w:r>
        <w:rPr>
          <w:noProof/>
        </w:rPr>
        <w:t>Essas lascas seriam, posteriormente, alvo de processos de retoque ou usadas em bruto. De facto, dentro da população estudada, o subconjunto das lascas é o mais representado, correspondendo a 78 % da população (N=236). Os núcleos e os percutores representam a restante colecção, somando, respectivamente, 14% e 5% do total. Na categoria “outros” entram 6 items que não foi possível classificar.</w:t>
      </w:r>
    </w:p>
    <w:p w:rsidR="00A34B7A" w:rsidRDefault="00A34B7A" w:rsidP="00A34B7A">
      <w:pPr>
        <w:autoSpaceDE w:val="0"/>
        <w:autoSpaceDN w:val="0"/>
        <w:adjustRightInd w:val="0"/>
        <w:rPr>
          <w:noProof/>
        </w:rPr>
      </w:pPr>
    </w:p>
    <w:p w:rsidR="00A34B7A" w:rsidRDefault="00A34B7A" w:rsidP="00A34B7A">
      <w:pPr>
        <w:autoSpaceDE w:val="0"/>
        <w:autoSpaceDN w:val="0"/>
        <w:adjustRightInd w:val="0"/>
        <w:jc w:val="center"/>
      </w:pPr>
      <w:r>
        <w:rPr>
          <w:noProof/>
        </w:rPr>
        <w:object w:dxaOrig="7212" w:dyaOrig="4085">
          <v:shape id="_x0000_i1032" type="#_x0000_t75" style="width:411.05pt;height:232.75pt" o:ole="">
            <v:imagedata r:id="rId66" o:title=""/>
          </v:shape>
          <o:OLEObject Type="Embed" ProgID="Excel.Sheet.12" ShapeID="_x0000_i1032" DrawAspect="Content" ObjectID="_1556969312" r:id="rId67"/>
        </w:object>
      </w:r>
    </w:p>
    <w:p w:rsidR="00A34B7A" w:rsidRDefault="00EA3774" w:rsidP="00A34B7A">
      <w:pPr>
        <w:autoSpaceDE w:val="0"/>
        <w:autoSpaceDN w:val="0"/>
        <w:adjustRightInd w:val="0"/>
      </w:pPr>
      <w:r>
        <w:rPr>
          <w:noProof/>
          <w:lang w:eastAsia="en-US"/>
        </w:rPr>
        <w:pict>
          <v:shape id="_x0000_s1057" type="#_x0000_t202" style="position:absolute;margin-left:10.2pt;margin-top:.3pt;width:406.85pt;height:33pt;z-index:251698176;mso-width-relative:margin;mso-height-relative:margin" stroked="f">
            <v:textbox style="mso-next-textbox:#_x0000_s1057">
              <w:txbxContent>
                <w:p w:rsidR="00B34B0F" w:rsidRPr="00B8245C" w:rsidRDefault="00B34B0F" w:rsidP="00A34B7A">
                  <w:pPr>
                    <w:jc w:val="both"/>
                    <w:rPr>
                      <w:sz w:val="22"/>
                      <w:szCs w:val="22"/>
                    </w:rPr>
                  </w:pPr>
                  <w:r w:rsidRPr="00B8245C">
                    <w:rPr>
                      <w:sz w:val="22"/>
                      <w:szCs w:val="22"/>
                    </w:rPr>
                    <w:t>Gráfico 6.1.</w:t>
                  </w:r>
                  <w:r>
                    <w:rPr>
                      <w:sz w:val="22"/>
                      <w:szCs w:val="22"/>
                    </w:rPr>
                    <w:t>8</w:t>
                  </w:r>
                  <w:r w:rsidRPr="00B8245C">
                    <w:rPr>
                      <w:sz w:val="22"/>
                      <w:szCs w:val="22"/>
                    </w:rPr>
                    <w:t>- Percentagem, por categorias, da ind</w:t>
                  </w:r>
                  <w:r>
                    <w:rPr>
                      <w:sz w:val="22"/>
                      <w:szCs w:val="22"/>
                    </w:rPr>
                    <w:t xml:space="preserve">ústria lítica dos Pegos do Tejo </w:t>
                  </w:r>
                  <w:r w:rsidRPr="00B8245C">
                    <w:rPr>
                      <w:sz w:val="22"/>
                      <w:szCs w:val="22"/>
                    </w:rPr>
                    <w:t>2.</w:t>
                  </w:r>
                </w:p>
                <w:p w:rsidR="00B34B0F" w:rsidRDefault="00B34B0F" w:rsidP="00A34B7A"/>
              </w:txbxContent>
            </v:textbox>
          </v:shape>
        </w:pic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pPr>
    </w:p>
    <w:p w:rsidR="00A34B7A" w:rsidRPr="00C33F4C" w:rsidRDefault="00166C52" w:rsidP="00A34B7A">
      <w:pPr>
        <w:autoSpaceDE w:val="0"/>
        <w:autoSpaceDN w:val="0"/>
        <w:adjustRightInd w:val="0"/>
        <w:spacing w:line="360" w:lineRule="auto"/>
        <w:jc w:val="both"/>
      </w:pPr>
      <w:r>
        <w:t>6.1</w:t>
      </w:r>
      <w:r w:rsidR="00A34B7A" w:rsidRPr="00C33F4C">
        <w:t>.1.3.1- Lascas.</w: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t xml:space="preserve">Em termos morfológicos, os suportes obtidos através das várias cadeias operatórias identificadas neste sítio, assunto que se desenvolverá mais a frente, têm uma </w:t>
      </w:r>
      <w:r>
        <w:lastRenderedPageBreak/>
        <w:t>tendência evidente para apresentar um comprimento registado inferior, igual ou ligeiramente superior à largura</w:t>
      </w:r>
      <w:r w:rsidRPr="00037E2E">
        <w:rPr>
          <w:sz w:val="22"/>
          <w:szCs w:val="22"/>
        </w:rPr>
        <w:t xml:space="preserve"> </w:t>
      </w:r>
      <w:r>
        <w:rPr>
          <w:sz w:val="22"/>
          <w:szCs w:val="22"/>
        </w:rPr>
        <w:t>(</w:t>
      </w:r>
      <w:r w:rsidRPr="00B8245C">
        <w:rPr>
          <w:sz w:val="22"/>
          <w:szCs w:val="22"/>
        </w:rPr>
        <w:t>Gráfico 6.1.</w:t>
      </w:r>
      <w:r>
        <w:rPr>
          <w:sz w:val="22"/>
          <w:szCs w:val="22"/>
        </w:rPr>
        <w:t>9)</w:t>
      </w:r>
      <w:r>
        <w:t>. Os suportes cujas dimensões encaixam na definição correntemente aceite para suportes laminares, são escassos. Em termos de dimensões, a grande maioria das lascas estudadas encaixa num padrão que se desenvolve entre os 20 e 50 mm de comprimento por 15 a 40 mm de largura. A média geral em termos de dimensão é de 37,54 de comprimento por 27,33 de largura.</w:t>
      </w:r>
    </w:p>
    <w:p w:rsidR="00A34B7A" w:rsidRDefault="00A34B7A" w:rsidP="00A34B7A">
      <w:pPr>
        <w:autoSpaceDE w:val="0"/>
        <w:autoSpaceDN w:val="0"/>
        <w:adjustRightInd w:val="0"/>
      </w:pPr>
    </w:p>
    <w:p w:rsidR="00A34B7A" w:rsidRDefault="00EA3774" w:rsidP="00A34B7A">
      <w:pPr>
        <w:autoSpaceDE w:val="0"/>
        <w:autoSpaceDN w:val="0"/>
        <w:adjustRightInd w:val="0"/>
        <w:jc w:val="center"/>
        <w:rPr>
          <w:noProof/>
        </w:rPr>
      </w:pPr>
      <w:r>
        <w:rPr>
          <w:noProof/>
          <w:lang w:eastAsia="en-US"/>
        </w:rPr>
        <w:pict>
          <v:shape id="_x0000_s1058" type="#_x0000_t202" style="position:absolute;left:0;text-align:left;margin-left:15.8pt;margin-top:280.1pt;width:392.15pt;height:34.75pt;z-index:251699200;mso-width-relative:margin;mso-height-relative:margin" stroked="f">
            <v:textbox style="mso-next-textbox:#_x0000_s1058">
              <w:txbxContent>
                <w:p w:rsidR="00B34B0F" w:rsidRPr="00B8245C" w:rsidRDefault="00B34B0F" w:rsidP="00A34B7A">
                  <w:pPr>
                    <w:jc w:val="both"/>
                    <w:rPr>
                      <w:sz w:val="22"/>
                      <w:szCs w:val="22"/>
                    </w:rPr>
                  </w:pPr>
                  <w:r w:rsidRPr="00B8245C">
                    <w:rPr>
                      <w:sz w:val="22"/>
                      <w:szCs w:val="22"/>
                    </w:rPr>
                    <w:t>Gráfico 6.1.</w:t>
                  </w:r>
                  <w:r>
                    <w:rPr>
                      <w:sz w:val="22"/>
                      <w:szCs w:val="22"/>
                    </w:rPr>
                    <w:t>9</w:t>
                  </w:r>
                  <w:r w:rsidRPr="00B8245C">
                    <w:rPr>
                      <w:sz w:val="22"/>
                      <w:szCs w:val="22"/>
                    </w:rPr>
                    <w:t>- Relação e</w:t>
                  </w:r>
                  <w:r>
                    <w:rPr>
                      <w:sz w:val="22"/>
                      <w:szCs w:val="22"/>
                    </w:rPr>
                    <w:t xml:space="preserve">ntre o comprimento e a largura </w:t>
                  </w:r>
                  <w:r w:rsidRPr="00B8245C">
                    <w:rPr>
                      <w:sz w:val="22"/>
                      <w:szCs w:val="22"/>
                    </w:rPr>
                    <w:t>das lascas recolhidas n</w:t>
                  </w:r>
                  <w:r>
                    <w:rPr>
                      <w:sz w:val="22"/>
                      <w:szCs w:val="22"/>
                    </w:rPr>
                    <w:t>a estação dos</w:t>
                  </w:r>
                  <w:r w:rsidRPr="00B8245C">
                    <w:rPr>
                      <w:sz w:val="22"/>
                      <w:szCs w:val="22"/>
                    </w:rPr>
                    <w:t xml:space="preserve"> Pegos do Tejo 2.  </w:t>
                  </w:r>
                </w:p>
                <w:p w:rsidR="00B34B0F" w:rsidRDefault="00B34B0F" w:rsidP="00A34B7A"/>
              </w:txbxContent>
            </v:textbox>
          </v:shape>
        </w:pict>
      </w:r>
      <w:r w:rsidR="00A34B7A">
        <w:rPr>
          <w:noProof/>
        </w:rPr>
        <w:object w:dxaOrig="11208" w:dyaOrig="6337">
          <v:shape id="_x0000_i1033" type="#_x0000_t75" style="width:427.8pt;height:271.25pt" o:ole="">
            <v:imagedata r:id="rId68" o:title=""/>
          </v:shape>
          <o:OLEObject Type="Embed" ProgID="Excel.Sheet.12" ShapeID="_x0000_i1033" DrawAspect="Content" ObjectID="_1556969313" r:id="rId69"/>
        </w:objec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spacing w:line="360" w:lineRule="auto"/>
        <w:ind w:firstLine="708"/>
        <w:jc w:val="both"/>
        <w:rPr>
          <w:noProof/>
        </w:rPr>
      </w:pPr>
    </w:p>
    <w:p w:rsidR="00A34B7A" w:rsidRDefault="00A34B7A" w:rsidP="00A34B7A">
      <w:pPr>
        <w:autoSpaceDE w:val="0"/>
        <w:autoSpaceDN w:val="0"/>
        <w:adjustRightInd w:val="0"/>
        <w:spacing w:line="360" w:lineRule="auto"/>
        <w:ind w:firstLine="708"/>
        <w:jc w:val="both"/>
      </w:pPr>
      <w:r>
        <w:rPr>
          <w:noProof/>
        </w:rPr>
        <w:t>As lascas recolhidas na estação dos Pegos do Tejo 2 são robustas apresentando uma espessura média de 32.08mm</w:t>
      </w:r>
      <w:r w:rsidRPr="00037E2E">
        <w:rPr>
          <w:sz w:val="22"/>
          <w:szCs w:val="22"/>
        </w:rPr>
        <w:t xml:space="preserve"> </w:t>
      </w:r>
      <w:r>
        <w:rPr>
          <w:sz w:val="22"/>
          <w:szCs w:val="22"/>
        </w:rPr>
        <w:t>(</w:t>
      </w:r>
      <w:r w:rsidRPr="00B8245C">
        <w:rPr>
          <w:sz w:val="22"/>
          <w:szCs w:val="22"/>
        </w:rPr>
        <w:t>Gráfico 6.1.</w:t>
      </w:r>
      <w:r>
        <w:rPr>
          <w:sz w:val="22"/>
          <w:szCs w:val="22"/>
        </w:rPr>
        <w:t>10)</w:t>
      </w:r>
      <w:r>
        <w:rPr>
          <w:noProof/>
        </w:rPr>
        <w:t xml:space="preserve">. Em termos de variação, a espessura das peças analisadas vai de 4,25mm a 67.21mm. </w:t>
      </w:r>
      <w:r>
        <w:t>No que diz respeito às lascas, foi registado, ainda, o número de negativos de levantamentos presentes na face dorsal de cada lasca e a sua orientação</w:t>
      </w:r>
      <w:r w:rsidRPr="00037E2E">
        <w:rPr>
          <w:sz w:val="22"/>
          <w:szCs w:val="22"/>
        </w:rPr>
        <w:t xml:space="preserve"> </w:t>
      </w:r>
      <w:r>
        <w:rPr>
          <w:sz w:val="22"/>
          <w:szCs w:val="22"/>
        </w:rPr>
        <w:t>(</w:t>
      </w:r>
      <w:r w:rsidRPr="00B8245C">
        <w:rPr>
          <w:sz w:val="22"/>
          <w:szCs w:val="22"/>
        </w:rPr>
        <w:t>Gráfico 6.1</w:t>
      </w:r>
      <w:r>
        <w:rPr>
          <w:sz w:val="22"/>
          <w:szCs w:val="22"/>
        </w:rPr>
        <w:t>.11)</w:t>
      </w:r>
      <w:r>
        <w:t>. Estes dados podem trazer indícios importantes sobre as sequências de talhe empregues na estação dos Pegos do Tejo 2. Desse modo, é possível verificar que a grande maioria das lascas recolhidas apresenta um número reduzido de negativos de levantamento anteriores. A soma dos dois subconjuntos mais numerosos (2 e 3 levantamentos) representa 56 % da população.</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EA3774" w:rsidP="00A34B7A">
      <w:pPr>
        <w:autoSpaceDE w:val="0"/>
        <w:autoSpaceDN w:val="0"/>
        <w:adjustRightInd w:val="0"/>
        <w:jc w:val="center"/>
        <w:rPr>
          <w:noProof/>
        </w:rPr>
      </w:pPr>
      <w:r>
        <w:rPr>
          <w:noProof/>
          <w:lang w:eastAsia="en-US"/>
        </w:rPr>
        <w:lastRenderedPageBreak/>
        <w:pict>
          <v:shape id="_x0000_s1059" type="#_x0000_t202" style="position:absolute;left:0;text-align:left;margin-left:15.8pt;margin-top:254.6pt;width:395.95pt;height:35.9pt;z-index:251700224;mso-width-relative:margin;mso-height-relative:margin" stroked="f">
            <v:textbox style="mso-next-textbox:#_x0000_s1059">
              <w:txbxContent>
                <w:p w:rsidR="00B34B0F" w:rsidRPr="00B8245C" w:rsidRDefault="00B34B0F" w:rsidP="00A34B7A">
                  <w:pPr>
                    <w:jc w:val="both"/>
                    <w:rPr>
                      <w:sz w:val="22"/>
                      <w:szCs w:val="22"/>
                    </w:rPr>
                  </w:pPr>
                  <w:r w:rsidRPr="00B8245C">
                    <w:rPr>
                      <w:sz w:val="22"/>
                      <w:szCs w:val="22"/>
                    </w:rPr>
                    <w:t>Gráfico 6.1.</w:t>
                  </w:r>
                  <w:r>
                    <w:rPr>
                      <w:sz w:val="22"/>
                      <w:szCs w:val="22"/>
                    </w:rPr>
                    <w:t>10- R</w:t>
                  </w:r>
                  <w:r w:rsidRPr="00B8245C">
                    <w:rPr>
                      <w:sz w:val="22"/>
                      <w:szCs w:val="22"/>
                    </w:rPr>
                    <w:t xml:space="preserve">elação entre a largura e a espessura das lascas recolhidas na estação dos Pegos do Tejo 2.  </w:t>
                  </w:r>
                </w:p>
                <w:p w:rsidR="00B34B0F" w:rsidRDefault="00B34B0F" w:rsidP="00A34B7A"/>
              </w:txbxContent>
            </v:textbox>
          </v:shape>
        </w:pict>
      </w:r>
      <w:r w:rsidR="00A34B7A">
        <w:rPr>
          <w:noProof/>
        </w:rPr>
        <w:object w:dxaOrig="11044" w:dyaOrig="6067">
          <v:shape id="_x0000_i1034" type="#_x0000_t75" style="width:424.45pt;height:260.35pt" o:ole="">
            <v:imagedata r:id="rId70" o:title=""/>
          </v:shape>
          <o:OLEObject Type="Embed" ProgID="Excel.Sheet.12" ShapeID="_x0000_i1034" DrawAspect="Content" ObjectID="_1556969314" r:id="rId71"/>
        </w:object>
      </w: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t>Se a esse conjunto se adicionar os dois subconjuntos seguintes (1 e 4 levantamentos) obtém-se um total de 81% da totalidade das lascas analisadas. As duas últimas categorias (residuais) apresentadas, 15 e 22 levantamentos, com um exemplar cada correspondem, num caso, a uma peça de talhe bifacial mas que dificilmente se enquadra na definição de biface e, no outro, ao biface propriamente dito apresentado na foto 6.1.1.</w:t>
      </w:r>
    </w:p>
    <w:p w:rsidR="00A34B7A" w:rsidRDefault="00A34B7A" w:rsidP="00A34B7A">
      <w:pPr>
        <w:autoSpaceDE w:val="0"/>
        <w:autoSpaceDN w:val="0"/>
        <w:adjustRightInd w:val="0"/>
        <w:rPr>
          <w:noProof/>
        </w:rPr>
      </w:pPr>
    </w:p>
    <w:p w:rsidR="00A34B7A" w:rsidRPr="001E2B1B" w:rsidRDefault="00EA3774" w:rsidP="00A34B7A">
      <w:pPr>
        <w:autoSpaceDE w:val="0"/>
        <w:autoSpaceDN w:val="0"/>
        <w:adjustRightInd w:val="0"/>
        <w:jc w:val="center"/>
        <w:rPr>
          <w:noProof/>
        </w:rPr>
      </w:pPr>
      <w:r>
        <w:rPr>
          <w:noProof/>
          <w:lang w:eastAsia="en-US"/>
        </w:rPr>
        <w:pict>
          <v:shape id="_x0000_s1060" type="#_x0000_t202" style="position:absolute;left:0;text-align:left;margin-left:43.2pt;margin-top:222.2pt;width:344.35pt;height:42.6pt;z-index:251701248;mso-width-relative:margin;mso-height-relative:margin" stroked="f">
            <v:textbox style="mso-next-textbox:#_x0000_s1060">
              <w:txbxContent>
                <w:p w:rsidR="00B34B0F" w:rsidRPr="00B8245C" w:rsidRDefault="00B34B0F" w:rsidP="00A34B7A">
                  <w:pPr>
                    <w:jc w:val="both"/>
                    <w:rPr>
                      <w:sz w:val="22"/>
                      <w:szCs w:val="22"/>
                    </w:rPr>
                  </w:pPr>
                  <w:r w:rsidRPr="00B8245C">
                    <w:rPr>
                      <w:sz w:val="22"/>
                      <w:szCs w:val="22"/>
                    </w:rPr>
                    <w:t>Gráfico 6.1</w:t>
                  </w:r>
                  <w:r>
                    <w:rPr>
                      <w:sz w:val="22"/>
                      <w:szCs w:val="22"/>
                    </w:rPr>
                    <w:t>.11- N</w:t>
                  </w:r>
                  <w:r w:rsidRPr="00B8245C">
                    <w:rPr>
                      <w:sz w:val="22"/>
                      <w:szCs w:val="22"/>
                    </w:rPr>
                    <w:t>úmero de negativos de levantamentos registados na face dorsal das lascas recolhidos na estação dos Pegos do Tejo 2.</w:t>
                  </w:r>
                </w:p>
                <w:p w:rsidR="00B34B0F" w:rsidRDefault="00B34B0F" w:rsidP="00A34B7A"/>
              </w:txbxContent>
            </v:textbox>
          </v:shape>
        </w:pict>
      </w:r>
      <w:r w:rsidR="00A34B7A">
        <w:rPr>
          <w:noProof/>
        </w:rPr>
        <w:object w:dxaOrig="8234" w:dyaOrig="5301">
          <v:shape id="_x0000_i1035" type="#_x0000_t75" style="width:5in;height:231.05pt" o:ole="">
            <v:imagedata r:id="rId72" o:title=""/>
          </v:shape>
          <o:OLEObject Type="Embed" ProgID="Excel.Sheet.12" ShapeID="_x0000_i1035" DrawAspect="Content" ObjectID="_1556969315" r:id="rId73"/>
        </w:objec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lastRenderedPageBreak/>
        <w:t>No que diz respeito à orientação dos negativos dos levantamentos verifica-se que, na maioria, estes seguem uma orientação centrípeta (58%) seguido por um menor número de lascas a apresentarem uma sequência de debitagem em que as lascas são produzidas através de levantamentos paralelos</w:t>
      </w:r>
      <w:r w:rsidRPr="00037E2E">
        <w:rPr>
          <w:sz w:val="22"/>
          <w:szCs w:val="22"/>
        </w:rPr>
        <w:t xml:space="preserve"> </w:t>
      </w:r>
      <w:r>
        <w:rPr>
          <w:sz w:val="22"/>
          <w:szCs w:val="22"/>
        </w:rPr>
        <w:t>(</w:t>
      </w:r>
      <w:r w:rsidRPr="00B8245C">
        <w:rPr>
          <w:sz w:val="22"/>
          <w:szCs w:val="22"/>
        </w:rPr>
        <w:t>Gráfico 6.1.1</w:t>
      </w:r>
      <w:r>
        <w:rPr>
          <w:sz w:val="22"/>
          <w:szCs w:val="22"/>
        </w:rPr>
        <w:t>2)</w:t>
      </w:r>
      <w:r>
        <w:t>. Estes levantamentos paralelos podem derivar de um modo de debitagem chamado Acheulense e identificado nesta estação.</w:t>
      </w:r>
    </w:p>
    <w:p w:rsidR="00A34B7A" w:rsidRDefault="00EA3774" w:rsidP="00A34B7A">
      <w:pPr>
        <w:autoSpaceDE w:val="0"/>
        <w:autoSpaceDN w:val="0"/>
        <w:adjustRightInd w:val="0"/>
        <w:spacing w:line="360" w:lineRule="auto"/>
        <w:jc w:val="center"/>
      </w:pPr>
      <w:r>
        <w:rPr>
          <w:noProof/>
          <w:lang w:eastAsia="en-US"/>
        </w:rPr>
        <w:pict>
          <v:shape id="_x0000_s1061" type="#_x0000_t202" style="position:absolute;left:0;text-align:left;margin-left:31.7pt;margin-top:185.15pt;width:358.55pt;height:34.25pt;z-index:251702272;mso-width-relative:margin;mso-height-relative:margin" stroked="f">
            <v:textbox style="mso-next-textbox:#_x0000_s1061">
              <w:txbxContent>
                <w:p w:rsidR="00B34B0F" w:rsidRPr="00B8245C" w:rsidRDefault="00B34B0F" w:rsidP="00A34B7A">
                  <w:pPr>
                    <w:jc w:val="both"/>
                    <w:rPr>
                      <w:sz w:val="22"/>
                      <w:szCs w:val="22"/>
                    </w:rPr>
                  </w:pPr>
                  <w:r w:rsidRPr="00B8245C">
                    <w:rPr>
                      <w:sz w:val="22"/>
                      <w:szCs w:val="22"/>
                    </w:rPr>
                    <w:t>Gráfico 6.1.1</w:t>
                  </w:r>
                  <w:r>
                    <w:rPr>
                      <w:sz w:val="22"/>
                      <w:szCs w:val="22"/>
                    </w:rPr>
                    <w:t>2</w:t>
                  </w:r>
                  <w:r w:rsidRPr="00B8245C">
                    <w:rPr>
                      <w:sz w:val="22"/>
                      <w:szCs w:val="22"/>
                    </w:rPr>
                    <w:t xml:space="preserve">- Orientação dos negativos de levantamentos registados na face dorsal das lascas recolhidos na estação dos Pegos do Tejo 2.  </w:t>
                  </w:r>
                </w:p>
                <w:p w:rsidR="00B34B0F" w:rsidRDefault="00B34B0F" w:rsidP="00A34B7A"/>
              </w:txbxContent>
            </v:textbox>
          </v:shape>
        </w:pict>
      </w:r>
      <w:r w:rsidR="00A34B7A">
        <w:rPr>
          <w:noProof/>
        </w:rPr>
        <w:object w:dxaOrig="7212" w:dyaOrig="4085">
          <v:shape id="_x0000_i1036" type="#_x0000_t75" style="width:378.4pt;height:214.35pt" o:ole="">
            <v:imagedata r:id="rId74" o:title=""/>
          </v:shape>
          <o:OLEObject Type="Embed" ProgID="Excel.Sheet.12" ShapeID="_x0000_i1036" DrawAspect="Content" ObjectID="_1556969316" r:id="rId75"/>
        </w:object>
      </w:r>
    </w:p>
    <w:p w:rsidR="00A34B7A" w:rsidRDefault="00A34B7A" w:rsidP="00A34B7A">
      <w:pPr>
        <w:autoSpaceDE w:val="0"/>
        <w:autoSpaceDN w:val="0"/>
        <w:adjustRightInd w:val="0"/>
        <w:spacing w:line="360" w:lineRule="auto"/>
      </w:pPr>
    </w:p>
    <w:p w:rsidR="00A34B7A" w:rsidRDefault="00A34B7A" w:rsidP="00A34B7A">
      <w:pPr>
        <w:autoSpaceDE w:val="0"/>
        <w:autoSpaceDN w:val="0"/>
        <w:adjustRightInd w:val="0"/>
        <w:spacing w:line="360" w:lineRule="auto"/>
        <w:ind w:firstLine="708"/>
        <w:jc w:val="both"/>
      </w:pPr>
      <w:r>
        <w:t>O talão das lascas recolhidas nesta estação foi analisado em duas vertentes. A primeira diz respeito ao perfil do talão</w:t>
      </w:r>
      <w:r w:rsidRPr="00D6711C">
        <w:rPr>
          <w:sz w:val="22"/>
          <w:szCs w:val="22"/>
        </w:rPr>
        <w:t xml:space="preserve"> </w:t>
      </w:r>
      <w:r>
        <w:rPr>
          <w:sz w:val="22"/>
          <w:szCs w:val="22"/>
        </w:rPr>
        <w:t>(</w:t>
      </w:r>
      <w:r w:rsidRPr="00B8245C">
        <w:rPr>
          <w:sz w:val="22"/>
          <w:szCs w:val="22"/>
        </w:rPr>
        <w:t>Gráfico 6.1.1</w:t>
      </w:r>
      <w:r>
        <w:rPr>
          <w:sz w:val="22"/>
          <w:szCs w:val="22"/>
        </w:rPr>
        <w:t>3)</w:t>
      </w:r>
      <w:r>
        <w:t>. Nesta colecção verifica-se que predominam talões planos (44%) seguidos de talões de perfil convexo (31%), e finalmente talões de perfil côncavo (23%). Em 2% dos casos o talão estava ausente por fractura da peça.</w:t>
      </w:r>
    </w:p>
    <w:p w:rsidR="00A34B7A" w:rsidRDefault="00EA3774" w:rsidP="00A34B7A">
      <w:pPr>
        <w:autoSpaceDE w:val="0"/>
        <w:autoSpaceDN w:val="0"/>
        <w:adjustRightInd w:val="0"/>
        <w:jc w:val="center"/>
      </w:pPr>
      <w:r>
        <w:rPr>
          <w:noProof/>
          <w:lang w:eastAsia="en-US"/>
        </w:rPr>
        <w:pict>
          <v:shape id="_x0000_s1062" type="#_x0000_t202" style="position:absolute;left:0;text-align:left;margin-left:13.4pt;margin-top:204.1pt;width:398.6pt;height:33.65pt;z-index:251703296;mso-height-percent:200;mso-height-percent:200;mso-width-relative:margin;mso-height-relative:margin" stroked="f">
            <v:textbox style="mso-next-textbox:#_x0000_s1062;mso-fit-shape-to-text:t">
              <w:txbxContent>
                <w:p w:rsidR="00B34B0F" w:rsidRPr="00B8245C" w:rsidRDefault="00B34B0F" w:rsidP="00A34B7A">
                  <w:pPr>
                    <w:jc w:val="both"/>
                    <w:rPr>
                      <w:sz w:val="22"/>
                      <w:szCs w:val="22"/>
                    </w:rPr>
                  </w:pPr>
                  <w:r w:rsidRPr="00B8245C">
                    <w:rPr>
                      <w:sz w:val="22"/>
                      <w:szCs w:val="22"/>
                    </w:rPr>
                    <w:t>Gráfico 6.1.1</w:t>
                  </w:r>
                  <w:r>
                    <w:rPr>
                      <w:sz w:val="22"/>
                      <w:szCs w:val="22"/>
                    </w:rPr>
                    <w:t>3</w:t>
                  </w:r>
                  <w:r w:rsidRPr="00B8245C">
                    <w:rPr>
                      <w:sz w:val="22"/>
                      <w:szCs w:val="22"/>
                    </w:rPr>
                    <w:t xml:space="preserve">- Perfil do talão das lascas recolhidos na estação dos Pegos do Tejo 2.  </w:t>
                  </w:r>
                </w:p>
                <w:p w:rsidR="00B34B0F" w:rsidRDefault="00B34B0F" w:rsidP="00A34B7A"/>
              </w:txbxContent>
            </v:textbox>
          </v:shape>
        </w:pict>
      </w:r>
      <w:r w:rsidR="00A34B7A">
        <w:rPr>
          <w:noProof/>
        </w:rPr>
        <w:t xml:space="preserve">     </w:t>
      </w:r>
      <w:r w:rsidR="00A34B7A">
        <w:rPr>
          <w:noProof/>
        </w:rPr>
        <w:object w:dxaOrig="7212" w:dyaOrig="4085">
          <v:shape id="_x0000_i1037" type="#_x0000_t75" style="width:382.6pt;height:3in" o:ole="">
            <v:imagedata r:id="rId76" o:title=""/>
          </v:shape>
          <o:OLEObject Type="Embed" ProgID="Excel.Sheet.12" ShapeID="_x0000_i1037" DrawAspect="Content" ObjectID="_1556969317" r:id="rId77"/>
        </w:object>
      </w:r>
    </w:p>
    <w:p w:rsidR="00A34B7A" w:rsidRDefault="00A34B7A" w:rsidP="00A34B7A">
      <w:pPr>
        <w:autoSpaceDE w:val="0"/>
        <w:autoSpaceDN w:val="0"/>
        <w:adjustRightInd w:val="0"/>
        <w:spacing w:line="360" w:lineRule="auto"/>
        <w:ind w:firstLine="708"/>
        <w:jc w:val="both"/>
      </w:pPr>
      <w:r>
        <w:lastRenderedPageBreak/>
        <w:t>O segundo factor analisado foi a morfologia do talão</w:t>
      </w:r>
      <w:r w:rsidRPr="00D6711C">
        <w:rPr>
          <w:sz w:val="22"/>
          <w:szCs w:val="22"/>
        </w:rPr>
        <w:t xml:space="preserve"> </w:t>
      </w:r>
      <w:r>
        <w:rPr>
          <w:sz w:val="22"/>
          <w:szCs w:val="22"/>
        </w:rPr>
        <w:t>(</w:t>
      </w:r>
      <w:r w:rsidRPr="00B8245C">
        <w:rPr>
          <w:sz w:val="22"/>
          <w:szCs w:val="22"/>
        </w:rPr>
        <w:t>Gráfico 6.1.1</w:t>
      </w:r>
      <w:r>
        <w:rPr>
          <w:sz w:val="22"/>
          <w:szCs w:val="22"/>
        </w:rPr>
        <w:t>4)</w:t>
      </w:r>
      <w:r>
        <w:t>. A morfologia do talão pode trazer alguns indícios sobre as cadeias operatórias a que recorreram os frequentadores desta estação. Observa-se algum equilíbrio entre os talões de morfologia trapezoidal e de morfologia triangular, somando, respectivamente, 37 % e 33% da população total. De seguida aparece o talão em “hífen” ou “</w:t>
      </w:r>
      <w:r w:rsidRPr="008E521B">
        <w:rPr>
          <w:i/>
        </w:rPr>
        <w:t>Chapeau de gendarme</w:t>
      </w:r>
      <w:r>
        <w:t xml:space="preserve">” normalmente associado ao talhe </w:t>
      </w:r>
      <w:r w:rsidRPr="00E30FE1">
        <w:rPr>
          <w:i/>
        </w:rPr>
        <w:t>Levallois</w:t>
      </w:r>
      <w:r>
        <w:t>. O talão de morfologia linear (9%), em ponto (5%) e facetado (5%) completam o resto do material analisado.</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jc w:val="center"/>
      </w:pPr>
      <w:r>
        <w:rPr>
          <w:noProof/>
        </w:rPr>
        <w:object w:dxaOrig="9075" w:dyaOrig="5121">
          <v:shape id="_x0000_i1038" type="#_x0000_t75" style="width:424.45pt;height:238.6pt" o:ole="">
            <v:imagedata r:id="rId78" o:title=""/>
          </v:shape>
          <o:OLEObject Type="Embed" ProgID="Excel.Sheet.12" ShapeID="_x0000_i1038" DrawAspect="Content" ObjectID="_1556969318" r:id="rId79"/>
        </w:object>
      </w:r>
    </w:p>
    <w:p w:rsidR="00A34B7A" w:rsidRDefault="00EA3774" w:rsidP="00A34B7A">
      <w:pPr>
        <w:autoSpaceDE w:val="0"/>
        <w:autoSpaceDN w:val="0"/>
        <w:adjustRightInd w:val="0"/>
      </w:pPr>
      <w:r>
        <w:rPr>
          <w:noProof/>
          <w:lang w:eastAsia="en-US"/>
        </w:rPr>
        <w:pict>
          <v:shape id="_x0000_s1063" type="#_x0000_t202" style="position:absolute;margin-left:0;margin-top:0;width:417pt;height:33.65pt;z-index:251704320;mso-height-percent:200;mso-position-horizontal:center;mso-height-percent:200;mso-width-relative:margin;mso-height-relative:margin" stroked="f">
            <v:textbox style="mso-next-textbox:#_x0000_s1063;mso-fit-shape-to-text:t">
              <w:txbxContent>
                <w:p w:rsidR="00B34B0F" w:rsidRPr="00B8245C" w:rsidRDefault="00B34B0F" w:rsidP="00A34B7A">
                  <w:pPr>
                    <w:jc w:val="both"/>
                    <w:rPr>
                      <w:sz w:val="22"/>
                      <w:szCs w:val="22"/>
                    </w:rPr>
                  </w:pPr>
                  <w:r w:rsidRPr="00B8245C">
                    <w:rPr>
                      <w:sz w:val="22"/>
                      <w:szCs w:val="22"/>
                    </w:rPr>
                    <w:t>Gráfico 6.1.1</w:t>
                  </w:r>
                  <w:r>
                    <w:rPr>
                      <w:sz w:val="22"/>
                      <w:szCs w:val="22"/>
                    </w:rPr>
                    <w:t>4</w:t>
                  </w:r>
                  <w:r w:rsidRPr="00B8245C">
                    <w:rPr>
                      <w:sz w:val="22"/>
                      <w:szCs w:val="22"/>
                    </w:rPr>
                    <w:t xml:space="preserve">- Morfologia do talão das lascas recolhidos na estação dos Pegos do Tejo 2.  </w:t>
                  </w:r>
                </w:p>
                <w:p w:rsidR="00B34B0F" w:rsidRPr="00022E38" w:rsidRDefault="00B34B0F" w:rsidP="00A34B7A"/>
              </w:txbxContent>
            </v:textbox>
          </v:shape>
        </w:pic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t>No que à relação entre comprimento e espessura dos talões desta coleção diz respeito, verifica-se que existe alguma variação nas dimensões registadas neste conjunto</w:t>
      </w:r>
      <w:r w:rsidRPr="00D6711C">
        <w:rPr>
          <w:sz w:val="22"/>
          <w:szCs w:val="22"/>
        </w:rPr>
        <w:t xml:space="preserve"> </w:t>
      </w:r>
      <w:r>
        <w:rPr>
          <w:sz w:val="22"/>
          <w:szCs w:val="22"/>
        </w:rPr>
        <w:t>(</w:t>
      </w:r>
      <w:r w:rsidRPr="00B8245C">
        <w:rPr>
          <w:sz w:val="22"/>
          <w:szCs w:val="22"/>
        </w:rPr>
        <w:t>Gráfico 6.1.1</w:t>
      </w:r>
      <w:r>
        <w:rPr>
          <w:sz w:val="22"/>
          <w:szCs w:val="22"/>
        </w:rPr>
        <w:t>5)</w:t>
      </w:r>
      <w:r>
        <w:t>. A média do comprimento do talão é de 16,99 mm dentro de um universo que vai dos 2,7 mm aos 48,8 mm. No que à largura do talão se refere, a média apresentada é de 12,37mm. O conjunto analisado espraia-se entre os 1,71 mm e os 25,89 mm.</w:t>
      </w:r>
    </w:p>
    <w:p w:rsidR="00A34B7A" w:rsidRDefault="00A34B7A" w:rsidP="00A34B7A">
      <w:pPr>
        <w:autoSpaceDE w:val="0"/>
        <w:autoSpaceDN w:val="0"/>
        <w:adjustRightInd w:val="0"/>
      </w:pPr>
    </w:p>
    <w:p w:rsidR="00A34B7A" w:rsidRDefault="00EA3774" w:rsidP="00A34B7A">
      <w:pPr>
        <w:autoSpaceDE w:val="0"/>
        <w:autoSpaceDN w:val="0"/>
        <w:adjustRightInd w:val="0"/>
        <w:jc w:val="center"/>
      </w:pPr>
      <w:r>
        <w:rPr>
          <w:noProof/>
          <w:lang w:eastAsia="en-US"/>
        </w:rPr>
        <w:lastRenderedPageBreak/>
        <w:pict>
          <v:shape id="_x0000_s1064" type="#_x0000_t202" style="position:absolute;left:0;text-align:left;margin-left:.45pt;margin-top:256.1pt;width:439.2pt;height:41.9pt;z-index:251705344;mso-width-relative:margin;mso-height-relative:margin" stroked="f">
            <v:textbox style="mso-next-textbox:#_x0000_s1064">
              <w:txbxContent>
                <w:p w:rsidR="00B34B0F" w:rsidRPr="00B8245C" w:rsidRDefault="00B34B0F" w:rsidP="00A34B7A">
                  <w:pPr>
                    <w:jc w:val="both"/>
                    <w:rPr>
                      <w:sz w:val="22"/>
                      <w:szCs w:val="22"/>
                    </w:rPr>
                  </w:pPr>
                  <w:r w:rsidRPr="00B8245C">
                    <w:rPr>
                      <w:sz w:val="22"/>
                      <w:szCs w:val="22"/>
                    </w:rPr>
                    <w:t>Gráfico 6.1.1</w:t>
                  </w:r>
                  <w:r>
                    <w:rPr>
                      <w:sz w:val="22"/>
                      <w:szCs w:val="22"/>
                    </w:rPr>
                    <w:t>5</w:t>
                  </w:r>
                  <w:r w:rsidRPr="00B8245C">
                    <w:rPr>
                      <w:sz w:val="22"/>
                      <w:szCs w:val="22"/>
                    </w:rPr>
                    <w:t xml:space="preserve">- Relação entre o comprimento e a </w:t>
                  </w:r>
                  <w:r>
                    <w:rPr>
                      <w:sz w:val="22"/>
                      <w:szCs w:val="22"/>
                    </w:rPr>
                    <w:t>espessura</w:t>
                  </w:r>
                  <w:r w:rsidRPr="00B8245C">
                    <w:rPr>
                      <w:sz w:val="22"/>
                      <w:szCs w:val="22"/>
                    </w:rPr>
                    <w:t xml:space="preserve"> dos talões das lascas recolhidas nos Pegos do Tejo 2.  </w:t>
                  </w:r>
                </w:p>
                <w:p w:rsidR="00B34B0F" w:rsidRDefault="00B34B0F" w:rsidP="00A34B7A"/>
              </w:txbxContent>
            </v:textbox>
          </v:shape>
        </w:pict>
      </w:r>
      <w:r w:rsidR="00A34B7A">
        <w:rPr>
          <w:noProof/>
        </w:rPr>
        <w:object w:dxaOrig="8789" w:dyaOrig="4895">
          <v:shape id="_x0000_i1039" type="#_x0000_t75" style="width:425.3pt;height:252pt" o:ole="">
            <v:imagedata r:id="rId80" o:title=""/>
          </v:shape>
          <o:OLEObject Type="Embed" ProgID="Excel.Sheet.12" ShapeID="_x0000_i1039" DrawAspect="Content" ObjectID="_1556969319" r:id="rId81"/>
        </w:objec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Pr="00F7758C" w:rsidRDefault="00166C52" w:rsidP="00A34B7A">
      <w:pPr>
        <w:autoSpaceDE w:val="0"/>
        <w:autoSpaceDN w:val="0"/>
        <w:adjustRightInd w:val="0"/>
      </w:pPr>
      <w:r>
        <w:t>6.1</w:t>
      </w:r>
      <w:r w:rsidR="00A34B7A" w:rsidRPr="00F7758C">
        <w:t>.1.3.2.- Núcleos.</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Pr="00D6711C" w:rsidRDefault="00A34B7A" w:rsidP="00A34B7A">
      <w:pPr>
        <w:autoSpaceDE w:val="0"/>
        <w:autoSpaceDN w:val="0"/>
        <w:adjustRightInd w:val="0"/>
        <w:spacing w:line="360" w:lineRule="auto"/>
        <w:jc w:val="both"/>
        <w:rPr>
          <w:color w:val="FF0000"/>
        </w:rPr>
      </w:pPr>
      <w:r>
        <w:tab/>
        <w:t xml:space="preserve">Na estação dos Pegos do Tejo 2, identificaram-se 34 peças que pelas suas características (bases de produção de lascas) se consideraram como núcleos. Umas das características deste conjunto é a heterogeneidade destas peças em relação ao número de negativos de levantamentos que apresentam e á forma como a sequência de remoção das lascas se processa. Como podemos ver no gráfico 6.1.16, uma substancial parte destes núcleos (82%) apresentam entre 3 e 5 negativos de levantamentos. Os núcleos onde se registaram mais de 6 levantamentos somaram os restantes 18% do total do conjunto. De realçar que o núcleo </w:t>
      </w:r>
      <w:r w:rsidRPr="00144B5F">
        <w:rPr>
          <w:i/>
        </w:rPr>
        <w:t>Levallois</w:t>
      </w:r>
      <w:r>
        <w:t xml:space="preserve"> centrípeto recorrente, que se representa na </w:t>
      </w:r>
      <w:r w:rsidRPr="006820A4">
        <w:t>figura 6.1.3 n.º4,</w:t>
      </w:r>
      <w:r>
        <w:t xml:space="preserve"> embora apresente um maior número de negativos de levantamentos, não faz parte deste conjunto. Esta opção resulta do facto </w:t>
      </w:r>
      <w:proofErr w:type="gramStart"/>
      <w:r>
        <w:t>deste</w:t>
      </w:r>
      <w:proofErr w:type="gramEnd"/>
      <w:r>
        <w:t xml:space="preserve"> núcleo ter sido recolhido no corte aquando dos trabalhos de prospecção que levaram à identificação do sítio, não se conhecendo a sua posição exata, embora estratigraficamente a sua origem seja indubitavelmente da camada arqueológica. No entanto, devido à sua importância, será analisado no capítulo que se refere à análise </w:t>
      </w:r>
      <w:r w:rsidRPr="00936828">
        <w:t>diacrítica</w:t>
      </w:r>
      <w:r>
        <w:rPr>
          <w:color w:val="FF0000"/>
        </w:rPr>
        <w:t xml:space="preserve"> </w:t>
      </w:r>
      <w:r w:rsidRPr="002174EA">
        <w:t>dos núcleos</w:t>
      </w:r>
      <w:r>
        <w:t>.</w:t>
      </w:r>
    </w:p>
    <w:p w:rsidR="00A34B7A" w:rsidRDefault="00EA3774" w:rsidP="00A34B7A">
      <w:pPr>
        <w:autoSpaceDE w:val="0"/>
        <w:autoSpaceDN w:val="0"/>
        <w:adjustRightInd w:val="0"/>
        <w:jc w:val="center"/>
        <w:rPr>
          <w:noProof/>
        </w:rPr>
      </w:pPr>
      <w:r>
        <w:rPr>
          <w:noProof/>
          <w:lang w:eastAsia="en-US"/>
        </w:rPr>
        <w:lastRenderedPageBreak/>
        <w:pict>
          <v:shape id="_x0000_s1065" type="#_x0000_t202" style="position:absolute;left:0;text-align:left;margin-left:22.9pt;margin-top:213.35pt;width:382.35pt;height:46.3pt;z-index:251706368;mso-height-percent:200;mso-height-percent:200;mso-width-relative:margin;mso-height-relative:margin" stroked="f">
            <v:textbox style="mso-next-textbox:#_x0000_s1065;mso-fit-shape-to-text:t">
              <w:txbxContent>
                <w:p w:rsidR="00B34B0F" w:rsidRPr="00B8245C" w:rsidRDefault="00B34B0F" w:rsidP="00A34B7A">
                  <w:pPr>
                    <w:jc w:val="both"/>
                    <w:rPr>
                      <w:sz w:val="22"/>
                      <w:szCs w:val="22"/>
                    </w:rPr>
                  </w:pPr>
                  <w:r w:rsidRPr="00B8245C">
                    <w:rPr>
                      <w:sz w:val="22"/>
                      <w:szCs w:val="22"/>
                    </w:rPr>
                    <w:t>Gráfico 6.1.1</w:t>
                  </w:r>
                  <w:r>
                    <w:rPr>
                      <w:sz w:val="22"/>
                      <w:szCs w:val="22"/>
                    </w:rPr>
                    <w:t>6</w:t>
                  </w:r>
                  <w:r w:rsidRPr="00B8245C">
                    <w:rPr>
                      <w:sz w:val="22"/>
                      <w:szCs w:val="22"/>
                    </w:rPr>
                    <w:t xml:space="preserve">- Número de levantamentos registados nos núcleos recolhidos nos Pegos do Tejo 2.  </w:t>
                  </w:r>
                </w:p>
                <w:p w:rsidR="00B34B0F" w:rsidRDefault="00B34B0F" w:rsidP="00A34B7A"/>
              </w:txbxContent>
            </v:textbox>
          </v:shape>
        </w:pict>
      </w:r>
      <w:r w:rsidR="00A34B7A">
        <w:rPr>
          <w:noProof/>
        </w:rPr>
        <w:object w:dxaOrig="7707" w:dyaOrig="4806">
          <v:shape id="_x0000_i1040" type="#_x0000_t75" style="width:378.4pt;height:235.25pt" o:ole="">
            <v:imagedata r:id="rId82" o:title=""/>
          </v:shape>
          <o:OLEObject Type="Embed" ProgID="Excel.Sheet.12" ShapeID="_x0000_i1040" DrawAspect="Content" ObjectID="_1556969320" r:id="rId83"/>
        </w:object>
      </w: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A34B7A" w:rsidP="00A34B7A">
      <w:pPr>
        <w:autoSpaceDE w:val="0"/>
        <w:autoSpaceDN w:val="0"/>
        <w:adjustRightInd w:val="0"/>
        <w:spacing w:line="360" w:lineRule="auto"/>
        <w:jc w:val="both"/>
        <w:rPr>
          <w:noProof/>
        </w:rPr>
      </w:pPr>
    </w:p>
    <w:p w:rsidR="00A34B7A" w:rsidRDefault="00A34B7A" w:rsidP="00A34B7A">
      <w:pPr>
        <w:autoSpaceDE w:val="0"/>
        <w:autoSpaceDN w:val="0"/>
        <w:adjustRightInd w:val="0"/>
        <w:spacing w:line="360" w:lineRule="auto"/>
        <w:ind w:firstLine="708"/>
        <w:jc w:val="both"/>
        <w:rPr>
          <w:noProof/>
        </w:rPr>
      </w:pPr>
      <w:r>
        <w:rPr>
          <w:noProof/>
        </w:rPr>
        <w:t>Quando se analisam as dimensões dos núcleos nomeadamente a razão comprimento/ largura, verifica-se que existem dois conjuntos morfológicos onde se inserem os núcleos analisados (Gráfico</w:t>
      </w:r>
      <w:r w:rsidRPr="00B8245C">
        <w:rPr>
          <w:sz w:val="22"/>
          <w:szCs w:val="22"/>
        </w:rPr>
        <w:t xml:space="preserve"> 6.1.1</w:t>
      </w:r>
      <w:r>
        <w:rPr>
          <w:sz w:val="22"/>
          <w:szCs w:val="22"/>
        </w:rPr>
        <w:t>7)</w:t>
      </w:r>
      <w:r>
        <w:rPr>
          <w:noProof/>
        </w:rPr>
        <w:t>. O primeiro conjunto dispersa-se entre os 40/60 mm de comprimemto por 20/40 mm de largura. O segundo grupo vai dos 70 aos 110 mm de comprimento, por 40/65 de largura. Apenas 5 núcleos se localizam dimensionalmente fora destes dois grupos. Como se pode ver pelo que anteriormente foi referido, o primeiro conjunto de núcleos apresenta dimensões reduzidas, resultando obviamente daí lascas de dimensões reduzidas.</w:t>
      </w:r>
    </w:p>
    <w:p w:rsidR="00A34B7A" w:rsidRDefault="00EA3774" w:rsidP="00A34B7A">
      <w:pPr>
        <w:autoSpaceDE w:val="0"/>
        <w:autoSpaceDN w:val="0"/>
        <w:adjustRightInd w:val="0"/>
        <w:jc w:val="center"/>
        <w:rPr>
          <w:noProof/>
        </w:rPr>
      </w:pPr>
      <w:r>
        <w:rPr>
          <w:noProof/>
          <w:lang w:eastAsia="en-US"/>
        </w:rPr>
        <w:pict>
          <v:shape id="_x0000_s1066" type="#_x0000_t202" style="position:absolute;left:0;text-align:left;margin-left:3.45pt;margin-top:226.1pt;width:420.75pt;height:33.2pt;z-index:251707392;mso-width-relative:margin;mso-height-relative:margin" stroked="f">
            <v:textbox style="mso-next-textbox:#_x0000_s1066">
              <w:txbxContent>
                <w:p w:rsidR="00B34B0F" w:rsidRPr="00B8245C" w:rsidRDefault="00B34B0F" w:rsidP="00A34B7A">
                  <w:pPr>
                    <w:jc w:val="both"/>
                    <w:rPr>
                      <w:sz w:val="22"/>
                      <w:szCs w:val="22"/>
                    </w:rPr>
                  </w:pPr>
                  <w:r w:rsidRPr="00B8245C">
                    <w:rPr>
                      <w:sz w:val="22"/>
                      <w:szCs w:val="22"/>
                    </w:rPr>
                    <w:t>Gráfico 6.1.1</w:t>
                  </w:r>
                  <w:r>
                    <w:rPr>
                      <w:sz w:val="22"/>
                      <w:szCs w:val="22"/>
                    </w:rPr>
                    <w:t>7</w:t>
                  </w:r>
                  <w:r w:rsidRPr="00B8245C">
                    <w:rPr>
                      <w:sz w:val="22"/>
                      <w:szCs w:val="22"/>
                    </w:rPr>
                    <w:t xml:space="preserve">- Relação entre o comprimento e largura dos núcleos recolhidos nos Pegos do Tejo 2.  </w:t>
                  </w:r>
                </w:p>
                <w:p w:rsidR="00B34B0F" w:rsidRDefault="00B34B0F" w:rsidP="00A34B7A"/>
              </w:txbxContent>
            </v:textbox>
          </v:shape>
        </w:pict>
      </w:r>
      <w:r w:rsidR="00A34B7A">
        <w:rPr>
          <w:noProof/>
        </w:rPr>
        <w:object w:dxaOrig="7212" w:dyaOrig="4085">
          <v:shape id="_x0000_i1041" type="#_x0000_t75" style="width:412.75pt;height:234.4pt" o:ole="">
            <v:imagedata r:id="rId84" o:title=""/>
          </v:shape>
          <o:OLEObject Type="Embed" ProgID="Excel.Sheet.12" ShapeID="_x0000_i1041" DrawAspect="Content" ObjectID="_1556969321" r:id="rId85"/>
        </w:object>
      </w:r>
    </w:p>
    <w:p w:rsidR="00A34B7A" w:rsidRDefault="00A34B7A" w:rsidP="00A34B7A">
      <w:pPr>
        <w:autoSpaceDE w:val="0"/>
        <w:autoSpaceDN w:val="0"/>
        <w:adjustRightInd w:val="0"/>
        <w:rPr>
          <w:noProof/>
        </w:rPr>
      </w:pPr>
    </w:p>
    <w:p w:rsidR="00A34B7A" w:rsidRDefault="00A34B7A" w:rsidP="00A34B7A">
      <w:pPr>
        <w:autoSpaceDE w:val="0"/>
        <w:autoSpaceDN w:val="0"/>
        <w:adjustRightInd w:val="0"/>
        <w:spacing w:line="360" w:lineRule="auto"/>
        <w:ind w:firstLine="708"/>
        <w:jc w:val="both"/>
        <w:rPr>
          <w:noProof/>
        </w:rPr>
      </w:pPr>
      <w:r>
        <w:rPr>
          <w:noProof/>
        </w:rPr>
        <w:lastRenderedPageBreak/>
        <w:t>No que diz respeito á razão largura/espessura, e à razão comprimento/espessura, as ilações retiradas anteriormente não são tão aparentes embora ainda apareça a tendência para a existência de um grupo de menores dimensões, embora a distribuição se faça mais espalhada ao longo da reta de tendência (</w:t>
      </w:r>
      <w:r w:rsidRPr="00B8245C">
        <w:rPr>
          <w:sz w:val="22"/>
          <w:szCs w:val="22"/>
        </w:rPr>
        <w:t>Gráfico 6.1.1</w:t>
      </w:r>
      <w:r>
        <w:rPr>
          <w:sz w:val="22"/>
          <w:szCs w:val="22"/>
        </w:rPr>
        <w:t xml:space="preserve">8 e </w:t>
      </w:r>
      <w:r w:rsidRPr="00B8245C">
        <w:rPr>
          <w:sz w:val="22"/>
          <w:szCs w:val="22"/>
        </w:rPr>
        <w:t>Gráfico 6.1.1</w:t>
      </w:r>
      <w:r>
        <w:rPr>
          <w:sz w:val="22"/>
          <w:szCs w:val="22"/>
        </w:rPr>
        <w:t>9)</w:t>
      </w:r>
      <w:r>
        <w:rPr>
          <w:noProof/>
        </w:rPr>
        <w:t>.</w:t>
      </w:r>
    </w:p>
    <w:p w:rsidR="00A34B7A" w:rsidRDefault="00A34B7A" w:rsidP="00A34B7A">
      <w:pPr>
        <w:autoSpaceDE w:val="0"/>
        <w:autoSpaceDN w:val="0"/>
        <w:adjustRightInd w:val="0"/>
        <w:rPr>
          <w:noProof/>
        </w:rPr>
      </w:pPr>
    </w:p>
    <w:p w:rsidR="00A34B7A" w:rsidRDefault="00EA3774" w:rsidP="00A34B7A">
      <w:pPr>
        <w:autoSpaceDE w:val="0"/>
        <w:autoSpaceDN w:val="0"/>
        <w:adjustRightInd w:val="0"/>
        <w:jc w:val="center"/>
        <w:rPr>
          <w:noProof/>
        </w:rPr>
      </w:pPr>
      <w:r>
        <w:rPr>
          <w:noProof/>
          <w:lang w:eastAsia="en-US"/>
        </w:rPr>
        <w:pict>
          <v:shape id="_x0000_s1067" type="#_x0000_t202" style="position:absolute;left:0;text-align:left;margin-left:22.95pt;margin-top:212.75pt;width:386.25pt;height:34pt;z-index:251708416;mso-width-relative:margin;mso-height-relative:margin" stroked="f">
            <v:textbox style="mso-next-textbox:#_x0000_s1067">
              <w:txbxContent>
                <w:p w:rsidR="00B34B0F" w:rsidRPr="00B8245C" w:rsidRDefault="00B34B0F" w:rsidP="00A34B7A">
                  <w:pPr>
                    <w:jc w:val="both"/>
                    <w:rPr>
                      <w:sz w:val="22"/>
                      <w:szCs w:val="22"/>
                    </w:rPr>
                  </w:pPr>
                  <w:r w:rsidRPr="00B8245C">
                    <w:rPr>
                      <w:sz w:val="22"/>
                      <w:szCs w:val="22"/>
                    </w:rPr>
                    <w:t>Gráfico 6.1.1</w:t>
                  </w:r>
                  <w:r>
                    <w:rPr>
                      <w:sz w:val="22"/>
                      <w:szCs w:val="22"/>
                    </w:rPr>
                    <w:t xml:space="preserve">8- Relação entre a </w:t>
                  </w:r>
                  <w:r w:rsidRPr="00B8245C">
                    <w:rPr>
                      <w:sz w:val="22"/>
                      <w:szCs w:val="22"/>
                    </w:rPr>
                    <w:t xml:space="preserve">largura e a espessura dos núcleos recolhidos nos Pegos do Tejo 2.  </w:t>
                  </w:r>
                </w:p>
                <w:p w:rsidR="00B34B0F" w:rsidRDefault="00B34B0F" w:rsidP="00A34B7A"/>
              </w:txbxContent>
            </v:textbox>
          </v:shape>
        </w:pict>
      </w:r>
      <w:r w:rsidR="00A34B7A">
        <w:rPr>
          <w:noProof/>
        </w:rPr>
        <w:object w:dxaOrig="7767" w:dyaOrig="4085">
          <v:shape id="_x0000_i1042" type="#_x0000_t75" style="width:421.1pt;height:220.2pt" o:ole="">
            <v:imagedata r:id="rId86" o:title=""/>
          </v:shape>
          <o:OLEObject Type="Embed" ProgID="Excel.Sheet.12" ShapeID="_x0000_i1042" DrawAspect="Content" ObjectID="_1556969322" r:id="rId87"/>
        </w:object>
      </w: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A34B7A" w:rsidP="00A34B7A">
      <w:pPr>
        <w:autoSpaceDE w:val="0"/>
        <w:autoSpaceDN w:val="0"/>
        <w:adjustRightInd w:val="0"/>
        <w:rPr>
          <w:noProof/>
        </w:rPr>
      </w:pPr>
    </w:p>
    <w:p w:rsidR="00A34B7A" w:rsidRDefault="00EA3774" w:rsidP="00A34B7A">
      <w:pPr>
        <w:autoSpaceDE w:val="0"/>
        <w:autoSpaceDN w:val="0"/>
        <w:adjustRightInd w:val="0"/>
        <w:jc w:val="center"/>
      </w:pPr>
      <w:r>
        <w:rPr>
          <w:noProof/>
          <w:lang w:eastAsia="en-US"/>
        </w:rPr>
        <w:pict>
          <v:shape id="_x0000_s1068" type="#_x0000_t202" style="position:absolute;left:0;text-align:left;margin-left:27.45pt;margin-top:245.8pt;width:369.75pt;height:34.75pt;z-index:251709440;mso-width-relative:margin;mso-height-relative:margin" stroked="f">
            <v:textbox style="mso-next-textbox:#_x0000_s1068">
              <w:txbxContent>
                <w:p w:rsidR="00B34B0F" w:rsidRPr="00B8245C" w:rsidRDefault="00B34B0F" w:rsidP="00A34B7A">
                  <w:pPr>
                    <w:jc w:val="both"/>
                    <w:rPr>
                      <w:sz w:val="22"/>
                      <w:szCs w:val="22"/>
                    </w:rPr>
                  </w:pPr>
                  <w:r w:rsidRPr="00B8245C">
                    <w:rPr>
                      <w:sz w:val="22"/>
                      <w:szCs w:val="22"/>
                    </w:rPr>
                    <w:t>Gráfico 6.1.1</w:t>
                  </w:r>
                  <w:r>
                    <w:rPr>
                      <w:sz w:val="22"/>
                      <w:szCs w:val="22"/>
                    </w:rPr>
                    <w:t>9</w:t>
                  </w:r>
                  <w:r w:rsidRPr="00B8245C">
                    <w:rPr>
                      <w:sz w:val="22"/>
                      <w:szCs w:val="22"/>
                    </w:rPr>
                    <w:t xml:space="preserve">- Relação entre o comprimento e </w:t>
                  </w:r>
                  <w:r>
                    <w:rPr>
                      <w:sz w:val="22"/>
                      <w:szCs w:val="22"/>
                    </w:rPr>
                    <w:t>espessura</w:t>
                  </w:r>
                  <w:r w:rsidRPr="00B8245C">
                    <w:rPr>
                      <w:sz w:val="22"/>
                      <w:szCs w:val="22"/>
                    </w:rPr>
                    <w:t xml:space="preserve"> dos núcleos recolhidos nos Pegos do Tejo 2.  </w:t>
                  </w:r>
                </w:p>
                <w:p w:rsidR="00B34B0F" w:rsidRDefault="00B34B0F" w:rsidP="00A34B7A"/>
              </w:txbxContent>
            </v:textbox>
          </v:shape>
        </w:pict>
      </w:r>
      <w:r w:rsidR="00A34B7A">
        <w:rPr>
          <w:noProof/>
        </w:rPr>
        <w:object w:dxaOrig="7212" w:dyaOrig="4085">
          <v:shape id="_x0000_i1043" type="#_x0000_t75" style="width:6in;height:243.65pt" o:ole="">
            <v:imagedata r:id="rId88" o:title=""/>
          </v:shape>
          <o:OLEObject Type="Embed" ProgID="Excel.Sheet.12" ShapeID="_x0000_i1043" DrawAspect="Content" ObjectID="_1556969323" r:id="rId89"/>
        </w:object>
      </w:r>
    </w:p>
    <w:p w:rsidR="00A34B7A" w:rsidRDefault="00A34B7A" w:rsidP="00A34B7A">
      <w:pPr>
        <w:autoSpaceDE w:val="0"/>
        <w:autoSpaceDN w:val="0"/>
        <w:adjustRightInd w:val="0"/>
      </w:pPr>
    </w:p>
    <w:p w:rsidR="00A34B7A" w:rsidRDefault="00A34B7A" w:rsidP="00A34B7A">
      <w:pPr>
        <w:autoSpaceDE w:val="0"/>
        <w:autoSpaceDN w:val="0"/>
        <w:adjustRightInd w:val="0"/>
        <w:rPr>
          <w:b/>
        </w:rPr>
      </w:pPr>
    </w:p>
    <w:p w:rsidR="00A34B7A" w:rsidRDefault="00A34B7A" w:rsidP="00A34B7A">
      <w:pPr>
        <w:autoSpaceDE w:val="0"/>
        <w:autoSpaceDN w:val="0"/>
        <w:adjustRightInd w:val="0"/>
        <w:rPr>
          <w:b/>
        </w:rPr>
      </w:pPr>
    </w:p>
    <w:p w:rsidR="00A34B7A" w:rsidRDefault="00A34B7A" w:rsidP="00A34B7A">
      <w:pPr>
        <w:autoSpaceDE w:val="0"/>
        <w:autoSpaceDN w:val="0"/>
        <w:adjustRightInd w:val="0"/>
        <w:rPr>
          <w:b/>
        </w:rPr>
      </w:pPr>
    </w:p>
    <w:p w:rsidR="00A34B7A" w:rsidRPr="00F7758C" w:rsidRDefault="00166C52" w:rsidP="00A34B7A">
      <w:pPr>
        <w:autoSpaceDE w:val="0"/>
        <w:autoSpaceDN w:val="0"/>
        <w:adjustRightInd w:val="0"/>
      </w:pPr>
      <w:r>
        <w:lastRenderedPageBreak/>
        <w:t>6.1</w:t>
      </w:r>
      <w:r w:rsidR="00A34B7A" w:rsidRPr="00F7758C">
        <w:t>.1.4- Caracterização tecno-tipológica da indústria lítica</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spacing w:line="360" w:lineRule="auto"/>
        <w:ind w:firstLine="708"/>
        <w:jc w:val="both"/>
      </w:pPr>
      <w:r>
        <w:t>A indústria recolhida na estação dos Pegos do Tejo 2, como já foi dito anteriormente, corresponde a uma indústria cujo objectivo é a produção de suportes que, pelas suas dimensões, se enquadram na definição de lascas. Uma vez que a sua análise morfológica já foi apresentada, inicia-se agora a descrição dos artefactos identificados na colecção e dos processos desenvolvidos para lhes dar origem. Após o processo de selecção, referido anteriormente, aplicado ao conjunto da indústria exumada na estação dos Pegos do Tejo 2, foram identificados várias lascas que, pelas características particulares que apresentam, poderão corresponder a uma última fase da cadeia operativa e, portanto, representar utensílios. A análise diacrítica dos núcleos, que de seguida se apresentará, permitirá trazer,</w:t>
      </w:r>
      <w:r w:rsidRPr="00DE79CE">
        <w:t xml:space="preserve"> </w:t>
      </w:r>
      <w:r>
        <w:t>do mesmo modo, alguma luz sobre os processos que permitiram chegar ao utensílio final.</w: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Pr="00F7758C" w:rsidRDefault="00A34B7A" w:rsidP="00A34B7A">
      <w:pPr>
        <w:spacing w:line="360" w:lineRule="auto"/>
        <w:jc w:val="both"/>
      </w:pPr>
      <w:r w:rsidRPr="00F7758C">
        <w:t>6.</w:t>
      </w:r>
      <w:r w:rsidR="00166C52">
        <w:t>1</w:t>
      </w:r>
      <w:r>
        <w:t>.</w:t>
      </w:r>
      <w:r w:rsidRPr="00F7758C">
        <w:t>1.4.1- Indústria lítica</w:t>
      </w:r>
      <w:r>
        <w:t>.</w:t>
      </w:r>
    </w:p>
    <w:p w:rsidR="00A34B7A" w:rsidRDefault="00A34B7A" w:rsidP="00A34B7A">
      <w:pPr>
        <w:spacing w:line="360" w:lineRule="auto"/>
        <w:ind w:firstLine="708"/>
        <w:jc w:val="both"/>
      </w:pPr>
    </w:p>
    <w:p w:rsidR="00A34B7A" w:rsidRPr="0064400A" w:rsidRDefault="00A34B7A" w:rsidP="00A34B7A">
      <w:pPr>
        <w:spacing w:line="360" w:lineRule="auto"/>
        <w:ind w:firstLine="708"/>
        <w:jc w:val="both"/>
      </w:pPr>
      <w:r w:rsidRPr="0064400A">
        <w:t xml:space="preserve">A análise do material </w:t>
      </w:r>
      <w:r>
        <w:t xml:space="preserve">lítico revelou a presença de diversos tipos de lascas, cuja morfologia está intimamente relacionada com os processos que lhes deram origem. A presença de lascas </w:t>
      </w:r>
      <w:r w:rsidRPr="00144B5F">
        <w:rPr>
          <w:i/>
        </w:rPr>
        <w:t>Levallois</w:t>
      </w:r>
      <w:r>
        <w:t xml:space="preserve"> (figura n.º 6.1.6, n.º 2 e 3, figura n.º 6.1.7, n.º 2) não causou espanto uma vez que a primeira peça identificada nesta estação correspondeu a um núcleo </w:t>
      </w:r>
      <w:r w:rsidRPr="00144B5F">
        <w:rPr>
          <w:i/>
        </w:rPr>
        <w:t>Levallois</w:t>
      </w:r>
      <w:r>
        <w:t xml:space="preserve"> (figura 6.1.8, n.º4). Algumas destas lascas apresentaram uma forma alongada (figura n.º 6.1.6, n.º1 e 2), outras (figura n.º 6.1.7, n.º 1, 2 e 3) foram utilizadas como lascas não retocadas (</w:t>
      </w:r>
      <w:r w:rsidRPr="000571D5">
        <w:rPr>
          <w:i/>
        </w:rPr>
        <w:t>Brut de debitage</w:t>
      </w:r>
      <w:r>
        <w:t xml:space="preserve">). O diagnóstico de uso destas lascas foi realizado por observação macroscópica, pelo que deverá ser um diagnóstico condicional enquanto não for confirmado, ou infirmado, por observação microscópica. </w:t>
      </w:r>
    </w:p>
    <w:p w:rsidR="00A34B7A" w:rsidRDefault="00A34B7A" w:rsidP="00A34B7A">
      <w:pPr>
        <w:spacing w:line="360" w:lineRule="auto"/>
        <w:jc w:val="center"/>
        <w:rPr>
          <w:b/>
        </w:rPr>
      </w:pPr>
      <w:r>
        <w:rPr>
          <w:b/>
          <w:noProof/>
        </w:rPr>
        <w:lastRenderedPageBreak/>
        <w:drawing>
          <wp:inline distT="0" distB="0" distL="0" distR="0">
            <wp:extent cx="4524375" cy="6457950"/>
            <wp:effectExtent l="19050" t="0" r="9525" b="0"/>
            <wp:docPr id="39" name="Imagem 33" descr="PT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T2 3"/>
                    <pic:cNvPicPr>
                      <a:picLocks noChangeAspect="1" noChangeArrowheads="1"/>
                    </pic:cNvPicPr>
                  </pic:nvPicPr>
                  <pic:blipFill>
                    <a:blip r:embed="rId90" cstate="print"/>
                    <a:srcRect/>
                    <a:stretch>
                      <a:fillRect/>
                    </a:stretch>
                  </pic:blipFill>
                  <pic:spPr bwMode="auto">
                    <a:xfrm>
                      <a:off x="0" y="0"/>
                      <a:ext cx="4524375" cy="6457950"/>
                    </a:xfrm>
                    <a:prstGeom prst="rect">
                      <a:avLst/>
                    </a:prstGeom>
                    <a:noFill/>
                    <a:ln w="9525">
                      <a:noFill/>
                      <a:miter lim="800000"/>
                      <a:headEnd/>
                      <a:tailEnd/>
                    </a:ln>
                  </pic:spPr>
                </pic:pic>
              </a:graphicData>
            </a:graphic>
          </wp:inline>
        </w:drawing>
      </w:r>
    </w:p>
    <w:p w:rsidR="00A34B7A" w:rsidRDefault="00EA3774" w:rsidP="00A34B7A">
      <w:pPr>
        <w:spacing w:line="360" w:lineRule="auto"/>
        <w:jc w:val="both"/>
        <w:rPr>
          <w:b/>
        </w:rPr>
      </w:pPr>
      <w:r w:rsidRPr="00EA3774">
        <w:rPr>
          <w:b/>
          <w:noProof/>
          <w:color w:val="FF0000"/>
          <w:lang w:eastAsia="en-US"/>
        </w:rPr>
        <w:pict>
          <v:shape id="_x0000_s1071" type="#_x0000_t202" style="position:absolute;left:0;text-align:left;margin-left:40.2pt;margin-top:3.75pt;width:357pt;height:58.5pt;z-index:251712512;mso-width-relative:margin;mso-height-relative:margin" stroked="f">
            <v:textbox style="mso-next-textbox:#_x0000_s1071">
              <w:txbxContent>
                <w:p w:rsidR="00B34B0F" w:rsidRPr="002E2832" w:rsidRDefault="00B34B0F" w:rsidP="00A34B7A">
                  <w:pPr>
                    <w:jc w:val="both"/>
                    <w:rPr>
                      <w:sz w:val="22"/>
                      <w:szCs w:val="22"/>
                    </w:rPr>
                  </w:pPr>
                  <w:r w:rsidRPr="002E2832">
                    <w:rPr>
                      <w:sz w:val="22"/>
                      <w:szCs w:val="22"/>
                    </w:rPr>
                    <w:t>Figura 6.1.</w:t>
                  </w:r>
                  <w:r>
                    <w:rPr>
                      <w:sz w:val="22"/>
                      <w:szCs w:val="22"/>
                    </w:rPr>
                    <w:t>6</w:t>
                  </w:r>
                  <w:r w:rsidRPr="002E2832">
                    <w:rPr>
                      <w:sz w:val="22"/>
                      <w:szCs w:val="22"/>
                    </w:rPr>
                    <w:t xml:space="preserve">- Indústria lítica dos Pegos do Tejo 2- utensílios sobre lasca: 1- raspadeira e entalhe; 2- entalhe frontal; 3- denticulado; 4- raspadeira frontal; 5- furador; 6 e 8 - raspadeira sobre acidente de Siret; 7- denticulado lateral; 9- </w:t>
                  </w:r>
                  <w:r>
                    <w:rPr>
                      <w:sz w:val="22"/>
                      <w:szCs w:val="22"/>
                    </w:rPr>
                    <w:t xml:space="preserve">couteau à </w:t>
                  </w:r>
                  <w:proofErr w:type="gramStart"/>
                  <w:r>
                    <w:rPr>
                      <w:sz w:val="22"/>
                      <w:szCs w:val="22"/>
                    </w:rPr>
                    <w:t>dos</w:t>
                  </w:r>
                  <w:proofErr w:type="gramEnd"/>
                  <w:r>
                    <w:rPr>
                      <w:sz w:val="22"/>
                      <w:szCs w:val="22"/>
                    </w:rPr>
                    <w:t>.</w:t>
                  </w:r>
                </w:p>
                <w:p w:rsidR="00B34B0F" w:rsidRDefault="00B34B0F" w:rsidP="00A34B7A"/>
              </w:txbxContent>
            </v:textbox>
          </v:shape>
        </w:pic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jc w:val="both"/>
      </w:pPr>
    </w:p>
    <w:p w:rsidR="00A34B7A" w:rsidRPr="00F609AF" w:rsidRDefault="00A34B7A" w:rsidP="00A34B7A">
      <w:pPr>
        <w:spacing w:line="360" w:lineRule="auto"/>
        <w:ind w:firstLine="708"/>
        <w:jc w:val="both"/>
      </w:pPr>
      <w:r>
        <w:t>Entre os suportes que sofreram alterações após a sua extracção do núcleo, sobressaem aqueles que se transformaram em raspadeiras, denticulados e entalhes. As raspadeiras presentes nesta colecção podem ser frontais (figura n.º 6.1.6, n.º 2 e 3), laterais (figura n.º 6.1.6, n.º 2 e 3) e convergentes</w:t>
      </w:r>
      <w:r w:rsidRPr="00061F73">
        <w:t xml:space="preserve"> </w:t>
      </w:r>
      <w:r>
        <w:t xml:space="preserve">(figura n.º 6.1.8, n.º 1). De realçar a identificação de raspadeiras realizadas sobre acidentes de </w:t>
      </w:r>
      <w:r w:rsidRPr="00061F73">
        <w:rPr>
          <w:i/>
        </w:rPr>
        <w:t>Siret</w:t>
      </w:r>
      <w:r>
        <w:rPr>
          <w:i/>
        </w:rPr>
        <w:t xml:space="preserve"> </w:t>
      </w:r>
      <w:r>
        <w:t xml:space="preserve">(figura n.º 6.1.6, n.º 6 e </w:t>
      </w:r>
      <w:r>
        <w:lastRenderedPageBreak/>
        <w:t xml:space="preserve">8). Nesta estação os entalhes representaram alteração contabilizada em maior número. Durante a escavação recolheram-se entalhes variados, tanto nas peculiaridades dos suportes como na forma de obtenção técnica dos referidos entalhes (figura n.º 6.1.6, n.º 1, 2 e 6, figura n.º 6.1.7, n.º 7, 9, 10, 11 e 13).   </w:t>
      </w:r>
    </w:p>
    <w:p w:rsidR="00A34B7A" w:rsidRDefault="00EA3774" w:rsidP="00A34B7A">
      <w:pPr>
        <w:spacing w:line="360" w:lineRule="auto"/>
        <w:jc w:val="both"/>
        <w:rPr>
          <w:b/>
        </w:rPr>
      </w:pPr>
      <w:r w:rsidRPr="00EA3774">
        <w:rPr>
          <w:b/>
          <w:noProof/>
          <w:color w:val="FF0000"/>
          <w:lang w:eastAsia="en-US"/>
        </w:rPr>
        <w:pict>
          <v:shape id="_x0000_s1074" type="#_x0000_t202" style="position:absolute;left:0;text-align:left;margin-left:5.05pt;margin-top:551pt;width:388.2pt;height:56pt;z-index:251715584;mso-width-relative:margin;mso-height-relative:margin" stroked="f">
            <v:textbox style="mso-next-textbox:#_x0000_s1074">
              <w:txbxContent>
                <w:p w:rsidR="00B34B0F" w:rsidRPr="000E539D" w:rsidRDefault="00B34B0F" w:rsidP="00A34B7A">
                  <w:pPr>
                    <w:jc w:val="both"/>
                    <w:rPr>
                      <w:sz w:val="22"/>
                      <w:szCs w:val="22"/>
                    </w:rPr>
                  </w:pPr>
                  <w:r w:rsidRPr="000E539D">
                    <w:rPr>
                      <w:sz w:val="22"/>
                      <w:szCs w:val="22"/>
                    </w:rPr>
                    <w:t>Figura 6.1.</w:t>
                  </w:r>
                  <w:r>
                    <w:rPr>
                      <w:sz w:val="22"/>
                      <w:szCs w:val="22"/>
                    </w:rPr>
                    <w:t>7</w:t>
                  </w:r>
                  <w:r w:rsidRPr="000E539D">
                    <w:rPr>
                      <w:sz w:val="22"/>
                      <w:szCs w:val="22"/>
                    </w:rPr>
                    <w:t>- Indústria lítica dos Pegos do Tejo 2- utensílios sobre lasca:1</w:t>
                  </w:r>
                  <w:r>
                    <w:rPr>
                      <w:sz w:val="22"/>
                      <w:szCs w:val="22"/>
                    </w:rPr>
                    <w:t xml:space="preserve"> e 3 - lascas</w:t>
                  </w:r>
                  <w:r w:rsidRPr="000E539D">
                    <w:rPr>
                      <w:sz w:val="22"/>
                      <w:szCs w:val="22"/>
                    </w:rPr>
                    <w:t xml:space="preserve">; </w:t>
                  </w:r>
                  <w:r>
                    <w:rPr>
                      <w:sz w:val="22"/>
                      <w:szCs w:val="22"/>
                    </w:rPr>
                    <w:t xml:space="preserve">2- lasca Levallois; </w:t>
                  </w:r>
                  <w:r w:rsidRPr="000E539D">
                    <w:rPr>
                      <w:sz w:val="22"/>
                      <w:szCs w:val="22"/>
                    </w:rPr>
                    <w:t xml:space="preserve">4,5 e 6- denticulados sobre acidentes de Siret; </w:t>
                  </w:r>
                  <w:r w:rsidRPr="000E539D">
                    <w:t xml:space="preserve">7, 10, 11 e 13- </w:t>
                  </w:r>
                  <w:proofErr w:type="gramStart"/>
                  <w:r w:rsidRPr="000E539D">
                    <w:t>entalhes</w:t>
                  </w:r>
                  <w:proofErr w:type="gramEnd"/>
                  <w:r w:rsidRPr="000E539D">
                    <w:t xml:space="preserve"> laterais </w:t>
                  </w:r>
                  <w:r w:rsidRPr="000E539D">
                    <w:rPr>
                      <w:sz w:val="22"/>
                      <w:szCs w:val="22"/>
                    </w:rPr>
                    <w:t>8- denticulado;</w:t>
                  </w:r>
                  <w:r>
                    <w:rPr>
                      <w:sz w:val="22"/>
                      <w:szCs w:val="22"/>
                    </w:rPr>
                    <w:t xml:space="preserve"> </w:t>
                  </w:r>
                  <w:r w:rsidRPr="000E539D">
                    <w:rPr>
                      <w:sz w:val="22"/>
                      <w:szCs w:val="22"/>
                    </w:rPr>
                    <w:t xml:space="preserve">9- entalhe frontal. 12- </w:t>
                  </w:r>
                  <w:proofErr w:type="gramStart"/>
                  <w:r w:rsidRPr="000670D2">
                    <w:rPr>
                      <w:i/>
                      <w:sz w:val="22"/>
                      <w:szCs w:val="22"/>
                    </w:rPr>
                    <w:t>couteau</w:t>
                  </w:r>
                  <w:proofErr w:type="gramEnd"/>
                  <w:r w:rsidRPr="000670D2">
                    <w:rPr>
                      <w:i/>
                      <w:sz w:val="22"/>
                      <w:szCs w:val="22"/>
                    </w:rPr>
                    <w:t xml:space="preserve"> à dos</w:t>
                  </w:r>
                </w:p>
                <w:p w:rsidR="00B34B0F" w:rsidRDefault="00B34B0F" w:rsidP="00A34B7A">
                  <w:pPr>
                    <w:jc w:val="both"/>
                  </w:pPr>
                </w:p>
              </w:txbxContent>
            </v:textbox>
          </v:shape>
        </w:pict>
      </w:r>
      <w:r w:rsidR="00A34B7A">
        <w:rPr>
          <w:b/>
          <w:noProof/>
        </w:rPr>
        <w:drawing>
          <wp:inline distT="0" distB="0" distL="0" distR="0">
            <wp:extent cx="5048250" cy="7038975"/>
            <wp:effectExtent l="19050" t="0" r="0" b="0"/>
            <wp:docPr id="40" name="Imagem 34" descr="PT2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T2 7"/>
                    <pic:cNvPicPr>
                      <a:picLocks noChangeAspect="1" noChangeArrowheads="1"/>
                    </pic:cNvPicPr>
                  </pic:nvPicPr>
                  <pic:blipFill>
                    <a:blip r:embed="rId91" cstate="print"/>
                    <a:srcRect/>
                    <a:stretch>
                      <a:fillRect/>
                    </a:stretch>
                  </pic:blipFill>
                  <pic:spPr bwMode="auto">
                    <a:xfrm>
                      <a:off x="0" y="0"/>
                      <a:ext cx="5048250" cy="7038975"/>
                    </a:xfrm>
                    <a:prstGeom prst="rect">
                      <a:avLst/>
                    </a:prstGeom>
                    <a:noFill/>
                    <a:ln w="9525">
                      <a:noFill/>
                      <a:miter lim="800000"/>
                      <a:headEnd/>
                      <a:tailEnd/>
                    </a:ln>
                  </pic:spPr>
                </pic:pic>
              </a:graphicData>
            </a:graphic>
          </wp:inline>
        </w:drawing>
      </w:r>
    </w:p>
    <w:p w:rsidR="00A34B7A" w:rsidRDefault="00A34B7A" w:rsidP="00A34B7A">
      <w:pPr>
        <w:spacing w:line="360" w:lineRule="auto"/>
        <w:jc w:val="both"/>
        <w:rPr>
          <w:b/>
        </w:rPr>
      </w:pPr>
    </w:p>
    <w:p w:rsidR="00A34B7A" w:rsidRDefault="00A34B7A" w:rsidP="00A34B7A">
      <w:pPr>
        <w:spacing w:line="360" w:lineRule="auto"/>
        <w:jc w:val="both"/>
      </w:pPr>
    </w:p>
    <w:p w:rsidR="00A34B7A" w:rsidRDefault="00A34B7A" w:rsidP="00A34B7A">
      <w:pPr>
        <w:spacing w:line="360" w:lineRule="auto"/>
        <w:jc w:val="both"/>
      </w:pPr>
    </w:p>
    <w:p w:rsidR="00A34B7A" w:rsidRDefault="00A34B7A" w:rsidP="00A34B7A">
      <w:pPr>
        <w:spacing w:line="360" w:lineRule="auto"/>
        <w:ind w:firstLine="708"/>
        <w:jc w:val="both"/>
      </w:pPr>
      <w:r>
        <w:lastRenderedPageBreak/>
        <w:t xml:space="preserve">No que diz respeito aos </w:t>
      </w:r>
      <w:r w:rsidRPr="0064400A">
        <w:t>denticulados</w:t>
      </w:r>
      <w:r>
        <w:t>, embora menos numerosos que os entalhes, marcam presença notória na colecção (figura n.º 6.1.6, n.º 3 e 7, figura n.º 6.1.7, n.º 8 e figura n.º 6.1.8, n.º 1)</w:t>
      </w:r>
      <w:r w:rsidRPr="0064400A">
        <w:t xml:space="preserve">. </w:t>
      </w:r>
      <w:r>
        <w:t>Identificaram-se duas facas de dorso, uma com dorso cortical (figura n.º 6.1.6, n.º 9) e outra com dorso abatido por retoque abrupto convergente (figura n.º 6.1.7, n.º 12).</w:t>
      </w:r>
    </w:p>
    <w:p w:rsidR="00A34B7A" w:rsidRDefault="00A34B7A" w:rsidP="00A34B7A">
      <w:pPr>
        <w:spacing w:line="360" w:lineRule="auto"/>
        <w:ind w:firstLine="708"/>
        <w:jc w:val="both"/>
      </w:pPr>
    </w:p>
    <w:p w:rsidR="00A34B7A" w:rsidRDefault="00A34B7A" w:rsidP="00A34B7A">
      <w:pPr>
        <w:spacing w:line="360" w:lineRule="auto"/>
        <w:ind w:firstLine="708"/>
        <w:jc w:val="both"/>
      </w:pPr>
    </w:p>
    <w:p w:rsidR="00A34B7A" w:rsidRDefault="00A34B7A" w:rsidP="00A34B7A">
      <w:pPr>
        <w:spacing w:line="360" w:lineRule="auto"/>
        <w:ind w:firstLine="708"/>
      </w:pPr>
      <w:r>
        <w:rPr>
          <w:noProof/>
        </w:rPr>
        <w:drawing>
          <wp:inline distT="0" distB="0" distL="0" distR="0">
            <wp:extent cx="4391025" cy="6230557"/>
            <wp:effectExtent l="19050" t="0" r="9525" b="0"/>
            <wp:docPr id="41" name="Imagem 0" descr="fig 6.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1.8.tif"/>
                    <pic:cNvPicPr/>
                  </pic:nvPicPr>
                  <pic:blipFill>
                    <a:blip r:embed="rId92" cstate="print"/>
                    <a:stretch>
                      <a:fillRect/>
                    </a:stretch>
                  </pic:blipFill>
                  <pic:spPr>
                    <a:xfrm>
                      <a:off x="0" y="0"/>
                      <a:ext cx="4396487" cy="6238307"/>
                    </a:xfrm>
                    <a:prstGeom prst="rect">
                      <a:avLst/>
                    </a:prstGeom>
                  </pic:spPr>
                </pic:pic>
              </a:graphicData>
            </a:graphic>
          </wp:inline>
        </w:drawing>
      </w:r>
    </w:p>
    <w:p w:rsidR="00A34B7A" w:rsidRDefault="00EA3774" w:rsidP="00A34B7A">
      <w:pPr>
        <w:spacing w:line="360" w:lineRule="auto"/>
        <w:jc w:val="both"/>
      </w:pPr>
      <w:r>
        <w:rPr>
          <w:noProof/>
        </w:rPr>
        <w:pict>
          <v:shape id="_x0000_s1080" type="#_x0000_t202" style="position:absolute;left:0;text-align:left;margin-left:40.45pt;margin-top:14.95pt;width:355.25pt;height:58.95pt;z-index:251721728;mso-height-percent:200;mso-height-percent:200;mso-width-relative:margin;mso-height-relative:margin" stroked="f">
            <v:textbox style="mso-next-textbox:#_x0000_s1080;mso-fit-shape-to-text:t">
              <w:txbxContent>
                <w:p w:rsidR="00B34B0F" w:rsidRPr="004917EB" w:rsidRDefault="00B34B0F" w:rsidP="00A34B7A">
                  <w:pPr>
                    <w:jc w:val="both"/>
                    <w:rPr>
                      <w:sz w:val="22"/>
                      <w:szCs w:val="22"/>
                    </w:rPr>
                  </w:pPr>
                  <w:r w:rsidRPr="004917EB">
                    <w:rPr>
                      <w:sz w:val="22"/>
                      <w:szCs w:val="22"/>
                    </w:rPr>
                    <w:t>Figura 6.1.</w:t>
                  </w:r>
                  <w:r>
                    <w:rPr>
                      <w:sz w:val="22"/>
                      <w:szCs w:val="22"/>
                    </w:rPr>
                    <w:t>8</w:t>
                  </w:r>
                  <w:r w:rsidRPr="004917EB">
                    <w:rPr>
                      <w:sz w:val="22"/>
                      <w:szCs w:val="22"/>
                    </w:rPr>
                    <w:t xml:space="preserve">- Indústria lítica dos Pegos do Tejo 2- Quartzito:1- denticulado; 2- núcleo oportunístico sobre bordo de seixo; 3- núcleo bipolar; 4- núcleo Levallois; 5- denticulado convergente. </w:t>
                  </w:r>
                </w:p>
                <w:p w:rsidR="00B34B0F" w:rsidRDefault="00B34B0F" w:rsidP="00A34B7A"/>
              </w:txbxContent>
            </v:textbox>
          </v:shape>
        </w:pict>
      </w:r>
    </w:p>
    <w:p w:rsidR="00A34B7A" w:rsidRDefault="00A34B7A" w:rsidP="00A34B7A">
      <w:pPr>
        <w:spacing w:line="360" w:lineRule="auto"/>
        <w:ind w:firstLine="708"/>
        <w:jc w:val="both"/>
      </w:pPr>
    </w:p>
    <w:p w:rsidR="00A34B7A" w:rsidRPr="00E535C8" w:rsidRDefault="00A34B7A" w:rsidP="00A34B7A">
      <w:pPr>
        <w:spacing w:line="360" w:lineRule="auto"/>
        <w:ind w:firstLine="708"/>
        <w:jc w:val="both"/>
      </w:pPr>
      <w:r>
        <w:lastRenderedPageBreak/>
        <w:t xml:space="preserve">Esta última enquadra-se na definição de </w:t>
      </w:r>
      <w:r w:rsidRPr="00E535C8">
        <w:rPr>
          <w:i/>
        </w:rPr>
        <w:t xml:space="preserve">couteau à </w:t>
      </w:r>
      <w:proofErr w:type="gramStart"/>
      <w:r w:rsidRPr="00E535C8">
        <w:rPr>
          <w:i/>
        </w:rPr>
        <w:t>dos</w:t>
      </w:r>
      <w:proofErr w:type="gramEnd"/>
      <w:r>
        <w:t>. Há ainda que referir o achado isolado de um furador (figura n.º 6.1.6, n.º 5). Finalmente</w:t>
      </w:r>
      <w:proofErr w:type="gramStart"/>
      <w:r>
        <w:t>,</w:t>
      </w:r>
      <w:proofErr w:type="gramEnd"/>
      <w:r>
        <w:t xml:space="preserve"> recolheu-se um conjunto de três denticulados de pequena dimensão (figura n.º 6.1.7, n.º 4, 5 e 6) todos realizados sobre acidentes de Siret. Uma última nota sobre a indústria lítica dos Pegos do Tejo 2 refere-se à presença de numerosos utensílios duplos (por ex. figura n.º 6.1.6, n.º 1, 3, 4, 6 e 8). </w:t>
      </w:r>
    </w:p>
    <w:p w:rsidR="00A34B7A" w:rsidRDefault="00A34B7A" w:rsidP="00A34B7A">
      <w:pPr>
        <w:rPr>
          <w:b/>
          <w:color w:val="FF0000"/>
        </w:rPr>
      </w:pPr>
    </w:p>
    <w:p w:rsidR="00A34B7A" w:rsidRDefault="00EA3774" w:rsidP="00A34B7A">
      <w:pPr>
        <w:jc w:val="center"/>
        <w:rPr>
          <w:b/>
          <w:color w:val="FF0000"/>
        </w:rPr>
      </w:pPr>
      <w:r>
        <w:rPr>
          <w:b/>
          <w:noProof/>
          <w:color w:val="FF0000"/>
          <w:lang w:eastAsia="en-US"/>
        </w:rPr>
        <w:pict>
          <v:shape id="_x0000_s1072" type="#_x0000_t202" style="position:absolute;left:0;text-align:left;margin-left:22.95pt;margin-top:528.35pt;width:379.5pt;height:33.55pt;z-index:251713536;mso-width-relative:margin;mso-height-relative:margin" stroked="f">
            <v:textbox style="mso-next-textbox:#_x0000_s1072">
              <w:txbxContent>
                <w:p w:rsidR="00B34B0F" w:rsidRPr="004917EB" w:rsidRDefault="00B34B0F" w:rsidP="00A34B7A">
                  <w:pPr>
                    <w:jc w:val="both"/>
                    <w:rPr>
                      <w:sz w:val="22"/>
                      <w:szCs w:val="22"/>
                    </w:rPr>
                  </w:pPr>
                  <w:r w:rsidRPr="004917EB">
                    <w:rPr>
                      <w:sz w:val="22"/>
                      <w:szCs w:val="22"/>
                    </w:rPr>
                    <w:t>Figura 6.1.</w:t>
                  </w:r>
                  <w:r>
                    <w:rPr>
                      <w:sz w:val="22"/>
                      <w:szCs w:val="22"/>
                    </w:rPr>
                    <w:t>9</w:t>
                  </w:r>
                  <w:r w:rsidRPr="004917EB">
                    <w:rPr>
                      <w:sz w:val="22"/>
                      <w:szCs w:val="22"/>
                    </w:rPr>
                    <w:t xml:space="preserve">- Indústria lítica dos Pegos do Tejo 2-: 1- biface em </w:t>
                  </w:r>
                  <w:r>
                    <w:rPr>
                      <w:sz w:val="22"/>
                      <w:szCs w:val="22"/>
                    </w:rPr>
                    <w:t>rocha microcristalina</w:t>
                  </w:r>
                  <w:r w:rsidRPr="004917EB">
                    <w:rPr>
                      <w:sz w:val="22"/>
                      <w:szCs w:val="22"/>
                    </w:rPr>
                    <w:t>; 2- núcl</w:t>
                  </w:r>
                  <w:r>
                    <w:rPr>
                      <w:sz w:val="22"/>
                      <w:szCs w:val="22"/>
                    </w:rPr>
                    <w:t>eo acheulense; 3 – núcleo discói</w:t>
                  </w:r>
                  <w:r w:rsidRPr="004917EB">
                    <w:rPr>
                      <w:sz w:val="22"/>
                      <w:szCs w:val="22"/>
                    </w:rPr>
                    <w:t xml:space="preserve">de. </w:t>
                  </w:r>
                </w:p>
                <w:p w:rsidR="00B34B0F" w:rsidRPr="004917EB" w:rsidRDefault="00B34B0F" w:rsidP="00A34B7A"/>
              </w:txbxContent>
            </v:textbox>
          </v:shape>
        </w:pict>
      </w:r>
      <w:r w:rsidR="00A34B7A">
        <w:rPr>
          <w:b/>
          <w:noProof/>
          <w:color w:val="FF0000"/>
        </w:rPr>
        <w:drawing>
          <wp:inline distT="0" distB="0" distL="0" distR="0">
            <wp:extent cx="4829175" cy="6739835"/>
            <wp:effectExtent l="19050" t="0" r="9525" b="0"/>
            <wp:docPr id="42" name="Imagem 1" descr="fig 6.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1.9..tif"/>
                    <pic:cNvPicPr/>
                  </pic:nvPicPr>
                  <pic:blipFill>
                    <a:blip r:embed="rId93" cstate="print"/>
                    <a:stretch>
                      <a:fillRect/>
                    </a:stretch>
                  </pic:blipFill>
                  <pic:spPr>
                    <a:xfrm>
                      <a:off x="0" y="0"/>
                      <a:ext cx="4831846" cy="6743563"/>
                    </a:xfrm>
                    <a:prstGeom prst="rect">
                      <a:avLst/>
                    </a:prstGeom>
                  </pic:spPr>
                </pic:pic>
              </a:graphicData>
            </a:graphic>
          </wp:inline>
        </w:drawing>
      </w:r>
    </w:p>
    <w:p w:rsidR="00A34B7A" w:rsidRPr="001E0760" w:rsidRDefault="00A34B7A" w:rsidP="00A34B7A">
      <w:pPr>
        <w:rPr>
          <w:b/>
          <w:color w:val="FF0000"/>
        </w:rPr>
      </w:pPr>
    </w:p>
    <w:p w:rsidR="00A34B7A" w:rsidRDefault="00A34B7A" w:rsidP="00A34B7A">
      <w:pPr>
        <w:spacing w:line="360" w:lineRule="auto"/>
        <w:jc w:val="both"/>
      </w:pPr>
    </w:p>
    <w:p w:rsidR="00A34B7A" w:rsidRPr="00A26A93" w:rsidRDefault="00A34B7A" w:rsidP="00A34B7A">
      <w:pPr>
        <w:spacing w:line="360" w:lineRule="auto"/>
        <w:ind w:firstLine="708"/>
        <w:jc w:val="both"/>
      </w:pPr>
      <w:r>
        <w:lastRenderedPageBreak/>
        <w:t xml:space="preserve">Finalmente é de referir o conjunto de núcleos registados nesta colecção. Existe uma grande variedade na forma como a massa de matéria-prima é abordada e que resulta numa grande variedade de tipos de núcleos presentes. Como já se viu anteriormente, a maior parte dos núcleos apenas apresenta 3 ou 4 levantamentos, o que dificulta a sua análise tecnológica. Nos restantes núcleos foi possível identificar alguns tipos como núcleos acheulenses (figura n.º 6.1.9, n.º 2), </w:t>
      </w:r>
      <w:r>
        <w:rPr>
          <w:i/>
        </w:rPr>
        <w:t>L</w:t>
      </w:r>
      <w:r w:rsidRPr="00144B5F">
        <w:rPr>
          <w:i/>
        </w:rPr>
        <w:t>evallois</w:t>
      </w:r>
      <w:r>
        <w:t xml:space="preserve"> (figura n.º 6.1.8, n.º 4), discóide (figura n.º 6.1.8, n.º 3), oportunístico sobre bordo de seixo (figura n.º 6.1.8, n.º 2) e bipolar (figura n.º 6.1.8, n.º 3). No conjunto lítico recolhido nos Pegos do Tejo dois há ainda a referir a existência de um biface patinado (figura n.º 6.1.9, n.º 1) reutilizado como raspadeira.</w:t>
      </w:r>
    </w:p>
    <w:p w:rsidR="00A34B7A" w:rsidRDefault="00A34B7A" w:rsidP="00A34B7A">
      <w:pPr>
        <w:spacing w:line="360" w:lineRule="auto"/>
        <w:rPr>
          <w:b/>
          <w:color w:val="FF0000"/>
        </w:rPr>
      </w:pPr>
    </w:p>
    <w:p w:rsidR="00A34B7A" w:rsidRDefault="00A34B7A" w:rsidP="00A34B7A">
      <w:pPr>
        <w:spacing w:line="360" w:lineRule="auto"/>
        <w:rPr>
          <w:b/>
          <w:color w:val="FF0000"/>
        </w:rPr>
      </w:pPr>
    </w:p>
    <w:p w:rsidR="00A34B7A" w:rsidRPr="00F7758C" w:rsidRDefault="00166C52" w:rsidP="00A34B7A">
      <w:pPr>
        <w:spacing w:line="360" w:lineRule="auto"/>
      </w:pPr>
      <w:r>
        <w:t>6.1</w:t>
      </w:r>
      <w:r w:rsidR="00A34B7A" w:rsidRPr="00F7758C">
        <w:t>.1.4.2 - Análise diacrítica dos núcleos</w:t>
      </w:r>
      <w:r w:rsidR="00A34B7A">
        <w:t>.</w:t>
      </w:r>
    </w:p>
    <w:p w:rsidR="00A34B7A" w:rsidRDefault="00A34B7A" w:rsidP="00A34B7A">
      <w:pPr>
        <w:autoSpaceDE w:val="0"/>
        <w:autoSpaceDN w:val="0"/>
        <w:adjustRightInd w:val="0"/>
        <w:spacing w:line="360" w:lineRule="auto"/>
      </w:pPr>
    </w:p>
    <w:p w:rsidR="00A34B7A" w:rsidRDefault="00A34B7A" w:rsidP="00A34B7A">
      <w:pPr>
        <w:autoSpaceDE w:val="0"/>
        <w:autoSpaceDN w:val="0"/>
        <w:adjustRightInd w:val="0"/>
        <w:spacing w:line="360" w:lineRule="auto"/>
        <w:ind w:firstLine="708"/>
        <w:jc w:val="both"/>
      </w:pPr>
      <w:r>
        <w:t>O núcleo acheulense recolhido nos Pegos do Tejo 2</w:t>
      </w:r>
      <w:r w:rsidRPr="00DF6497">
        <w:rPr>
          <w:sz w:val="22"/>
          <w:szCs w:val="22"/>
        </w:rPr>
        <w:t xml:space="preserve"> </w:t>
      </w:r>
      <w:r>
        <w:rPr>
          <w:sz w:val="22"/>
          <w:szCs w:val="22"/>
        </w:rPr>
        <w:t>(</w:t>
      </w:r>
      <w:r w:rsidRPr="00DF6497">
        <w:rPr>
          <w:sz w:val="22"/>
          <w:szCs w:val="22"/>
        </w:rPr>
        <w:t>Figura 6.1.</w:t>
      </w:r>
      <w:r>
        <w:rPr>
          <w:sz w:val="22"/>
          <w:szCs w:val="22"/>
        </w:rPr>
        <w:t>10)</w:t>
      </w:r>
      <w:r>
        <w:t xml:space="preserve"> foi analisado de forma compreender-se o seu esquema operatório. A matéria-prima utilizada foi um bloco paralelepipédico de quartzito. O talhe inicia-se directamente sobre uma face cortical sendo unidireccional. </w:t>
      </w:r>
    </w:p>
    <w:p w:rsidR="00A34B7A" w:rsidRDefault="00EA3774" w:rsidP="00A34B7A">
      <w:pPr>
        <w:autoSpaceDE w:val="0"/>
        <w:autoSpaceDN w:val="0"/>
        <w:adjustRightInd w:val="0"/>
      </w:pPr>
      <w:r>
        <w:rPr>
          <w:noProof/>
          <w:lang w:eastAsia="en-US"/>
        </w:rPr>
        <w:pict>
          <v:shape id="_x0000_s1069" type="#_x0000_t202" style="position:absolute;margin-left:227.3pt;margin-top:24.4pt;width:169.75pt;height:48.75pt;z-index:251710464;mso-width-percent:400;mso-width-percent:400;mso-width-relative:margin;mso-height-relative:margin" stroked="f">
            <v:textbox style="mso-next-textbox:#_x0000_s1069">
              <w:txbxContent>
                <w:p w:rsidR="00B34B0F" w:rsidRPr="00DF6497" w:rsidRDefault="00B34B0F" w:rsidP="00A34B7A">
                  <w:pPr>
                    <w:jc w:val="both"/>
                    <w:rPr>
                      <w:sz w:val="22"/>
                      <w:szCs w:val="22"/>
                    </w:rPr>
                  </w:pPr>
                  <w:r w:rsidRPr="00DF6497">
                    <w:rPr>
                      <w:sz w:val="22"/>
                      <w:szCs w:val="22"/>
                    </w:rPr>
                    <w:t>Figura 6.1.</w:t>
                  </w:r>
                  <w:r>
                    <w:rPr>
                      <w:sz w:val="22"/>
                      <w:szCs w:val="22"/>
                    </w:rPr>
                    <w:t>10</w:t>
                  </w:r>
                  <w:r w:rsidRPr="00DF6497">
                    <w:rPr>
                      <w:sz w:val="22"/>
                      <w:szCs w:val="22"/>
                    </w:rPr>
                    <w:t xml:space="preserve">- </w:t>
                  </w:r>
                  <w:r>
                    <w:rPr>
                      <w:sz w:val="22"/>
                      <w:szCs w:val="22"/>
                    </w:rPr>
                    <w:t>Esquema diacrítico</w:t>
                  </w:r>
                  <w:r w:rsidRPr="00DF6497">
                    <w:rPr>
                      <w:sz w:val="22"/>
                      <w:szCs w:val="22"/>
                    </w:rPr>
                    <w:t xml:space="preserve"> </w:t>
                  </w:r>
                  <w:r>
                    <w:rPr>
                      <w:sz w:val="22"/>
                      <w:szCs w:val="22"/>
                    </w:rPr>
                    <w:t>do núcleo a</w:t>
                  </w:r>
                  <w:r w:rsidRPr="00DF6497">
                    <w:rPr>
                      <w:sz w:val="22"/>
                      <w:szCs w:val="22"/>
                    </w:rPr>
                    <w:t>cheulense M4 13.</w:t>
                  </w:r>
                </w:p>
                <w:p w:rsidR="00B34B0F" w:rsidRDefault="00B34B0F" w:rsidP="00A34B7A"/>
              </w:txbxContent>
            </v:textbox>
          </v:shape>
        </w:pict>
      </w:r>
      <w:r w:rsidR="00A34B7A">
        <w:rPr>
          <w:noProof/>
        </w:rPr>
        <w:drawing>
          <wp:inline distT="0" distB="0" distL="0" distR="0">
            <wp:extent cx="3609975" cy="3333750"/>
            <wp:effectExtent l="19050" t="0" r="9525" b="0"/>
            <wp:docPr id="43" name="Imagem 37" descr="M4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4 13"/>
                    <pic:cNvPicPr>
                      <a:picLocks noChangeAspect="1" noChangeArrowheads="1"/>
                    </pic:cNvPicPr>
                  </pic:nvPicPr>
                  <pic:blipFill>
                    <a:blip r:embed="rId94" cstate="print"/>
                    <a:srcRect/>
                    <a:stretch>
                      <a:fillRect/>
                    </a:stretch>
                  </pic:blipFill>
                  <pic:spPr bwMode="auto">
                    <a:xfrm>
                      <a:off x="0" y="0"/>
                      <a:ext cx="3609975" cy="3333750"/>
                    </a:xfrm>
                    <a:prstGeom prst="rect">
                      <a:avLst/>
                    </a:prstGeom>
                    <a:noFill/>
                    <a:ln w="9525">
                      <a:noFill/>
                      <a:miter lim="800000"/>
                      <a:headEnd/>
                      <a:tailEnd/>
                    </a:ln>
                  </pic:spPr>
                </pic:pic>
              </a:graphicData>
            </a:graphic>
          </wp:inline>
        </w:drawing>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spacing w:line="360" w:lineRule="auto"/>
        <w:ind w:firstLine="708"/>
        <w:jc w:val="both"/>
      </w:pPr>
      <w:r>
        <w:t xml:space="preserve">Neste exemplar são visíveis quatro levantamentos sendo primeiro realizado um levantamento numa das extremidades do núcleo, seguindo-se um outro na extremidade </w:t>
      </w:r>
      <w:r>
        <w:lastRenderedPageBreak/>
        <w:t>oposta. A terceira lasca, que deverá corresponder ao formato pretendido, consegue-se aplicando o impacto do percutor na mesma plataforma, que serve de talão, aproximadamente entre as duas lascas retiradas anteriormente. A lasca daqui resultante será de forma alongada, espessa e terá uma nervura central na face dorsal, correspondendo à zona de contacto das duas lascas anteriores. Existe um quarto levantamento, paralelo à plataforma de percussão, mas que não teve continuação.</w:t>
      </w: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r>
        <w:t xml:space="preserve">Outro núcleo presente na colecção dos Pegos do Tejo 2 foi classificado como oportunístico, sobre bordo de seixo </w:t>
      </w:r>
      <w:r>
        <w:rPr>
          <w:sz w:val="22"/>
          <w:szCs w:val="22"/>
        </w:rPr>
        <w:t>(</w:t>
      </w:r>
      <w:r w:rsidRPr="00DF6497">
        <w:rPr>
          <w:sz w:val="22"/>
          <w:szCs w:val="22"/>
        </w:rPr>
        <w:t>Figura 6.1.</w:t>
      </w:r>
      <w:r>
        <w:rPr>
          <w:sz w:val="22"/>
          <w:szCs w:val="22"/>
        </w:rPr>
        <w:t>11)</w:t>
      </w:r>
      <w:r>
        <w:t xml:space="preserve">. Também é produzido a partir de um bloco de quartzito autóctone. Neste caso, a cadeia operatória inicia-se como no caso do núcleo acheulense apresentado anteriormente. A debitagem começa sobre plataforma cortical, levantando três a quatro lascas. Porém como o núcleo passa a ser visto como uma massa, a posição do núcleo é alterada e começa-se a talhar uma nova face do volume aproveitando os negativos dos levantamentos anteriores como plataforma de percussão dos novos levantamentos. </w:t>
      </w:r>
    </w:p>
    <w:p w:rsidR="00A34B7A" w:rsidRDefault="00A34B7A" w:rsidP="00A34B7A">
      <w:pPr>
        <w:autoSpaceDE w:val="0"/>
        <w:autoSpaceDN w:val="0"/>
        <w:adjustRightInd w:val="0"/>
        <w:spacing w:line="360" w:lineRule="auto"/>
        <w:jc w:val="both"/>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EA3774" w:rsidP="00A34B7A">
      <w:pPr>
        <w:rPr>
          <w:b/>
          <w:color w:val="FF0000"/>
        </w:rPr>
      </w:pPr>
      <w:r>
        <w:rPr>
          <w:b/>
          <w:noProof/>
          <w:color w:val="FF0000"/>
          <w:lang w:eastAsia="en-US"/>
        </w:rPr>
        <w:pict>
          <v:shape id="_x0000_s1078" type="#_x0000_t202" style="position:absolute;margin-left:230.85pt;margin-top:197.6pt;width:170.1pt;height:46.3pt;z-index:251719680;mso-width-percent:400;mso-height-percent:200;mso-width-percent:400;mso-height-percent:200;mso-width-relative:margin;mso-height-relative:margin" filled="f" stroked="f">
            <v:textbox style="mso-next-textbox:#_x0000_s1078;mso-fit-shape-to-text:t">
              <w:txbxContent>
                <w:p w:rsidR="00B34B0F" w:rsidRPr="001160B5" w:rsidRDefault="00B34B0F" w:rsidP="00A34B7A">
                  <w:pPr>
                    <w:jc w:val="both"/>
                    <w:rPr>
                      <w:b/>
                      <w:sz w:val="22"/>
                      <w:szCs w:val="22"/>
                    </w:rPr>
                  </w:pPr>
                  <w:r w:rsidRPr="004917EB">
                    <w:rPr>
                      <w:sz w:val="22"/>
                      <w:szCs w:val="22"/>
                    </w:rPr>
                    <w:t>Figura 6.1.</w:t>
                  </w:r>
                  <w:r>
                    <w:rPr>
                      <w:sz w:val="22"/>
                      <w:szCs w:val="22"/>
                    </w:rPr>
                    <w:t>11</w:t>
                  </w:r>
                  <w:r w:rsidRPr="004917EB">
                    <w:rPr>
                      <w:sz w:val="22"/>
                      <w:szCs w:val="22"/>
                    </w:rPr>
                    <w:t>-</w:t>
                  </w:r>
                  <w:r w:rsidRPr="001160B5">
                    <w:rPr>
                      <w:b/>
                      <w:sz w:val="22"/>
                      <w:szCs w:val="22"/>
                    </w:rPr>
                    <w:t xml:space="preserve"> </w:t>
                  </w:r>
                  <w:r w:rsidRPr="00DF6497">
                    <w:rPr>
                      <w:sz w:val="22"/>
                      <w:szCs w:val="22"/>
                    </w:rPr>
                    <w:t>Esquema diacrític</w:t>
                  </w:r>
                  <w:r>
                    <w:rPr>
                      <w:sz w:val="22"/>
                      <w:szCs w:val="22"/>
                    </w:rPr>
                    <w:t>o</w:t>
                  </w:r>
                  <w:r w:rsidRPr="00DF6497">
                    <w:rPr>
                      <w:sz w:val="22"/>
                      <w:szCs w:val="22"/>
                    </w:rPr>
                    <w:t xml:space="preserve"> </w:t>
                  </w:r>
                  <w:r>
                    <w:rPr>
                      <w:sz w:val="22"/>
                      <w:szCs w:val="22"/>
                    </w:rPr>
                    <w:t>do núcleo oportunístico L2 17</w:t>
                  </w:r>
                </w:p>
                <w:p w:rsidR="00B34B0F" w:rsidRDefault="00B34B0F" w:rsidP="00A34B7A"/>
              </w:txbxContent>
            </v:textbox>
          </v:shape>
        </w:pict>
      </w:r>
      <w:r w:rsidR="00A34B7A">
        <w:rPr>
          <w:b/>
          <w:noProof/>
          <w:color w:val="FF0000"/>
        </w:rPr>
        <w:drawing>
          <wp:inline distT="0" distB="0" distL="0" distR="0">
            <wp:extent cx="3314700" cy="3333750"/>
            <wp:effectExtent l="19050" t="0" r="0" b="0"/>
            <wp:docPr id="44" name="Imagem 38" descr="L2 17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2 17 a"/>
                    <pic:cNvPicPr>
                      <a:picLocks noChangeAspect="1" noChangeArrowheads="1"/>
                    </pic:cNvPicPr>
                  </pic:nvPicPr>
                  <pic:blipFill>
                    <a:blip r:embed="rId95" cstate="print"/>
                    <a:srcRect/>
                    <a:stretch>
                      <a:fillRect/>
                    </a:stretch>
                  </pic:blipFill>
                  <pic:spPr bwMode="auto">
                    <a:xfrm>
                      <a:off x="0" y="0"/>
                      <a:ext cx="3314700" cy="3333750"/>
                    </a:xfrm>
                    <a:prstGeom prst="rect">
                      <a:avLst/>
                    </a:prstGeom>
                    <a:noFill/>
                    <a:ln w="9525">
                      <a:noFill/>
                      <a:miter lim="800000"/>
                      <a:headEnd/>
                      <a:tailEnd/>
                    </a:ln>
                  </pic:spPr>
                </pic:pic>
              </a:graphicData>
            </a:graphic>
          </wp:inline>
        </w:drawing>
      </w:r>
    </w:p>
    <w:p w:rsidR="00A34B7A" w:rsidRDefault="00A34B7A" w:rsidP="00A34B7A">
      <w:pPr>
        <w:autoSpaceDE w:val="0"/>
        <w:autoSpaceDN w:val="0"/>
        <w:adjustRightInd w:val="0"/>
        <w:spacing w:line="360" w:lineRule="auto"/>
        <w:ind w:firstLine="708"/>
        <w:jc w:val="both"/>
      </w:pPr>
      <w:r>
        <w:t xml:space="preserve">Este processo é realizado em três faces originando núcleos de forma prismática. As lascas resultantes desta debitagem apresentam um formato alongado com a largura </w:t>
      </w:r>
      <w:r>
        <w:lastRenderedPageBreak/>
        <w:t xml:space="preserve">máxima da peça a aparecer no terço distal, embora exista alguma variabilidade nos suportes resultantes. </w:t>
      </w:r>
    </w:p>
    <w:p w:rsidR="00A34B7A" w:rsidRDefault="00A34B7A" w:rsidP="00A34B7A">
      <w:pPr>
        <w:autoSpaceDE w:val="0"/>
        <w:autoSpaceDN w:val="0"/>
        <w:adjustRightInd w:val="0"/>
      </w:pPr>
    </w:p>
    <w:p w:rsidR="00A34B7A" w:rsidRDefault="00A34B7A" w:rsidP="00A34B7A">
      <w:pPr>
        <w:autoSpaceDE w:val="0"/>
        <w:autoSpaceDN w:val="0"/>
        <w:adjustRightInd w:val="0"/>
        <w:spacing w:line="360" w:lineRule="auto"/>
        <w:ind w:firstLine="708"/>
        <w:jc w:val="both"/>
      </w:pPr>
      <w:r>
        <w:t>Ainda nos núcleos identificados nesta estação, o exemplar apresentado na</w:t>
      </w:r>
      <w:r w:rsidRPr="008816EF">
        <w:t xml:space="preserve"> </w:t>
      </w:r>
      <w:r>
        <w:t xml:space="preserve">figura 6.1.12 corresponde a um bloco de quartzito com uma forma mais globulosa. Esta forma indica algum transporte pela encosta da crista quartzítica, que lhe limou as arestas. Aproveitando uma superfície fracturada naturalmente, realizaram-se três levantamentos centrípetos sendo o terceiro levantamento realizado em posição central em relação aos dois anteriores. Na zona central do núcleo é visível parte de um levantamento anterior. As lascas resultantes da debitagem apresentam um formato alongado com a largura máxima da peça a aparecer no terço distal. </w:t>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Default="00EA3774" w:rsidP="00A34B7A">
      <w:pPr>
        <w:autoSpaceDE w:val="0"/>
        <w:autoSpaceDN w:val="0"/>
        <w:adjustRightInd w:val="0"/>
      </w:pPr>
      <w:r>
        <w:rPr>
          <w:noProof/>
          <w:lang w:eastAsia="en-US"/>
        </w:rPr>
        <w:pict>
          <v:shape id="_x0000_s1070" type="#_x0000_t202" style="position:absolute;margin-left:205.6pt;margin-top:276.95pt;width:169.8pt;height:36pt;z-index:251711488;mso-width-percent:400;mso-width-percent:400;mso-width-relative:margin;mso-height-relative:margin" stroked="f">
            <v:textbox style="mso-next-textbox:#_x0000_s1070">
              <w:txbxContent>
                <w:p w:rsidR="00B34B0F" w:rsidRPr="001160B5" w:rsidRDefault="00B34B0F" w:rsidP="00A34B7A">
                  <w:pPr>
                    <w:jc w:val="both"/>
                    <w:rPr>
                      <w:b/>
                      <w:sz w:val="22"/>
                      <w:szCs w:val="22"/>
                    </w:rPr>
                  </w:pPr>
                  <w:r w:rsidRPr="004917EB">
                    <w:rPr>
                      <w:sz w:val="22"/>
                      <w:szCs w:val="22"/>
                    </w:rPr>
                    <w:t>Figura 6.1.</w:t>
                  </w:r>
                  <w:r>
                    <w:rPr>
                      <w:sz w:val="22"/>
                      <w:szCs w:val="22"/>
                    </w:rPr>
                    <w:t>12</w:t>
                  </w:r>
                  <w:r w:rsidRPr="004917EB">
                    <w:rPr>
                      <w:sz w:val="22"/>
                      <w:szCs w:val="22"/>
                    </w:rPr>
                    <w:t>-</w:t>
                  </w:r>
                  <w:r w:rsidRPr="001160B5">
                    <w:rPr>
                      <w:b/>
                      <w:sz w:val="22"/>
                      <w:szCs w:val="22"/>
                    </w:rPr>
                    <w:t xml:space="preserve"> </w:t>
                  </w:r>
                  <w:r w:rsidRPr="00DF6497">
                    <w:rPr>
                      <w:sz w:val="22"/>
                      <w:szCs w:val="22"/>
                    </w:rPr>
                    <w:t>Esquema diacrític</w:t>
                  </w:r>
                  <w:r>
                    <w:rPr>
                      <w:sz w:val="22"/>
                      <w:szCs w:val="22"/>
                    </w:rPr>
                    <w:t>o</w:t>
                  </w:r>
                  <w:r w:rsidRPr="00DF6497">
                    <w:rPr>
                      <w:sz w:val="22"/>
                      <w:szCs w:val="22"/>
                    </w:rPr>
                    <w:t xml:space="preserve"> </w:t>
                  </w:r>
                  <w:r>
                    <w:rPr>
                      <w:sz w:val="22"/>
                      <w:szCs w:val="22"/>
                    </w:rPr>
                    <w:t xml:space="preserve">do núcleo </w:t>
                  </w:r>
                  <w:r w:rsidRPr="004917EB">
                    <w:rPr>
                      <w:sz w:val="22"/>
                      <w:szCs w:val="22"/>
                    </w:rPr>
                    <w:t>discoíde L3 10</w:t>
                  </w:r>
                  <w:r>
                    <w:rPr>
                      <w:b/>
                      <w:sz w:val="22"/>
                      <w:szCs w:val="22"/>
                    </w:rPr>
                    <w:t xml:space="preserve">. </w:t>
                  </w:r>
                </w:p>
                <w:p w:rsidR="00B34B0F" w:rsidRDefault="00B34B0F" w:rsidP="00A34B7A"/>
              </w:txbxContent>
            </v:textbox>
          </v:shape>
        </w:pict>
      </w:r>
      <w:r w:rsidR="00A34B7A">
        <w:rPr>
          <w:noProof/>
        </w:rPr>
        <w:drawing>
          <wp:inline distT="0" distB="0" distL="0" distR="0">
            <wp:extent cx="2619375" cy="4314825"/>
            <wp:effectExtent l="19050" t="0" r="9525" b="0"/>
            <wp:docPr id="45" name="Imagem 39" descr="M3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3 51"/>
                    <pic:cNvPicPr>
                      <a:picLocks noChangeAspect="1" noChangeArrowheads="1"/>
                    </pic:cNvPicPr>
                  </pic:nvPicPr>
                  <pic:blipFill>
                    <a:blip r:embed="rId96" cstate="print"/>
                    <a:srcRect/>
                    <a:stretch>
                      <a:fillRect/>
                    </a:stretch>
                  </pic:blipFill>
                  <pic:spPr bwMode="auto">
                    <a:xfrm>
                      <a:off x="0" y="0"/>
                      <a:ext cx="2619375" cy="4314825"/>
                    </a:xfrm>
                    <a:prstGeom prst="rect">
                      <a:avLst/>
                    </a:prstGeom>
                    <a:noFill/>
                    <a:ln w="9525">
                      <a:noFill/>
                      <a:miter lim="800000"/>
                      <a:headEnd/>
                      <a:tailEnd/>
                    </a:ln>
                  </pic:spPr>
                </pic:pic>
              </a:graphicData>
            </a:graphic>
          </wp:inline>
        </w:drawing>
      </w:r>
    </w:p>
    <w:p w:rsidR="00A34B7A" w:rsidRDefault="00A34B7A" w:rsidP="00A34B7A">
      <w:pPr>
        <w:autoSpaceDE w:val="0"/>
        <w:autoSpaceDN w:val="0"/>
        <w:adjustRightInd w:val="0"/>
      </w:pPr>
    </w:p>
    <w:p w:rsidR="00A34B7A" w:rsidRDefault="00A34B7A" w:rsidP="00A34B7A">
      <w:pPr>
        <w:autoSpaceDE w:val="0"/>
        <w:autoSpaceDN w:val="0"/>
        <w:adjustRightInd w:val="0"/>
      </w:pPr>
    </w:p>
    <w:p w:rsidR="00A34B7A" w:rsidRPr="001E63E4" w:rsidRDefault="00A34B7A" w:rsidP="00A34B7A">
      <w:pPr>
        <w:spacing w:line="360" w:lineRule="auto"/>
        <w:ind w:firstLine="708"/>
        <w:jc w:val="both"/>
      </w:pPr>
      <w:r w:rsidRPr="001E63E4">
        <w:t xml:space="preserve">A peça que </w:t>
      </w:r>
      <w:r>
        <w:t xml:space="preserve">levou à identificação da estação dos Pegos do Tejo 2 é um núcleo </w:t>
      </w:r>
      <w:r w:rsidRPr="005A0C75">
        <w:rPr>
          <w:i/>
        </w:rPr>
        <w:t>Levallois</w:t>
      </w:r>
      <w:r>
        <w:t xml:space="preserve"> típico recolhido no corte da estrada numa zona que corresponde, após implantação da quadrícula, ao quadrado L2 </w:t>
      </w:r>
      <w:r>
        <w:rPr>
          <w:sz w:val="22"/>
          <w:szCs w:val="22"/>
        </w:rPr>
        <w:t>(</w:t>
      </w:r>
      <w:r w:rsidRPr="00DF6497">
        <w:rPr>
          <w:sz w:val="22"/>
          <w:szCs w:val="22"/>
        </w:rPr>
        <w:t>Figura 6.1.</w:t>
      </w:r>
      <w:r>
        <w:rPr>
          <w:sz w:val="22"/>
          <w:szCs w:val="22"/>
        </w:rPr>
        <w:t>13)</w:t>
      </w:r>
      <w:r>
        <w:t xml:space="preserve">. Mais uma vez foi utilizado o </w:t>
      </w:r>
      <w:r>
        <w:lastRenderedPageBreak/>
        <w:t xml:space="preserve">quartzito da zona, cuja forma inicial não é possível identificar devido ao estado avançado de debitagem do núcleo. Trata-se de um núcleo </w:t>
      </w:r>
      <w:r w:rsidRPr="005A0C75">
        <w:rPr>
          <w:i/>
        </w:rPr>
        <w:t>Levallois</w:t>
      </w:r>
      <w:r>
        <w:t xml:space="preserve"> centrípeto recorrente, cujo objectivo é a obtenção de lascas predeterminadas, </w:t>
      </w:r>
      <w:r w:rsidRPr="005A0C75">
        <w:rPr>
          <w:i/>
        </w:rPr>
        <w:t>Levallois</w:t>
      </w:r>
      <w:r>
        <w:t xml:space="preserve">. Neste núcleo, o impacto que deveria resultar nessa lasca (levantamento 6 na vista superior) não foi aplicado com força suficiente, resultando numa lasca curta. Neste caso a preparação do núcleo começa com a remoção de lascas nas suas faces laterais (vista lateral, levantamentos 1, 2 e 3). Posteriormente são realizados levantamentos na face superior, aproveitando como plataformas de percussão o negativo das lascas de preparação das faces laterais. Estes levantamentos com um ângulo de cerca de 30 º, pretendem criar na zona central desta superfície uma zona mais elevada, facetada pelos levantamentos que lhe deram forma. Finalmente seria aplicado um impacto junto ao eixo longitudinal da face superior com o objectivo de retirar uma lasca resultando um gume em todo o perímetro da peça. </w:t>
      </w:r>
    </w:p>
    <w:p w:rsidR="00A34B7A" w:rsidRDefault="00EA3774" w:rsidP="00A34B7A">
      <w:pPr>
        <w:rPr>
          <w:b/>
          <w:color w:val="FF0000"/>
        </w:rPr>
      </w:pPr>
      <w:r>
        <w:rPr>
          <w:b/>
          <w:noProof/>
          <w:color w:val="FF0000"/>
          <w:lang w:eastAsia="en-US"/>
        </w:rPr>
        <w:pict>
          <v:shape id="_x0000_s1073" type="#_x0000_t202" style="position:absolute;margin-left:256pt;margin-top:265.45pt;width:169.7pt;height:58.95pt;z-index:251714560;mso-width-percent:400;mso-height-percent:200;mso-width-percent:400;mso-height-percent:200;mso-width-relative:margin;mso-height-relative:margin" stroked="f">
            <v:textbox style="mso-next-textbox:#_x0000_s1073;mso-fit-shape-to-text:t">
              <w:txbxContent>
                <w:p w:rsidR="00B34B0F" w:rsidRPr="00D46E51" w:rsidRDefault="00B34B0F" w:rsidP="00A34B7A">
                  <w:pPr>
                    <w:jc w:val="both"/>
                    <w:rPr>
                      <w:sz w:val="22"/>
                      <w:szCs w:val="22"/>
                    </w:rPr>
                  </w:pPr>
                  <w:r w:rsidRPr="004917EB">
                    <w:rPr>
                      <w:sz w:val="22"/>
                      <w:szCs w:val="22"/>
                    </w:rPr>
                    <w:t>Figura 6.1.</w:t>
                  </w:r>
                  <w:r>
                    <w:rPr>
                      <w:sz w:val="22"/>
                      <w:szCs w:val="22"/>
                    </w:rPr>
                    <w:t>13</w:t>
                  </w:r>
                  <w:r w:rsidRPr="004917EB">
                    <w:rPr>
                      <w:sz w:val="22"/>
                      <w:szCs w:val="22"/>
                    </w:rPr>
                    <w:t>-</w:t>
                  </w:r>
                  <w:r w:rsidRPr="001160B5">
                    <w:rPr>
                      <w:b/>
                      <w:sz w:val="22"/>
                      <w:szCs w:val="22"/>
                    </w:rPr>
                    <w:t xml:space="preserve"> </w:t>
                  </w:r>
                  <w:r w:rsidRPr="00DF6497">
                    <w:rPr>
                      <w:sz w:val="22"/>
                      <w:szCs w:val="22"/>
                    </w:rPr>
                    <w:t>Esquema diacrític</w:t>
                  </w:r>
                  <w:r>
                    <w:rPr>
                      <w:sz w:val="22"/>
                      <w:szCs w:val="22"/>
                    </w:rPr>
                    <w:t>o</w:t>
                  </w:r>
                  <w:r w:rsidRPr="00DF6497">
                    <w:rPr>
                      <w:sz w:val="22"/>
                      <w:szCs w:val="22"/>
                    </w:rPr>
                    <w:t xml:space="preserve"> </w:t>
                  </w:r>
                  <w:r>
                    <w:rPr>
                      <w:sz w:val="22"/>
                      <w:szCs w:val="22"/>
                    </w:rPr>
                    <w:t xml:space="preserve">do núcleo </w:t>
                  </w:r>
                  <w:r w:rsidRPr="005A0C75">
                    <w:rPr>
                      <w:i/>
                      <w:sz w:val="22"/>
                      <w:szCs w:val="22"/>
                    </w:rPr>
                    <w:t>Levallois</w:t>
                  </w:r>
                  <w:r w:rsidRPr="00D46E51">
                    <w:rPr>
                      <w:sz w:val="22"/>
                      <w:szCs w:val="22"/>
                    </w:rPr>
                    <w:t xml:space="preserve"> recolhido no corte.</w:t>
                  </w:r>
                </w:p>
                <w:p w:rsidR="00B34B0F" w:rsidRPr="00D46E51" w:rsidRDefault="00B34B0F" w:rsidP="00A34B7A"/>
              </w:txbxContent>
            </v:textbox>
          </v:shape>
        </w:pict>
      </w:r>
      <w:r w:rsidR="00A34B7A">
        <w:rPr>
          <w:b/>
          <w:noProof/>
          <w:color w:val="FF0000"/>
        </w:rPr>
        <w:drawing>
          <wp:inline distT="0" distB="0" distL="0" distR="0">
            <wp:extent cx="3933825" cy="4581525"/>
            <wp:effectExtent l="19050" t="0" r="9525" b="0"/>
            <wp:docPr id="46" name="Imagem 40" descr="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p"/>
                    <pic:cNvPicPr>
                      <a:picLocks noChangeAspect="1" noChangeArrowheads="1"/>
                    </pic:cNvPicPr>
                  </pic:nvPicPr>
                  <pic:blipFill>
                    <a:blip r:embed="rId97" cstate="print"/>
                    <a:srcRect/>
                    <a:stretch>
                      <a:fillRect/>
                    </a:stretch>
                  </pic:blipFill>
                  <pic:spPr bwMode="auto">
                    <a:xfrm>
                      <a:off x="0" y="0"/>
                      <a:ext cx="3933825" cy="4581525"/>
                    </a:xfrm>
                    <a:prstGeom prst="rect">
                      <a:avLst/>
                    </a:prstGeom>
                    <a:noFill/>
                    <a:ln w="9525">
                      <a:noFill/>
                      <a:miter lim="800000"/>
                      <a:headEnd/>
                      <a:tailEnd/>
                    </a:ln>
                  </pic:spPr>
                </pic:pic>
              </a:graphicData>
            </a:graphic>
          </wp:inline>
        </w:drawing>
      </w:r>
    </w:p>
    <w:p w:rsidR="00A34B7A" w:rsidRDefault="00A34B7A" w:rsidP="00A34B7A">
      <w:pPr>
        <w:autoSpaceDE w:val="0"/>
        <w:autoSpaceDN w:val="0"/>
        <w:adjustRightInd w:val="0"/>
        <w:spacing w:line="360" w:lineRule="auto"/>
        <w:ind w:firstLine="708"/>
        <w:jc w:val="both"/>
      </w:pPr>
    </w:p>
    <w:p w:rsidR="00A34B7A" w:rsidRDefault="00A34B7A" w:rsidP="00A34B7A">
      <w:pPr>
        <w:autoSpaceDE w:val="0"/>
        <w:autoSpaceDN w:val="0"/>
        <w:adjustRightInd w:val="0"/>
        <w:spacing w:line="360" w:lineRule="auto"/>
        <w:ind w:firstLine="708"/>
        <w:jc w:val="both"/>
      </w:pPr>
      <w:r>
        <w:t xml:space="preserve">Por fim, o núcleo bipolar </w:t>
      </w:r>
      <w:r>
        <w:rPr>
          <w:sz w:val="22"/>
          <w:szCs w:val="22"/>
        </w:rPr>
        <w:t>(</w:t>
      </w:r>
      <w:r w:rsidRPr="00DF6497">
        <w:rPr>
          <w:sz w:val="22"/>
          <w:szCs w:val="22"/>
        </w:rPr>
        <w:t>Figura 6.1.</w:t>
      </w:r>
      <w:r>
        <w:rPr>
          <w:sz w:val="22"/>
          <w:szCs w:val="22"/>
        </w:rPr>
        <w:t>14), de pequenas dimensões,</w:t>
      </w:r>
      <w:r w:rsidRPr="008816EF">
        <w:t xml:space="preserve"> </w:t>
      </w:r>
      <w:r>
        <w:t>apresenta como matéria-prima utilizada um bloco paralelepipédico de quartzito.</w:t>
      </w:r>
      <w:r>
        <w:rPr>
          <w:sz w:val="22"/>
          <w:szCs w:val="22"/>
        </w:rPr>
        <w:t xml:space="preserve"> Como nalguns núcleos </w:t>
      </w:r>
      <w:r>
        <w:rPr>
          <w:sz w:val="22"/>
          <w:szCs w:val="22"/>
        </w:rPr>
        <w:lastRenderedPageBreak/>
        <w:t xml:space="preserve">anteriores, também não apresenta preparação da plataforma de percussão, recorrendo a superfícies corticais. A orientação dos levantamentos é perpendicular ao eixo maior do núcleo, resultando em suportes curtos. Neste caso são removidas pequenas lascas de forma alternada, resultando lascas centrais mais largas do que as removidas nas extremidades do núcleo. </w:t>
      </w:r>
    </w:p>
    <w:p w:rsidR="00A34B7A" w:rsidRDefault="00A34B7A" w:rsidP="00A34B7A">
      <w:pPr>
        <w:autoSpaceDE w:val="0"/>
        <w:autoSpaceDN w:val="0"/>
        <w:adjustRightInd w:val="0"/>
      </w:pPr>
    </w:p>
    <w:p w:rsidR="00A34B7A" w:rsidRDefault="00EA3774" w:rsidP="00A34B7A">
      <w:pPr>
        <w:autoSpaceDE w:val="0"/>
        <w:autoSpaceDN w:val="0"/>
        <w:adjustRightInd w:val="0"/>
      </w:pPr>
      <w:r>
        <w:rPr>
          <w:noProof/>
          <w:lang w:eastAsia="en-US"/>
        </w:rPr>
        <w:pict>
          <v:shape id="_x0000_s1079" type="#_x0000_t202" style="position:absolute;margin-left:248.8pt;margin-top:154.4pt;width:132.65pt;height:50.4pt;z-index:251720704;mso-width-relative:margin;mso-height-relative:margin" stroked="f">
            <v:textbox style="mso-next-textbox:#_x0000_s1079">
              <w:txbxContent>
                <w:p w:rsidR="00B34B0F" w:rsidRPr="00DF6497" w:rsidRDefault="00B34B0F" w:rsidP="00A34B7A">
                  <w:pPr>
                    <w:jc w:val="both"/>
                    <w:rPr>
                      <w:sz w:val="22"/>
                      <w:szCs w:val="22"/>
                    </w:rPr>
                  </w:pPr>
                  <w:r w:rsidRPr="00DF6497">
                    <w:rPr>
                      <w:sz w:val="22"/>
                      <w:szCs w:val="22"/>
                    </w:rPr>
                    <w:t>Figura 6.1.</w:t>
                  </w:r>
                  <w:r>
                    <w:rPr>
                      <w:sz w:val="22"/>
                      <w:szCs w:val="22"/>
                    </w:rPr>
                    <w:t>14</w:t>
                  </w:r>
                  <w:r w:rsidRPr="00DF6497">
                    <w:rPr>
                      <w:sz w:val="22"/>
                      <w:szCs w:val="22"/>
                    </w:rPr>
                    <w:t xml:space="preserve">- Esquema diacrítica </w:t>
                  </w:r>
                  <w:r>
                    <w:rPr>
                      <w:sz w:val="22"/>
                      <w:szCs w:val="22"/>
                    </w:rPr>
                    <w:t xml:space="preserve">do núcleo bipolar </w:t>
                  </w:r>
                  <w:r w:rsidRPr="00DF6497">
                    <w:rPr>
                      <w:sz w:val="22"/>
                      <w:szCs w:val="22"/>
                    </w:rPr>
                    <w:t>L3 10.</w:t>
                  </w:r>
                  <w:r>
                    <w:rPr>
                      <w:b/>
                      <w:sz w:val="22"/>
                      <w:szCs w:val="22"/>
                    </w:rPr>
                    <w:t xml:space="preserve"> </w:t>
                  </w:r>
                </w:p>
                <w:p w:rsidR="00B34B0F" w:rsidRDefault="00B34B0F" w:rsidP="00A34B7A"/>
              </w:txbxContent>
            </v:textbox>
          </v:shape>
        </w:pict>
      </w:r>
      <w:r w:rsidR="00A34B7A">
        <w:rPr>
          <w:noProof/>
        </w:rPr>
        <w:drawing>
          <wp:inline distT="0" distB="0" distL="0" distR="0">
            <wp:extent cx="3038475" cy="2686050"/>
            <wp:effectExtent l="19050" t="0" r="9525" b="0"/>
            <wp:docPr id="47" name="Imagem 41" descr="L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3 10"/>
                    <pic:cNvPicPr>
                      <a:picLocks noChangeAspect="1" noChangeArrowheads="1"/>
                    </pic:cNvPicPr>
                  </pic:nvPicPr>
                  <pic:blipFill>
                    <a:blip r:embed="rId98" cstate="print"/>
                    <a:srcRect/>
                    <a:stretch>
                      <a:fillRect/>
                    </a:stretch>
                  </pic:blipFill>
                  <pic:spPr bwMode="auto">
                    <a:xfrm>
                      <a:off x="0" y="0"/>
                      <a:ext cx="3038475" cy="2686050"/>
                    </a:xfrm>
                    <a:prstGeom prst="rect">
                      <a:avLst/>
                    </a:prstGeom>
                    <a:noFill/>
                    <a:ln w="9525">
                      <a:noFill/>
                      <a:miter lim="800000"/>
                      <a:headEnd/>
                      <a:tailEnd/>
                    </a:ln>
                  </pic:spPr>
                </pic:pic>
              </a:graphicData>
            </a:graphic>
          </wp:inline>
        </w:drawing>
      </w:r>
    </w:p>
    <w:p w:rsidR="00A34B7A" w:rsidRPr="00E55C57" w:rsidRDefault="00A34B7A" w:rsidP="00A34B7A">
      <w:pPr>
        <w:autoSpaceDE w:val="0"/>
        <w:autoSpaceDN w:val="0"/>
        <w:adjustRightInd w:val="0"/>
      </w:pPr>
    </w:p>
    <w:p w:rsidR="00A34B7A" w:rsidRPr="003F1840" w:rsidRDefault="00A34B7A" w:rsidP="00A34B7A">
      <w:pPr>
        <w:ind w:hanging="851"/>
        <w:rPr>
          <w:color w:val="FF0000"/>
        </w:rPr>
      </w:pPr>
    </w:p>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A34B7A" w:rsidRDefault="00A34B7A"/>
    <w:p w:rsidR="00166C52" w:rsidRDefault="00166C52"/>
    <w:p w:rsidR="00A34B7A" w:rsidRDefault="00A34B7A"/>
    <w:p w:rsidR="00A34B7A" w:rsidRDefault="00A34B7A"/>
    <w:p w:rsidR="00A34B7A" w:rsidRDefault="00A34B7A"/>
    <w:p w:rsidR="009C68B2" w:rsidRPr="00441C20" w:rsidRDefault="009C68B2" w:rsidP="009C68B2">
      <w:pPr>
        <w:spacing w:line="360" w:lineRule="auto"/>
        <w:jc w:val="both"/>
        <w:rPr>
          <w:b/>
        </w:rPr>
      </w:pPr>
      <w:r w:rsidRPr="00441C20">
        <w:rPr>
          <w:b/>
        </w:rPr>
        <w:lastRenderedPageBreak/>
        <w:t>6.</w:t>
      </w:r>
      <w:r>
        <w:rPr>
          <w:b/>
        </w:rPr>
        <w:t>2</w:t>
      </w:r>
      <w:r w:rsidRPr="00441C20">
        <w:rPr>
          <w:b/>
        </w:rPr>
        <w:t xml:space="preserve">- </w:t>
      </w:r>
      <w:r>
        <w:rPr>
          <w:b/>
        </w:rPr>
        <w:t>Azinhal</w:t>
      </w:r>
    </w:p>
    <w:p w:rsidR="009C68B2" w:rsidRDefault="009C68B2" w:rsidP="009C68B2">
      <w:pPr>
        <w:autoSpaceDE w:val="0"/>
        <w:autoSpaceDN w:val="0"/>
        <w:adjustRightInd w:val="0"/>
        <w:spacing w:line="360" w:lineRule="auto"/>
        <w:rPr>
          <w:color w:val="FF0000"/>
        </w:rPr>
      </w:pPr>
    </w:p>
    <w:p w:rsidR="009C68B2" w:rsidRDefault="009C68B2" w:rsidP="009C68B2">
      <w:pPr>
        <w:autoSpaceDE w:val="0"/>
        <w:autoSpaceDN w:val="0"/>
        <w:adjustRightInd w:val="0"/>
        <w:spacing w:line="360" w:lineRule="auto"/>
        <w:rPr>
          <w:color w:val="FF0000"/>
        </w:rPr>
      </w:pPr>
    </w:p>
    <w:p w:rsidR="009C68B2" w:rsidRPr="00F40671" w:rsidRDefault="009C68B2" w:rsidP="009C68B2">
      <w:pPr>
        <w:autoSpaceDE w:val="0"/>
        <w:autoSpaceDN w:val="0"/>
        <w:adjustRightInd w:val="0"/>
        <w:spacing w:line="360" w:lineRule="auto"/>
      </w:pPr>
      <w:r w:rsidRPr="00F40671">
        <w:rPr>
          <w:b/>
        </w:rPr>
        <w:t>6.2.1</w:t>
      </w:r>
      <w:r w:rsidRPr="00F40671">
        <w:t>- Estratigrafia</w:t>
      </w:r>
    </w:p>
    <w:p w:rsidR="009C68B2" w:rsidRDefault="009C68B2" w:rsidP="009C68B2">
      <w:pPr>
        <w:autoSpaceDE w:val="0"/>
        <w:autoSpaceDN w:val="0"/>
        <w:adjustRightInd w:val="0"/>
        <w:spacing w:line="360" w:lineRule="auto"/>
      </w:pPr>
    </w:p>
    <w:p w:rsidR="009C68B2" w:rsidRDefault="009C68B2" w:rsidP="009C68B2">
      <w:pPr>
        <w:spacing w:line="360" w:lineRule="auto"/>
        <w:ind w:firstLine="708"/>
        <w:jc w:val="both"/>
      </w:pPr>
      <w:r>
        <w:t>A intervenção realizada no Azinhal permitiu verificar a importante extensão da ocupação arqueológica. Embora parte da estação tenha sido destruída com abertura de uma estrada, a ocupação humana remanescente no topo da plataforma pode representar cerca de 1000m². A intervenção realizada em 2012, pelo número de materiais arqueológicos exumados, deverá corresponder aos limites da estação arqueológica. Não foram identificadas estruturas durante as duas campanhas de escavação neste sítio. No entanto, pela conservação e expressão do estrato arqueológico na sondagem L5, a zona central da ocupação deverá desenvolver-se nesta zona (</w:t>
      </w:r>
      <w:r w:rsidRPr="00DF6497">
        <w:rPr>
          <w:sz w:val="22"/>
          <w:szCs w:val="22"/>
        </w:rPr>
        <w:t>Figura 6.</w:t>
      </w:r>
      <w:r>
        <w:rPr>
          <w:sz w:val="22"/>
          <w:szCs w:val="22"/>
        </w:rPr>
        <w:t>2.12, foto 6.2.1)</w:t>
      </w:r>
      <w:r>
        <w:t>. Nesta sondagem</w:t>
      </w:r>
      <w:r w:rsidRPr="00496C62">
        <w:t xml:space="preserve"> foi possível inserir o estrato arqueológico no seu contexto geológico e confirmar que os trabalhos agrícolas não afectaram a estação. </w:t>
      </w:r>
    </w:p>
    <w:p w:rsidR="009C68B2" w:rsidRDefault="00EA3774" w:rsidP="009C68B2">
      <w:pPr>
        <w:spacing w:line="360" w:lineRule="auto"/>
        <w:ind w:firstLine="708"/>
        <w:jc w:val="center"/>
      </w:pPr>
      <w:r>
        <w:rPr>
          <w:noProof/>
          <w:lang w:eastAsia="en-US"/>
        </w:rPr>
        <w:pict>
          <v:shape id="_x0000_s1491" type="#_x0000_t202" style="position:absolute;left:0;text-align:left;margin-left:85.55pt;margin-top:362.2pt;width:287.45pt;height:33.65pt;z-index:251769856;mso-height-percent:200;mso-height-percent:200;mso-width-relative:margin;mso-height-relative:margin" stroked="f">
            <v:textbox style="mso-next-textbox:#_x0000_s1491;mso-fit-shape-to-text:t">
              <w:txbxContent>
                <w:p w:rsidR="00B34B0F" w:rsidRDefault="00B34B0F" w:rsidP="009C68B2">
                  <w:r w:rsidRPr="00DF6497">
                    <w:rPr>
                      <w:sz w:val="22"/>
                      <w:szCs w:val="22"/>
                    </w:rPr>
                    <w:t>Figura 6.</w:t>
                  </w:r>
                  <w:r>
                    <w:rPr>
                      <w:sz w:val="22"/>
                      <w:szCs w:val="22"/>
                    </w:rPr>
                    <w:t>2.1-</w:t>
                  </w:r>
                  <w:r w:rsidRPr="00C44981">
                    <w:rPr>
                      <w:sz w:val="22"/>
                      <w:szCs w:val="22"/>
                    </w:rPr>
                    <w:t xml:space="preserve"> </w:t>
                  </w:r>
                  <w:r>
                    <w:rPr>
                      <w:sz w:val="22"/>
                      <w:szCs w:val="22"/>
                    </w:rPr>
                    <w:t>Corte estratigráfico da sondagem L5.</w:t>
                  </w:r>
                </w:p>
                <w:p w:rsidR="00B34B0F" w:rsidRDefault="00B34B0F" w:rsidP="009C68B2"/>
              </w:txbxContent>
            </v:textbox>
          </v:shape>
        </w:pict>
      </w:r>
      <w:r w:rsidR="009C68B2">
        <w:rPr>
          <w:noProof/>
        </w:rPr>
        <w:drawing>
          <wp:inline distT="0" distB="0" distL="0" distR="0">
            <wp:extent cx="4000500" cy="4572000"/>
            <wp:effectExtent l="19050" t="0" r="0" b="0"/>
            <wp:docPr id="399" name="Imagem 2" descr="AZ L5 corte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Z L5 cortesul"/>
                    <pic:cNvPicPr>
                      <a:picLocks noChangeAspect="1" noChangeArrowheads="1"/>
                    </pic:cNvPicPr>
                  </pic:nvPicPr>
                  <pic:blipFill>
                    <a:blip r:embed="rId99" cstate="print"/>
                    <a:srcRect/>
                    <a:stretch>
                      <a:fillRect/>
                    </a:stretch>
                  </pic:blipFill>
                  <pic:spPr bwMode="auto">
                    <a:xfrm>
                      <a:off x="0" y="0"/>
                      <a:ext cx="4000500" cy="4572000"/>
                    </a:xfrm>
                    <a:prstGeom prst="rect">
                      <a:avLst/>
                    </a:prstGeom>
                    <a:noFill/>
                    <a:ln w="9525">
                      <a:noFill/>
                      <a:miter lim="800000"/>
                      <a:headEnd/>
                      <a:tailEnd/>
                    </a:ln>
                  </pic:spPr>
                </pic:pic>
              </a:graphicData>
            </a:graphic>
          </wp:inline>
        </w:drawing>
      </w:r>
    </w:p>
    <w:p w:rsidR="009C68B2" w:rsidRPr="00015F47" w:rsidRDefault="009C68B2" w:rsidP="009C68B2">
      <w:pPr>
        <w:spacing w:line="360" w:lineRule="auto"/>
        <w:ind w:firstLine="708"/>
        <w:jc w:val="both"/>
      </w:pPr>
      <w:r>
        <w:lastRenderedPageBreak/>
        <w:t>Na sondagem L5 f</w:t>
      </w:r>
      <w:r w:rsidRPr="00496C62">
        <w:t>oram definidos cinco níveis sedimentares durante a intervenção, correspondendo o nível arqueológico ao terceiro descrito. A primeira unidade sedimentar definida corresponde ao solo arável, mistura de arei</w:t>
      </w:r>
      <w:r>
        <w:t>a com matéria orgânica que lhe dá</w:t>
      </w:r>
      <w:r w:rsidRPr="00496C62">
        <w:t xml:space="preserve"> a sua coloração cinzenta acastanhada</w:t>
      </w:r>
      <w:r w:rsidRPr="00015F47">
        <w:t xml:space="preserve"> Esta camada tem entre </w:t>
      </w:r>
      <w:r>
        <w:t>2</w:t>
      </w:r>
      <w:r w:rsidRPr="00015F47">
        <w:t xml:space="preserve">5 a </w:t>
      </w:r>
      <w:r>
        <w:t>3</w:t>
      </w:r>
      <w:r w:rsidRPr="00015F47">
        <w:t>0 cm de espes</w:t>
      </w:r>
      <w:r>
        <w:t xml:space="preserve">sura e o limite inferior com a GFU </w:t>
      </w:r>
      <w:r w:rsidRPr="00015F47">
        <w:t>2 não é linear apresentando grande alteração.</w:t>
      </w:r>
    </w:p>
    <w:p w:rsidR="009C68B2" w:rsidRPr="00015F47" w:rsidRDefault="009C68B2" w:rsidP="009C68B2">
      <w:pPr>
        <w:spacing w:line="360" w:lineRule="auto"/>
        <w:ind w:firstLine="708"/>
        <w:jc w:val="both"/>
      </w:pPr>
      <w:r w:rsidRPr="00496C62">
        <w:t xml:space="preserve"> A segunda unidade estratigráfica é composta por um sedimento silto-arenoso de cor alaranjad</w:t>
      </w:r>
      <w:r>
        <w:t>a.</w:t>
      </w:r>
      <w:r w:rsidRPr="00015F47">
        <w:t xml:space="preserve"> </w:t>
      </w:r>
      <w:r>
        <w:t xml:space="preserve">Esta camada tem, como a anterior, </w:t>
      </w:r>
      <w:r w:rsidRPr="00015F47">
        <w:t xml:space="preserve">entre </w:t>
      </w:r>
      <w:r>
        <w:t>25</w:t>
      </w:r>
      <w:r w:rsidRPr="00015F47">
        <w:t xml:space="preserve"> a </w:t>
      </w:r>
      <w:r>
        <w:t>30</w:t>
      </w:r>
      <w:r w:rsidRPr="00015F47">
        <w:t xml:space="preserve"> cm de espes</w:t>
      </w:r>
      <w:r>
        <w:t>sura e o limite inferior com a GFU 3</w:t>
      </w:r>
      <w:r w:rsidRPr="00015F47">
        <w:t xml:space="preserve"> não é </w:t>
      </w:r>
      <w:r>
        <w:t>claro</w:t>
      </w:r>
      <w:r w:rsidRPr="00015F47">
        <w:t>.</w:t>
      </w:r>
    </w:p>
    <w:p w:rsidR="009C68B2" w:rsidRPr="00D11B83" w:rsidRDefault="009C68B2" w:rsidP="009C68B2">
      <w:pPr>
        <w:spacing w:line="360" w:lineRule="auto"/>
        <w:ind w:firstLine="708"/>
        <w:jc w:val="both"/>
      </w:pPr>
      <w:r w:rsidRPr="00496C62">
        <w:t xml:space="preserve"> </w:t>
      </w:r>
      <w:r>
        <w:t>O sedimento que compõe</w:t>
      </w:r>
      <w:r w:rsidRPr="00496C62">
        <w:t xml:space="preserve"> a matriz do terceiro nível</w:t>
      </w:r>
      <w:proofErr w:type="gramStart"/>
      <w:r w:rsidRPr="00496C62">
        <w:t>,</w:t>
      </w:r>
      <w:proofErr w:type="gramEnd"/>
      <w:r>
        <w:t xml:space="preserve"> é idêntico ao sedimento da GFU 2</w:t>
      </w:r>
      <w:r w:rsidRPr="00496C62">
        <w:t xml:space="preserve"> mas já com a p</w:t>
      </w:r>
      <w:r>
        <w:t>resença de seixos rolados e sub</w:t>
      </w:r>
      <w:r w:rsidRPr="00496C62">
        <w:t>angulosos.</w:t>
      </w:r>
      <w:r w:rsidRPr="00015F47">
        <w:t xml:space="preserve"> </w:t>
      </w:r>
      <w:r>
        <w:t>Esta camada tem uma</w:t>
      </w:r>
      <w:r w:rsidRPr="00015F47">
        <w:t xml:space="preserve"> espessura </w:t>
      </w:r>
      <w:r>
        <w:t>reduzida, cerca de 5 cm, embora na zona central a sondagem apresente uma bolsa com mais expressão. O limite inferior com a GFU 4</w:t>
      </w:r>
      <w:r w:rsidRPr="00015F47">
        <w:t xml:space="preserve"> </w:t>
      </w:r>
      <w:r>
        <w:t>continua a não ser bem definido</w:t>
      </w:r>
      <w:r w:rsidRPr="00015F47">
        <w:t>.</w:t>
      </w:r>
      <w:r>
        <w:t xml:space="preserve"> É neste extracto</w:t>
      </w:r>
      <w:r w:rsidRPr="00496C62">
        <w:t xml:space="preserve"> que </w:t>
      </w:r>
      <w:r>
        <w:t>se recolheram</w:t>
      </w:r>
      <w:r w:rsidRPr="00496C62">
        <w:t xml:space="preserve"> </w:t>
      </w:r>
      <w:r>
        <w:t>as</w:t>
      </w:r>
      <w:r w:rsidRPr="00496C62">
        <w:t xml:space="preserve"> peças</w:t>
      </w:r>
      <w:r>
        <w:t xml:space="preserve"> do Paleolítico médio</w:t>
      </w:r>
      <w:r w:rsidRPr="00496C62">
        <w:t>. O quarto nível consiste ainda na mesma matriz silto-arenosa de cor alaranjada mas desta vez com a presença de alguns nódulos de argila de pequenas dimensões</w:t>
      </w:r>
      <w:r>
        <w:t>. Esta GFU é muito irregular apresentando uma espessura de cerca de 25 cm</w:t>
      </w:r>
      <w:r w:rsidRPr="00496C62">
        <w:t xml:space="preserve">. </w:t>
      </w: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r>
        <w:rPr>
          <w:noProof/>
          <w:color w:val="FF0000"/>
        </w:rPr>
        <w:drawing>
          <wp:inline distT="0" distB="0" distL="0" distR="0">
            <wp:extent cx="5391150" cy="3600450"/>
            <wp:effectExtent l="19050" t="0" r="0" b="0"/>
            <wp:docPr id="40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srcRect/>
                    <a:stretch>
                      <a:fillRect/>
                    </a:stretch>
                  </pic:blipFill>
                  <pic:spPr bwMode="auto">
                    <a:xfrm>
                      <a:off x="0" y="0"/>
                      <a:ext cx="5391150" cy="3600450"/>
                    </a:xfrm>
                    <a:prstGeom prst="rect">
                      <a:avLst/>
                    </a:prstGeom>
                    <a:noFill/>
                    <a:ln w="9525">
                      <a:noFill/>
                      <a:miter lim="800000"/>
                      <a:headEnd/>
                      <a:tailEnd/>
                    </a:ln>
                  </pic:spPr>
                </pic:pic>
              </a:graphicData>
            </a:graphic>
          </wp:inline>
        </w:drawing>
      </w:r>
    </w:p>
    <w:p w:rsidR="009C68B2" w:rsidRDefault="00EA3774" w:rsidP="009C68B2">
      <w:pPr>
        <w:rPr>
          <w:color w:val="FF0000"/>
        </w:rPr>
      </w:pPr>
      <w:r>
        <w:rPr>
          <w:noProof/>
          <w:color w:val="FF0000"/>
          <w:lang w:eastAsia="en-US"/>
        </w:rPr>
        <w:pict>
          <v:shape id="_x0000_s1490" type="#_x0000_t202" style="position:absolute;margin-left:-.55pt;margin-top:.2pt;width:425.5pt;height:33.65pt;z-index:251768832;mso-height-percent:200;mso-height-percent:200;mso-width-relative:margin;mso-height-relative:margin" stroked="f">
            <v:textbox style="mso-next-textbox:#_x0000_s1490;mso-fit-shape-to-text:t">
              <w:txbxContent>
                <w:p w:rsidR="00B34B0F" w:rsidRDefault="00B34B0F" w:rsidP="009C68B2">
                  <w:r>
                    <w:rPr>
                      <w:sz w:val="22"/>
                      <w:szCs w:val="22"/>
                    </w:rPr>
                    <w:t>Foto n.º 6.2.1- Pormenor do corte estratigráfico na sondagem L5.</w:t>
                  </w:r>
                </w:p>
                <w:p w:rsidR="00B34B0F" w:rsidRDefault="00B34B0F" w:rsidP="009C68B2"/>
              </w:txbxContent>
            </v:textbox>
          </v:shape>
        </w:pict>
      </w:r>
    </w:p>
    <w:p w:rsidR="009C68B2" w:rsidRDefault="009C68B2" w:rsidP="009C68B2">
      <w:pPr>
        <w:rPr>
          <w:color w:val="FF0000"/>
        </w:rPr>
      </w:pPr>
    </w:p>
    <w:p w:rsidR="009C68B2" w:rsidRPr="002244C1" w:rsidRDefault="009C68B2" w:rsidP="009C68B2">
      <w:pPr>
        <w:spacing w:line="360" w:lineRule="auto"/>
        <w:ind w:firstLine="708"/>
        <w:jc w:val="both"/>
      </w:pPr>
      <w:r>
        <w:lastRenderedPageBreak/>
        <w:t>O limite inferior com a GFU 5</w:t>
      </w:r>
      <w:r w:rsidRPr="00015F47">
        <w:t xml:space="preserve"> </w:t>
      </w:r>
      <w:r>
        <w:t>é desta vez bem definido.</w:t>
      </w:r>
      <w:r w:rsidRPr="00496C62">
        <w:t xml:space="preserve"> A última unidade estratigráfica definida consiste num nível de terraço apresentando uma matriz composta por um sedimento siltoso de cor cinzenta, com seixos rolados depositados num contexto fluvial. </w:t>
      </w:r>
      <w:r>
        <w:t>Esta GFU também se apresenta muito irregular apresentando uma espessura de cerca de 30 cm</w:t>
      </w:r>
      <w:r w:rsidRPr="00496C62">
        <w:t>. Neste nível também foram encontr</w:t>
      </w:r>
      <w:r>
        <w:t>adas algumas peças paleolíticas.</w:t>
      </w:r>
    </w:p>
    <w:p w:rsidR="009C68B2" w:rsidRDefault="009C68B2" w:rsidP="009C68B2">
      <w:pPr>
        <w:spacing w:line="360" w:lineRule="auto"/>
        <w:ind w:firstLine="708"/>
        <w:jc w:val="both"/>
      </w:pPr>
      <w:r>
        <w:t>A intervenção desenvolvida em 2012 permitiu perceber a continuação da estratigrafia da estação para Oeste. Na sondagem WA 26 foi identificada a mesma estratigrafia encontrada na sondagem L5</w:t>
      </w:r>
      <w:r w:rsidRPr="00E31263">
        <w:rPr>
          <w:sz w:val="22"/>
          <w:szCs w:val="22"/>
        </w:rPr>
        <w:t xml:space="preserve"> </w:t>
      </w:r>
      <w:r>
        <w:rPr>
          <w:sz w:val="22"/>
          <w:szCs w:val="22"/>
        </w:rPr>
        <w:t>(</w:t>
      </w:r>
      <w:r w:rsidRPr="00DF6497">
        <w:rPr>
          <w:sz w:val="22"/>
          <w:szCs w:val="22"/>
        </w:rPr>
        <w:t>Figura 6.</w:t>
      </w:r>
      <w:r>
        <w:rPr>
          <w:sz w:val="22"/>
          <w:szCs w:val="22"/>
        </w:rPr>
        <w:t>2.13)</w:t>
      </w:r>
      <w:r>
        <w:t xml:space="preserve">. A opção metodológica passou pelo registo tridimensional do material arqueológico. Desta forma foi possível verificar que além do nível arqueológico bem conservado, que aparece embalado numa unidade com presença de seixos de pequena e média dimensão, existe um outro nível, um pouco mais acima, mas na mesma GFU </w:t>
      </w:r>
      <w:r>
        <w:rPr>
          <w:sz w:val="22"/>
          <w:szCs w:val="22"/>
        </w:rPr>
        <w:t>(</w:t>
      </w:r>
      <w:r w:rsidRPr="00DF6497">
        <w:rPr>
          <w:sz w:val="22"/>
          <w:szCs w:val="22"/>
        </w:rPr>
        <w:t>Figura 6.</w:t>
      </w:r>
      <w:r>
        <w:rPr>
          <w:sz w:val="22"/>
          <w:szCs w:val="22"/>
        </w:rPr>
        <w:t>2.13)</w:t>
      </w:r>
      <w:r>
        <w:t xml:space="preserve">. </w:t>
      </w:r>
    </w:p>
    <w:p w:rsidR="009C68B2" w:rsidRDefault="00EA3774" w:rsidP="009C68B2">
      <w:pPr>
        <w:spacing w:line="360" w:lineRule="auto"/>
        <w:jc w:val="both"/>
      </w:pPr>
      <w:r>
        <w:rPr>
          <w:noProof/>
          <w:lang w:eastAsia="en-US"/>
        </w:rPr>
        <w:pict>
          <v:shape id="_x0000_s1492" type="#_x0000_t202" style="position:absolute;left:0;text-align:left;margin-left:26.7pt;margin-top:286.6pt;width:367.25pt;height:46.3pt;z-index:251770880;mso-height-percent:200;mso-height-percent:200;mso-width-relative:margin;mso-height-relative:margin" stroked="f">
            <v:textbox style="mso-next-textbox:#_x0000_s1492;mso-fit-shape-to-text:t">
              <w:txbxContent>
                <w:p w:rsidR="00B34B0F" w:rsidRDefault="00B34B0F" w:rsidP="009C68B2">
                  <w:r w:rsidRPr="00DF6497">
                    <w:rPr>
                      <w:sz w:val="22"/>
                      <w:szCs w:val="22"/>
                    </w:rPr>
                    <w:t>Figura 6.</w:t>
                  </w:r>
                  <w:r>
                    <w:rPr>
                      <w:sz w:val="22"/>
                      <w:szCs w:val="22"/>
                    </w:rPr>
                    <w:t>2.2-</w:t>
                  </w:r>
                  <w:r w:rsidRPr="00C44981">
                    <w:rPr>
                      <w:sz w:val="22"/>
                      <w:szCs w:val="22"/>
                    </w:rPr>
                    <w:t xml:space="preserve"> </w:t>
                  </w:r>
                  <w:r>
                    <w:rPr>
                      <w:sz w:val="22"/>
                      <w:szCs w:val="22"/>
                    </w:rPr>
                    <w:t>Corte estratigráfico da sondagem WA 26 com projecção vertical dos materiais.</w:t>
                  </w:r>
                </w:p>
                <w:p w:rsidR="00B34B0F" w:rsidRDefault="00B34B0F" w:rsidP="009C68B2"/>
              </w:txbxContent>
            </v:textbox>
          </v:shape>
        </w:pict>
      </w:r>
      <w:r w:rsidR="009C68B2">
        <w:rPr>
          <w:noProof/>
        </w:rPr>
        <w:drawing>
          <wp:inline distT="0" distB="0" distL="0" distR="0">
            <wp:extent cx="5257800" cy="3857625"/>
            <wp:effectExtent l="19050" t="0" r="0" b="0"/>
            <wp:docPr id="401" name="Imagem 4" descr="WA 26 corte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 26 cortemat"/>
                    <pic:cNvPicPr>
                      <a:picLocks noChangeAspect="1" noChangeArrowheads="1"/>
                    </pic:cNvPicPr>
                  </pic:nvPicPr>
                  <pic:blipFill>
                    <a:blip r:embed="rId101" cstate="print"/>
                    <a:srcRect/>
                    <a:stretch>
                      <a:fillRect/>
                    </a:stretch>
                  </pic:blipFill>
                  <pic:spPr bwMode="auto">
                    <a:xfrm>
                      <a:off x="0" y="0"/>
                      <a:ext cx="5257800" cy="3857625"/>
                    </a:xfrm>
                    <a:prstGeom prst="rect">
                      <a:avLst/>
                    </a:prstGeom>
                    <a:noFill/>
                    <a:ln w="9525">
                      <a:noFill/>
                      <a:miter lim="800000"/>
                      <a:headEnd/>
                      <a:tailEnd/>
                    </a:ln>
                  </pic:spPr>
                </pic:pic>
              </a:graphicData>
            </a:graphic>
          </wp:inline>
        </w:drawing>
      </w:r>
    </w:p>
    <w:p w:rsidR="009C68B2" w:rsidRDefault="009C68B2" w:rsidP="009C68B2">
      <w:pPr>
        <w:spacing w:line="360" w:lineRule="auto"/>
        <w:jc w:val="both"/>
      </w:pPr>
    </w:p>
    <w:p w:rsidR="009C68B2" w:rsidRDefault="009C68B2" w:rsidP="009C68B2">
      <w:pPr>
        <w:spacing w:line="360" w:lineRule="auto"/>
        <w:jc w:val="both"/>
      </w:pPr>
    </w:p>
    <w:p w:rsidR="009C68B2" w:rsidRDefault="009C68B2" w:rsidP="009C68B2">
      <w:pPr>
        <w:spacing w:line="360" w:lineRule="auto"/>
        <w:jc w:val="both"/>
      </w:pPr>
    </w:p>
    <w:p w:rsidR="009C68B2" w:rsidRDefault="009C68B2" w:rsidP="009C68B2">
      <w:pPr>
        <w:spacing w:line="360" w:lineRule="auto"/>
        <w:ind w:firstLine="708"/>
        <w:jc w:val="both"/>
      </w:pPr>
      <w:r>
        <w:t xml:space="preserve">Na vala de sondagem M27/J27 verificou-se, </w:t>
      </w:r>
      <w:r w:rsidRPr="00242EBA">
        <w:rPr>
          <w:i/>
        </w:rPr>
        <w:t>grosso modo</w:t>
      </w:r>
      <w:r>
        <w:t>, a existência da estratigrafia observada na sondagem L5</w:t>
      </w:r>
      <w:r w:rsidRPr="003E5F8B">
        <w:rPr>
          <w:sz w:val="22"/>
          <w:szCs w:val="22"/>
        </w:rPr>
        <w:t xml:space="preserve"> </w:t>
      </w:r>
      <w:r>
        <w:rPr>
          <w:sz w:val="22"/>
          <w:szCs w:val="22"/>
        </w:rPr>
        <w:t>(</w:t>
      </w:r>
      <w:r w:rsidRPr="00DF6497">
        <w:rPr>
          <w:sz w:val="22"/>
          <w:szCs w:val="22"/>
        </w:rPr>
        <w:t>Figura 6.</w:t>
      </w:r>
      <w:r>
        <w:rPr>
          <w:sz w:val="22"/>
          <w:szCs w:val="22"/>
        </w:rPr>
        <w:t>2.14)</w:t>
      </w:r>
      <w:r>
        <w:t xml:space="preserve">. A primeira camada aparece com as mesmas características, encontrando-se no entanto a zona de contacto com a segunda GFU muito alterada devido aos trabalhos de plantio de sobreiros. No entanto, o nível </w:t>
      </w:r>
      <w:r>
        <w:lastRenderedPageBreak/>
        <w:t>arqueológico (GFU 2) não apresenta a mesma integridade.</w:t>
      </w:r>
      <w:r w:rsidRPr="00242EBA">
        <w:t xml:space="preserve"> </w:t>
      </w:r>
      <w:r>
        <w:t>Neste local, o material arqueológico aparece perturbado, certamente por processos naturais, registando-se uma deslocação dos artefactos e do estrato de seixos que o embalam. Essa deslocação é mais notória nos quadrados M27 e L27. A associação a processos naturais parece mais evidente porque é bem visível o limite da intervenção humana recente que coincide com a GFU 1.</w:t>
      </w:r>
    </w:p>
    <w:p w:rsidR="009C68B2" w:rsidRPr="00015F47" w:rsidRDefault="009C68B2" w:rsidP="009C68B2">
      <w:pPr>
        <w:spacing w:line="360" w:lineRule="auto"/>
        <w:ind w:firstLine="708"/>
        <w:jc w:val="both"/>
      </w:pPr>
      <w:r>
        <w:t>Resumindo, a estratigrafia da vala M27/J27 é a seguinte. A GFU 1 corresponde a uma c</w:t>
      </w:r>
      <w:r w:rsidRPr="00015F47">
        <w:t>amada humosa de cor castanha de matriz arenosa de grão grosseiro, alterada por trabalhos agrícolas, com algum mater</w:t>
      </w:r>
      <w:r>
        <w:t>ial arqueológico díspar</w:t>
      </w:r>
      <w:r w:rsidRPr="00015F47">
        <w:t xml:space="preserve">. Esta camada tem entre 15 </w:t>
      </w:r>
      <w:r>
        <w:t>e</w:t>
      </w:r>
      <w:r w:rsidRPr="00015F47">
        <w:t xml:space="preserve"> 20 cm de espessura e o limite inferior com a C2 não é linear apresentando grande alteração.</w:t>
      </w:r>
      <w:r>
        <w:t xml:space="preserve"> Há concordância entre as duas GFU 1 identificadas na sondagem L5 e na vala </w:t>
      </w:r>
      <w:r>
        <w:rPr>
          <w:sz w:val="22"/>
          <w:szCs w:val="22"/>
        </w:rPr>
        <w:t>M27/J27.</w:t>
      </w:r>
    </w:p>
    <w:p w:rsidR="009C68B2" w:rsidRPr="00015F47" w:rsidRDefault="009C68B2" w:rsidP="009C68B2">
      <w:pPr>
        <w:spacing w:line="360" w:lineRule="auto"/>
        <w:ind w:firstLine="708"/>
        <w:jc w:val="both"/>
      </w:pPr>
      <w:r>
        <w:t xml:space="preserve">A GFU 2 </w:t>
      </w:r>
      <w:r w:rsidRPr="00015F47">
        <w:t>apresenta-se</w:t>
      </w:r>
      <w:r>
        <w:t xml:space="preserve"> como um nível </w:t>
      </w:r>
      <w:r w:rsidRPr="00015F47">
        <w:t>de cor amarela de matriz arenosa de grão grosseiro embalando seixo</w:t>
      </w:r>
      <w:r>
        <w:t>s</w:t>
      </w:r>
      <w:r w:rsidRPr="00015F47">
        <w:t xml:space="preserve"> de pequena e média dimensão rolados e angulosos. </w:t>
      </w:r>
      <w:r>
        <w:t xml:space="preserve">Nesta sondagem, é na base desta unidade que </w:t>
      </w:r>
      <w:r w:rsidRPr="00015F47">
        <w:t>se encontram os materiais arqueológ</w:t>
      </w:r>
      <w:r>
        <w:t>icos associados ao Paleolítico m</w:t>
      </w:r>
      <w:r w:rsidRPr="00015F47">
        <w:t>édio</w:t>
      </w:r>
      <w:r>
        <w:t>, sem, no entanto, ser possível distinguir um horizonte de ocupação</w:t>
      </w:r>
      <w:r w:rsidRPr="00015F47">
        <w:t xml:space="preserve">. Esta camada tem entre 25 e 30 centímetros de espessura. O limite superior com a </w:t>
      </w:r>
      <w:r>
        <w:t xml:space="preserve">GFU </w:t>
      </w:r>
      <w:r w:rsidRPr="00015F47">
        <w:t xml:space="preserve">1 não é linear apresentando grande alteração. O limite inferior com a </w:t>
      </w:r>
      <w:r>
        <w:t xml:space="preserve">GFU </w:t>
      </w:r>
      <w:r w:rsidRPr="00015F47">
        <w:t>3 é bem delimitado, relativamente homogéneo, sem grande alteração.</w:t>
      </w:r>
      <w:r>
        <w:t xml:space="preserve"> </w:t>
      </w:r>
    </w:p>
    <w:p w:rsidR="009C68B2" w:rsidRPr="00015F47" w:rsidRDefault="009C68B2" w:rsidP="009C68B2">
      <w:pPr>
        <w:spacing w:line="360" w:lineRule="auto"/>
        <w:ind w:firstLine="708"/>
        <w:jc w:val="both"/>
      </w:pPr>
      <w:r>
        <w:t>A GFU</w:t>
      </w:r>
      <w:r w:rsidRPr="00015F47">
        <w:t xml:space="preserve"> 3 </w:t>
      </w:r>
      <w:r>
        <w:t>consiste</w:t>
      </w:r>
      <w:r w:rsidRPr="00015F47">
        <w:t xml:space="preserve"> </w:t>
      </w:r>
      <w:r>
        <w:t xml:space="preserve">num estrato </w:t>
      </w:r>
      <w:r w:rsidRPr="00015F47">
        <w:t xml:space="preserve">de areão de grão grosseiro embalando uma matriz argilosa de cor avermelhada presente em pequenos nódulos. De realçar a ausência, na pouca espessura escavada, de seixos </w:t>
      </w:r>
      <w:r>
        <w:t>e de indú</w:t>
      </w:r>
      <w:r w:rsidRPr="00015F47">
        <w:t xml:space="preserve">stria lítica. O limite superior, com a </w:t>
      </w:r>
      <w:r>
        <w:t xml:space="preserve">GFU </w:t>
      </w:r>
      <w:r w:rsidRPr="00015F47">
        <w:t xml:space="preserve">2 é bem delimitado, relativamente homogéneo, sem grande alteração. A </w:t>
      </w:r>
      <w:r>
        <w:t xml:space="preserve">GFU </w:t>
      </w:r>
      <w:r w:rsidRPr="00015F47">
        <w:t>3 não foi escavada. Apenas no quadrado J27 se aprofundou cerc</w:t>
      </w:r>
      <w:r>
        <w:t>a de 5 cm para poder caracterizá</w:t>
      </w:r>
      <w:r w:rsidRPr="00015F47">
        <w:t xml:space="preserve">-la. </w:t>
      </w: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ind w:left="-567" w:hanging="567"/>
        <w:rPr>
          <w:color w:val="FF0000"/>
        </w:rPr>
      </w:pPr>
    </w:p>
    <w:p w:rsidR="009C68B2" w:rsidRDefault="009C68B2" w:rsidP="009C68B2">
      <w:pPr>
        <w:ind w:left="-567" w:hanging="567"/>
        <w:rPr>
          <w:color w:val="FF0000"/>
        </w:rPr>
      </w:pPr>
    </w:p>
    <w:p w:rsidR="009C68B2" w:rsidRDefault="009C68B2" w:rsidP="009C68B2">
      <w:pPr>
        <w:ind w:left="-567" w:hanging="567"/>
        <w:rPr>
          <w:color w:val="FF0000"/>
        </w:rPr>
      </w:pPr>
    </w:p>
    <w:p w:rsidR="009C68B2" w:rsidRDefault="009C68B2" w:rsidP="009C68B2">
      <w:pPr>
        <w:ind w:left="-567" w:hanging="567"/>
        <w:rPr>
          <w:color w:val="FF0000"/>
        </w:rPr>
      </w:pPr>
    </w:p>
    <w:p w:rsidR="009C68B2" w:rsidRDefault="009C68B2" w:rsidP="009C68B2">
      <w:pPr>
        <w:ind w:left="-567" w:hanging="567"/>
        <w:rPr>
          <w:color w:val="FF0000"/>
        </w:rPr>
      </w:pPr>
    </w:p>
    <w:p w:rsidR="009C68B2" w:rsidRDefault="009C68B2" w:rsidP="009C68B2">
      <w:pPr>
        <w:ind w:left="-567" w:hanging="567"/>
        <w:rPr>
          <w:color w:val="FF0000"/>
        </w:rPr>
      </w:pPr>
    </w:p>
    <w:p w:rsidR="009C68B2" w:rsidRDefault="00EA3774" w:rsidP="009C68B2">
      <w:pPr>
        <w:ind w:left="-567" w:hanging="567"/>
        <w:rPr>
          <w:color w:val="FF0000"/>
        </w:rPr>
      </w:pPr>
      <w:r>
        <w:rPr>
          <w:noProof/>
          <w:color w:val="FF0000"/>
          <w:lang w:eastAsia="en-US"/>
        </w:rPr>
        <w:lastRenderedPageBreak/>
        <w:pict>
          <v:shape id="_x0000_s1489" type="#_x0000_t202" style="position:absolute;left:0;text-align:left;margin-left:228.45pt;margin-top:325.9pt;width:38pt;height:333.65pt;z-index:251767808;mso-width-relative:margin;mso-height-relative:margin" stroked="f">
            <v:textbox style="layout-flow:vertical;mso-layout-flow-alt:bottom-to-top;mso-next-textbox:#_x0000_s1489;mso-fit-shape-to-text:t">
              <w:txbxContent>
                <w:p w:rsidR="00B34B0F" w:rsidRDefault="00B34B0F" w:rsidP="009C68B2">
                  <w:r w:rsidRPr="00DF6497">
                    <w:rPr>
                      <w:sz w:val="22"/>
                      <w:szCs w:val="22"/>
                    </w:rPr>
                    <w:t>Figura 6.</w:t>
                  </w:r>
                  <w:r>
                    <w:rPr>
                      <w:sz w:val="22"/>
                      <w:szCs w:val="22"/>
                    </w:rPr>
                    <w:t>2.3-</w:t>
                  </w:r>
                  <w:r w:rsidRPr="00C44981">
                    <w:rPr>
                      <w:sz w:val="22"/>
                      <w:szCs w:val="22"/>
                    </w:rPr>
                    <w:t xml:space="preserve"> </w:t>
                  </w:r>
                  <w:r>
                    <w:rPr>
                      <w:sz w:val="22"/>
                      <w:szCs w:val="22"/>
                    </w:rPr>
                    <w:t>Corte estratigráfico da vala de sondagem M27/J27</w:t>
                  </w:r>
                  <w:r w:rsidRPr="00B75AD4">
                    <w:rPr>
                      <w:sz w:val="40"/>
                      <w:szCs w:val="40"/>
                    </w:rPr>
                    <w:t>.</w:t>
                  </w:r>
                </w:p>
              </w:txbxContent>
            </v:textbox>
          </v:shape>
        </w:pict>
      </w:r>
      <w:r w:rsidR="009C68B2">
        <w:rPr>
          <w:color w:val="FF0000"/>
        </w:rPr>
        <w:tab/>
      </w:r>
      <w:r w:rsidR="009C68B2">
        <w:rPr>
          <w:color w:val="FF0000"/>
        </w:rPr>
        <w:tab/>
      </w:r>
      <w:r w:rsidR="009C68B2">
        <w:rPr>
          <w:color w:val="FF0000"/>
        </w:rPr>
        <w:tab/>
      </w:r>
      <w:r w:rsidR="009C68B2">
        <w:rPr>
          <w:color w:val="FF0000"/>
        </w:rPr>
        <w:tab/>
      </w:r>
      <w:r w:rsidR="009C68B2">
        <w:rPr>
          <w:noProof/>
          <w:color w:val="FF0000"/>
        </w:rPr>
        <w:drawing>
          <wp:inline distT="0" distB="0" distL="0" distR="0">
            <wp:extent cx="1805305" cy="8620760"/>
            <wp:effectExtent l="19050" t="0" r="4445" b="0"/>
            <wp:docPr id="402" name="Imagem 0" descr="Azicortefinalm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Azicortefinalmat.tif"/>
                    <pic:cNvPicPr>
                      <a:picLocks noChangeAspect="1" noChangeArrowheads="1"/>
                    </pic:cNvPicPr>
                  </pic:nvPicPr>
                  <pic:blipFill>
                    <a:blip r:embed="rId102" cstate="print"/>
                    <a:srcRect/>
                    <a:stretch>
                      <a:fillRect/>
                    </a:stretch>
                  </pic:blipFill>
                  <pic:spPr bwMode="auto">
                    <a:xfrm>
                      <a:off x="0" y="0"/>
                      <a:ext cx="1805305" cy="8620760"/>
                    </a:xfrm>
                    <a:prstGeom prst="rect">
                      <a:avLst/>
                    </a:prstGeom>
                    <a:noFill/>
                    <a:ln w="9525">
                      <a:noFill/>
                      <a:miter lim="800000"/>
                      <a:headEnd/>
                      <a:tailEnd/>
                    </a:ln>
                  </pic:spPr>
                </pic:pic>
              </a:graphicData>
            </a:graphic>
          </wp:inline>
        </w:drawing>
      </w:r>
    </w:p>
    <w:p w:rsidR="009C68B2" w:rsidRDefault="009C68B2" w:rsidP="009C68B2">
      <w:pPr>
        <w:rPr>
          <w:color w:val="FF0000"/>
        </w:rPr>
      </w:pPr>
    </w:p>
    <w:p w:rsidR="009C68B2" w:rsidRPr="00F40671" w:rsidRDefault="009C68B2" w:rsidP="009C68B2">
      <w:r w:rsidRPr="00F40671">
        <w:rPr>
          <w:b/>
        </w:rPr>
        <w:lastRenderedPageBreak/>
        <w:t>6.2.2</w:t>
      </w:r>
      <w:r>
        <w:t>-</w:t>
      </w:r>
      <w:r w:rsidRPr="00F40671">
        <w:t xml:space="preserve"> Datações</w:t>
      </w:r>
      <w:r>
        <w:t>.</w:t>
      </w:r>
    </w:p>
    <w:p w:rsidR="009C68B2" w:rsidRDefault="009C68B2" w:rsidP="009C68B2">
      <w:pPr>
        <w:rPr>
          <w:b/>
        </w:rPr>
      </w:pPr>
    </w:p>
    <w:p w:rsidR="009C68B2" w:rsidRDefault="009C68B2" w:rsidP="009C68B2">
      <w:pPr>
        <w:spacing w:line="360" w:lineRule="auto"/>
        <w:jc w:val="both"/>
      </w:pPr>
    </w:p>
    <w:p w:rsidR="009C68B2" w:rsidRPr="00E00D96" w:rsidRDefault="009C68B2" w:rsidP="009C68B2">
      <w:pPr>
        <w:spacing w:line="360" w:lineRule="auto"/>
        <w:ind w:firstLine="708"/>
        <w:jc w:val="both"/>
      </w:pPr>
      <w:r w:rsidRPr="00E00D96">
        <w:t xml:space="preserve">A datação desta ocupação realizou-se com recurso a datação por OSL sobre os sedimentos da </w:t>
      </w:r>
      <w:r>
        <w:t>GFU</w:t>
      </w:r>
      <w:r w:rsidRPr="00E00D96">
        <w:t xml:space="preserve"> </w:t>
      </w:r>
      <w:r>
        <w:t>2</w:t>
      </w:r>
      <w:r w:rsidRPr="00E00D96">
        <w:t xml:space="preserve"> imediatamente acima do nível arqueológico.</w:t>
      </w:r>
      <w:r>
        <w:t xml:space="preserve"> O protocolo utilizado foi idêntico ao protocolo desenvolvido na estação dos Pegos do Tejo 2. </w:t>
      </w:r>
      <w:r w:rsidRPr="00E00D96">
        <w:t xml:space="preserve">Obteve-se uma datação de </w:t>
      </w:r>
      <w:r w:rsidRPr="00616604">
        <w:t>apresentando um resultado de 61 ± 7 Ka (GLL código 050302)</w:t>
      </w:r>
      <w:r>
        <w:t>.</w:t>
      </w:r>
    </w:p>
    <w:p w:rsidR="009C68B2" w:rsidRDefault="009C68B2" w:rsidP="009C68B2">
      <w:pPr>
        <w:spacing w:line="360" w:lineRule="auto"/>
        <w:jc w:val="both"/>
      </w:pPr>
    </w:p>
    <w:p w:rsidR="009C68B2" w:rsidRDefault="00EA3774" w:rsidP="009C68B2">
      <w:pPr>
        <w:spacing w:line="360" w:lineRule="auto"/>
        <w:jc w:val="both"/>
      </w:pPr>
      <w:r>
        <w:rPr>
          <w:noProof/>
          <w:lang w:eastAsia="en-US"/>
        </w:rPr>
        <w:pict>
          <v:shape id="_x0000_s1488" type="#_x0000_t202" style="position:absolute;left:0;text-align:left;margin-left:-6.3pt;margin-top:390.85pt;width:423.75pt;height:46.5pt;z-index:251766784;mso-width-relative:margin;mso-height-relative:margin" stroked="f">
            <v:textbox style="mso-next-textbox:#_x0000_s1488">
              <w:txbxContent>
                <w:p w:rsidR="00B34B0F" w:rsidRPr="001160B5" w:rsidRDefault="00B34B0F" w:rsidP="009C68B2">
                  <w:pPr>
                    <w:jc w:val="both"/>
                    <w:rPr>
                      <w:b/>
                      <w:color w:val="FF0000"/>
                      <w:sz w:val="22"/>
                      <w:szCs w:val="22"/>
                    </w:rPr>
                  </w:pPr>
                  <w:r>
                    <w:rPr>
                      <w:sz w:val="22"/>
                      <w:szCs w:val="22"/>
                    </w:rPr>
                    <w:t>Foto</w:t>
                  </w:r>
                  <w:r w:rsidRPr="001160B5">
                    <w:rPr>
                      <w:sz w:val="22"/>
                      <w:szCs w:val="22"/>
                    </w:rPr>
                    <w:t xml:space="preserve"> 6.</w:t>
                  </w:r>
                  <w:r>
                    <w:rPr>
                      <w:sz w:val="22"/>
                      <w:szCs w:val="22"/>
                    </w:rPr>
                    <w:t>2</w:t>
                  </w:r>
                  <w:r w:rsidRPr="00D77F06">
                    <w:rPr>
                      <w:sz w:val="22"/>
                      <w:szCs w:val="22"/>
                    </w:rPr>
                    <w:t>.2</w:t>
                  </w:r>
                  <w:r w:rsidRPr="001160B5">
                    <w:rPr>
                      <w:sz w:val="22"/>
                      <w:szCs w:val="22"/>
                    </w:rPr>
                    <w:t xml:space="preserve"> – Trabalhos de recolha da amostra para datação no sítio </w:t>
                  </w:r>
                  <w:r>
                    <w:rPr>
                      <w:sz w:val="22"/>
                      <w:szCs w:val="22"/>
                    </w:rPr>
                    <w:t>Azinhal</w:t>
                  </w:r>
                  <w:r w:rsidRPr="001160B5">
                    <w:rPr>
                      <w:sz w:val="22"/>
                      <w:szCs w:val="22"/>
                    </w:rPr>
                    <w:t xml:space="preserve"> </w:t>
                  </w:r>
                  <w:r>
                    <w:rPr>
                      <w:sz w:val="22"/>
                      <w:szCs w:val="22"/>
                    </w:rPr>
                    <w:t xml:space="preserve">pelo </w:t>
                  </w:r>
                  <w:r w:rsidRPr="001160B5">
                    <w:rPr>
                      <w:sz w:val="22"/>
                      <w:szCs w:val="22"/>
                    </w:rPr>
                    <w:t>Prof. Do</w:t>
                  </w:r>
                  <w:r>
                    <w:rPr>
                      <w:sz w:val="22"/>
                      <w:szCs w:val="22"/>
                    </w:rPr>
                    <w:t xml:space="preserve">utor Morgan de Dapper </w:t>
                  </w:r>
                  <w:r w:rsidRPr="001160B5">
                    <w:rPr>
                      <w:sz w:val="22"/>
                      <w:szCs w:val="22"/>
                    </w:rPr>
                    <w:t>(Universidade de Ghent, Bélgica)</w:t>
                  </w:r>
                  <w:r>
                    <w:rPr>
                      <w:sz w:val="22"/>
                      <w:szCs w:val="22"/>
                    </w:rPr>
                    <w:t>. Esquerda: vista geral dos trabalhos, direita: aspeto da amostra antes de ser recolhida.</w:t>
                  </w:r>
                </w:p>
                <w:p w:rsidR="00B34B0F" w:rsidRDefault="00B34B0F" w:rsidP="009C68B2"/>
              </w:txbxContent>
            </v:textbox>
          </v:shape>
        </w:pict>
      </w:r>
      <w:r w:rsidR="009C68B2">
        <w:rPr>
          <w:noProof/>
        </w:rPr>
        <w:drawing>
          <wp:inline distT="0" distB="0" distL="0" distR="0">
            <wp:extent cx="3305175" cy="4943475"/>
            <wp:effectExtent l="19050" t="0" r="9525" b="0"/>
            <wp:docPr id="403" name="Imagem 5" descr="Foto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09"/>
                    <pic:cNvPicPr>
                      <a:picLocks noChangeAspect="1" noChangeArrowheads="1"/>
                    </pic:cNvPicPr>
                  </pic:nvPicPr>
                  <pic:blipFill>
                    <a:blip r:embed="rId103" cstate="print"/>
                    <a:srcRect/>
                    <a:stretch>
                      <a:fillRect/>
                    </a:stretch>
                  </pic:blipFill>
                  <pic:spPr bwMode="auto">
                    <a:xfrm>
                      <a:off x="0" y="0"/>
                      <a:ext cx="3305175" cy="4943475"/>
                    </a:xfrm>
                    <a:prstGeom prst="rect">
                      <a:avLst/>
                    </a:prstGeom>
                    <a:noFill/>
                    <a:ln w="9525">
                      <a:noFill/>
                      <a:miter lim="800000"/>
                      <a:headEnd/>
                      <a:tailEnd/>
                    </a:ln>
                  </pic:spPr>
                </pic:pic>
              </a:graphicData>
            </a:graphic>
          </wp:inline>
        </w:drawing>
      </w:r>
      <w:r w:rsidR="009C68B2">
        <w:rPr>
          <w:noProof/>
        </w:rPr>
        <w:drawing>
          <wp:inline distT="0" distB="0" distL="0" distR="0">
            <wp:extent cx="2000250" cy="2981325"/>
            <wp:effectExtent l="19050" t="0" r="0" b="0"/>
            <wp:docPr id="404" name="Imagem 6" descr="Foto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12"/>
                    <pic:cNvPicPr>
                      <a:picLocks noChangeAspect="1" noChangeArrowheads="1"/>
                    </pic:cNvPicPr>
                  </pic:nvPicPr>
                  <pic:blipFill>
                    <a:blip r:embed="rId104" cstate="print"/>
                    <a:srcRect/>
                    <a:stretch>
                      <a:fillRect/>
                    </a:stretch>
                  </pic:blipFill>
                  <pic:spPr bwMode="auto">
                    <a:xfrm>
                      <a:off x="0" y="0"/>
                      <a:ext cx="2000250" cy="2981325"/>
                    </a:xfrm>
                    <a:prstGeom prst="rect">
                      <a:avLst/>
                    </a:prstGeom>
                    <a:noFill/>
                    <a:ln w="9525">
                      <a:noFill/>
                      <a:miter lim="800000"/>
                      <a:headEnd/>
                      <a:tailEnd/>
                    </a:ln>
                  </pic:spPr>
                </pic:pic>
              </a:graphicData>
            </a:graphic>
          </wp:inline>
        </w:drawing>
      </w:r>
    </w:p>
    <w:p w:rsidR="009C68B2" w:rsidRDefault="009C68B2" w:rsidP="009C68B2">
      <w:pPr>
        <w:pStyle w:val="Avanodecorpodetexto"/>
        <w:spacing w:line="360" w:lineRule="auto"/>
        <w:ind w:left="0"/>
        <w:jc w:val="both"/>
      </w:pPr>
    </w:p>
    <w:p w:rsidR="009C68B2" w:rsidRDefault="009C68B2" w:rsidP="009C68B2">
      <w:pPr>
        <w:pStyle w:val="Avanodecorpodetexto"/>
        <w:spacing w:line="360" w:lineRule="auto"/>
        <w:ind w:left="0"/>
        <w:jc w:val="both"/>
      </w:pPr>
    </w:p>
    <w:p w:rsidR="009C68B2" w:rsidRDefault="009C68B2" w:rsidP="009C68B2">
      <w:pPr>
        <w:pStyle w:val="Avanodecorpodetexto"/>
        <w:spacing w:line="360" w:lineRule="auto"/>
        <w:ind w:left="0"/>
        <w:jc w:val="both"/>
      </w:pPr>
    </w:p>
    <w:p w:rsidR="009C68B2" w:rsidRDefault="009C68B2" w:rsidP="009C68B2">
      <w:pPr>
        <w:pStyle w:val="Avanodecorpodetexto"/>
        <w:spacing w:line="360" w:lineRule="auto"/>
        <w:ind w:left="0"/>
        <w:jc w:val="both"/>
      </w:pPr>
    </w:p>
    <w:p w:rsidR="009C68B2" w:rsidRDefault="009C68B2" w:rsidP="009C68B2">
      <w:pPr>
        <w:pStyle w:val="Avanodecorpodetexto"/>
        <w:spacing w:line="360" w:lineRule="auto"/>
        <w:ind w:left="0"/>
        <w:jc w:val="both"/>
      </w:pPr>
    </w:p>
    <w:p w:rsidR="009C68B2" w:rsidRDefault="009C68B2" w:rsidP="009C68B2">
      <w:pPr>
        <w:pStyle w:val="Avanodecorpodetexto"/>
        <w:spacing w:after="0" w:line="360" w:lineRule="auto"/>
        <w:ind w:left="0"/>
        <w:jc w:val="both"/>
      </w:pPr>
      <w:r w:rsidRPr="00F40671">
        <w:rPr>
          <w:b/>
        </w:rPr>
        <w:lastRenderedPageBreak/>
        <w:t>6.2.3</w:t>
      </w:r>
      <w:r>
        <w:t>- A indústria lítica.</w:t>
      </w:r>
    </w:p>
    <w:p w:rsidR="009C68B2" w:rsidRPr="005C2EE2" w:rsidRDefault="009C68B2" w:rsidP="009C68B2">
      <w:pPr>
        <w:pStyle w:val="Avanodecorpodetexto"/>
        <w:spacing w:after="0" w:line="360" w:lineRule="auto"/>
        <w:ind w:left="0"/>
        <w:jc w:val="both"/>
      </w:pPr>
    </w:p>
    <w:p w:rsidR="009C68B2" w:rsidRPr="005C2EE2" w:rsidRDefault="009C68B2" w:rsidP="009C68B2">
      <w:pPr>
        <w:pStyle w:val="Avanodecorpodetexto"/>
        <w:spacing w:after="0" w:line="360" w:lineRule="auto"/>
        <w:ind w:left="0" w:firstLine="708"/>
        <w:jc w:val="both"/>
        <w:rPr>
          <w:color w:val="FF0000"/>
        </w:rPr>
      </w:pPr>
      <w:r>
        <w:t>A a</w:t>
      </w:r>
      <w:r w:rsidRPr="005C2EE2">
        <w:t>nálise da indústria lítica do Azinhal assentou no protocolo anteriormente apresentado. A escavação do Azinhal resultou na exumação de um total de 272 peças</w:t>
      </w:r>
      <w:r>
        <w:t xml:space="preserve"> (Tabela 6.2.1)</w:t>
      </w:r>
      <w:r w:rsidRPr="005C2EE2">
        <w:t>. Desse conjunto foi feita uma triagem selec</w:t>
      </w:r>
      <w:r>
        <w:t xml:space="preserve">cionando as peças que mais dados poderiam trazer para uma melhor compreensão dos processos de produção da utensilagem lítica. Foram excluídos restos de talhe que, devido às suas características morfológicas, não permitiam o adequado enquadramento numa cadeia operativa bem definida. Como resultado desse processo foi possível estabelecer uma razão entre o número de peças recolhidas e o número de peças estudadas e que se apresenta no seguinte quadro: </w:t>
      </w:r>
    </w:p>
    <w:p w:rsidR="009C68B2" w:rsidRDefault="009C68B2" w:rsidP="009C68B2">
      <w:pPr>
        <w:pStyle w:val="Avanodecorpodetexto"/>
        <w:spacing w:line="360" w:lineRule="auto"/>
        <w:ind w:left="0" w:firstLine="708"/>
        <w:jc w:val="both"/>
      </w:pPr>
    </w:p>
    <w:tbl>
      <w:tblPr>
        <w:tblStyle w:val="SombreadoClaro-Cor5"/>
        <w:tblW w:w="0" w:type="auto"/>
        <w:tblInd w:w="108" w:type="dxa"/>
        <w:tblLook w:val="04A0"/>
      </w:tblPr>
      <w:tblGrid>
        <w:gridCol w:w="2308"/>
        <w:gridCol w:w="2320"/>
        <w:gridCol w:w="2135"/>
        <w:gridCol w:w="1849"/>
      </w:tblGrid>
      <w:tr w:rsidR="009C68B2" w:rsidTr="00632F9C">
        <w:trPr>
          <w:cnfStyle w:val="1000000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Quadrado</w:t>
            </w:r>
          </w:p>
        </w:tc>
        <w:tc>
          <w:tcPr>
            <w:tcW w:w="2320" w:type="dxa"/>
          </w:tcPr>
          <w:p w:rsidR="009C68B2" w:rsidRPr="00384B78" w:rsidRDefault="009C68B2" w:rsidP="00632F9C">
            <w:pPr>
              <w:pStyle w:val="Avanodecorpodetexto"/>
              <w:spacing w:line="360" w:lineRule="auto"/>
              <w:ind w:left="0"/>
              <w:jc w:val="both"/>
              <w:cnfStyle w:val="100000000000"/>
              <w:rPr>
                <w:color w:val="auto"/>
              </w:rPr>
            </w:pPr>
            <w:r w:rsidRPr="00384B78">
              <w:rPr>
                <w:color w:val="auto"/>
              </w:rPr>
              <w:t>Número de registos</w:t>
            </w:r>
          </w:p>
        </w:tc>
        <w:tc>
          <w:tcPr>
            <w:tcW w:w="2135" w:type="dxa"/>
          </w:tcPr>
          <w:p w:rsidR="009C68B2" w:rsidRPr="00384B78" w:rsidRDefault="009C68B2" w:rsidP="00632F9C">
            <w:pPr>
              <w:pStyle w:val="Avanodecorpodetexto"/>
              <w:spacing w:line="360" w:lineRule="auto"/>
              <w:ind w:left="0"/>
              <w:jc w:val="both"/>
              <w:cnfStyle w:val="100000000000"/>
              <w:rPr>
                <w:color w:val="auto"/>
              </w:rPr>
            </w:pPr>
            <w:r w:rsidRPr="00384B78">
              <w:rPr>
                <w:color w:val="auto"/>
              </w:rPr>
              <w:t xml:space="preserve">N.º </w:t>
            </w:r>
            <w:proofErr w:type="gramStart"/>
            <w:r w:rsidRPr="00384B78">
              <w:rPr>
                <w:color w:val="auto"/>
              </w:rPr>
              <w:t>peças</w:t>
            </w:r>
            <w:proofErr w:type="gramEnd"/>
            <w:r w:rsidRPr="00384B78">
              <w:rPr>
                <w:color w:val="auto"/>
              </w:rPr>
              <w:t xml:space="preserve"> estudado</w:t>
            </w:r>
          </w:p>
        </w:tc>
        <w:tc>
          <w:tcPr>
            <w:tcW w:w="1849" w:type="dxa"/>
          </w:tcPr>
          <w:p w:rsidR="009C68B2" w:rsidRPr="00384B78" w:rsidRDefault="009C68B2" w:rsidP="00632F9C">
            <w:pPr>
              <w:pStyle w:val="Avanodecorpodetexto"/>
              <w:spacing w:line="360" w:lineRule="auto"/>
              <w:ind w:left="0"/>
              <w:jc w:val="both"/>
              <w:cnfStyle w:val="100000000000"/>
              <w:rPr>
                <w:color w:val="auto"/>
              </w:rPr>
            </w:pPr>
            <w:r w:rsidRPr="00384B78">
              <w:rPr>
                <w:color w:val="auto"/>
              </w:rPr>
              <w:t>%</w:t>
            </w:r>
          </w:p>
        </w:tc>
      </w:tr>
      <w:tr w:rsidR="009C68B2" w:rsidTr="00632F9C">
        <w:trPr>
          <w:cnfStyle w:val="0000001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L5</w:t>
            </w:r>
          </w:p>
        </w:tc>
        <w:tc>
          <w:tcPr>
            <w:tcW w:w="2320"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80</w:t>
            </w:r>
          </w:p>
        </w:tc>
        <w:tc>
          <w:tcPr>
            <w:tcW w:w="2135"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46</w:t>
            </w:r>
          </w:p>
        </w:tc>
        <w:tc>
          <w:tcPr>
            <w:tcW w:w="1849"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57,5</w:t>
            </w:r>
          </w:p>
        </w:tc>
      </w:tr>
      <w:tr w:rsidR="009C68B2" w:rsidTr="00632F9C">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G26</w:t>
            </w:r>
          </w:p>
        </w:tc>
        <w:tc>
          <w:tcPr>
            <w:tcW w:w="2320"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27</w:t>
            </w:r>
          </w:p>
        </w:tc>
        <w:tc>
          <w:tcPr>
            <w:tcW w:w="2135"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17</w:t>
            </w:r>
          </w:p>
        </w:tc>
        <w:tc>
          <w:tcPr>
            <w:tcW w:w="1849"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62,96</w:t>
            </w:r>
          </w:p>
        </w:tc>
      </w:tr>
      <w:tr w:rsidR="009C68B2" w:rsidTr="00632F9C">
        <w:trPr>
          <w:cnfStyle w:val="0000001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M26</w:t>
            </w:r>
          </w:p>
        </w:tc>
        <w:tc>
          <w:tcPr>
            <w:tcW w:w="2320"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42</w:t>
            </w:r>
          </w:p>
        </w:tc>
        <w:tc>
          <w:tcPr>
            <w:tcW w:w="2135"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22</w:t>
            </w:r>
          </w:p>
        </w:tc>
        <w:tc>
          <w:tcPr>
            <w:tcW w:w="1849"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52,38</w:t>
            </w:r>
          </w:p>
        </w:tc>
      </w:tr>
      <w:tr w:rsidR="009C68B2" w:rsidTr="00632F9C">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J27</w:t>
            </w:r>
          </w:p>
        </w:tc>
        <w:tc>
          <w:tcPr>
            <w:tcW w:w="2320"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21</w:t>
            </w:r>
          </w:p>
        </w:tc>
        <w:tc>
          <w:tcPr>
            <w:tcW w:w="2135"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16</w:t>
            </w:r>
          </w:p>
        </w:tc>
        <w:tc>
          <w:tcPr>
            <w:tcW w:w="1849"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76,19</w:t>
            </w:r>
          </w:p>
        </w:tc>
      </w:tr>
      <w:tr w:rsidR="009C68B2" w:rsidTr="00632F9C">
        <w:trPr>
          <w:cnfStyle w:val="0000001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K27</w:t>
            </w:r>
          </w:p>
        </w:tc>
        <w:tc>
          <w:tcPr>
            <w:tcW w:w="2320"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35</w:t>
            </w:r>
          </w:p>
        </w:tc>
        <w:tc>
          <w:tcPr>
            <w:tcW w:w="2135"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18</w:t>
            </w:r>
          </w:p>
        </w:tc>
        <w:tc>
          <w:tcPr>
            <w:tcW w:w="1849"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51,42</w:t>
            </w:r>
          </w:p>
        </w:tc>
      </w:tr>
      <w:tr w:rsidR="009C68B2" w:rsidTr="00632F9C">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L27</w:t>
            </w:r>
          </w:p>
        </w:tc>
        <w:tc>
          <w:tcPr>
            <w:tcW w:w="2320"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19</w:t>
            </w:r>
          </w:p>
        </w:tc>
        <w:tc>
          <w:tcPr>
            <w:tcW w:w="2135"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19</w:t>
            </w:r>
          </w:p>
        </w:tc>
        <w:tc>
          <w:tcPr>
            <w:tcW w:w="1849"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100</w:t>
            </w:r>
          </w:p>
        </w:tc>
      </w:tr>
      <w:tr w:rsidR="009C68B2" w:rsidTr="00632F9C">
        <w:trPr>
          <w:cnfStyle w:val="0000001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M27</w:t>
            </w:r>
          </w:p>
        </w:tc>
        <w:tc>
          <w:tcPr>
            <w:tcW w:w="2320"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13</w:t>
            </w:r>
          </w:p>
        </w:tc>
        <w:tc>
          <w:tcPr>
            <w:tcW w:w="2135"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13</w:t>
            </w:r>
          </w:p>
        </w:tc>
        <w:tc>
          <w:tcPr>
            <w:tcW w:w="1849"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100</w:t>
            </w:r>
          </w:p>
        </w:tc>
      </w:tr>
      <w:tr w:rsidR="009C68B2" w:rsidTr="00632F9C">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WA26</w:t>
            </w:r>
          </w:p>
        </w:tc>
        <w:tc>
          <w:tcPr>
            <w:tcW w:w="2320"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35</w:t>
            </w:r>
          </w:p>
        </w:tc>
        <w:tc>
          <w:tcPr>
            <w:tcW w:w="2135"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26</w:t>
            </w:r>
          </w:p>
        </w:tc>
        <w:tc>
          <w:tcPr>
            <w:tcW w:w="1849" w:type="dxa"/>
          </w:tcPr>
          <w:p w:rsidR="009C68B2" w:rsidRPr="00384B78" w:rsidRDefault="009C68B2" w:rsidP="00632F9C">
            <w:pPr>
              <w:pStyle w:val="Avanodecorpodetexto"/>
              <w:spacing w:line="360" w:lineRule="auto"/>
              <w:ind w:left="0"/>
              <w:jc w:val="both"/>
              <w:cnfStyle w:val="000000000000"/>
              <w:rPr>
                <w:color w:val="auto"/>
              </w:rPr>
            </w:pPr>
            <w:r w:rsidRPr="00384B78">
              <w:rPr>
                <w:color w:val="auto"/>
              </w:rPr>
              <w:t>74,28</w:t>
            </w:r>
          </w:p>
        </w:tc>
      </w:tr>
      <w:tr w:rsidR="009C68B2" w:rsidTr="00632F9C">
        <w:trPr>
          <w:cnfStyle w:val="000000100000"/>
        </w:trPr>
        <w:tc>
          <w:tcPr>
            <w:cnfStyle w:val="001000000000"/>
            <w:tcW w:w="2308" w:type="dxa"/>
          </w:tcPr>
          <w:p w:rsidR="009C68B2" w:rsidRPr="00384B78" w:rsidRDefault="009C68B2" w:rsidP="00632F9C">
            <w:pPr>
              <w:pStyle w:val="Avanodecorpodetexto"/>
              <w:spacing w:line="360" w:lineRule="auto"/>
              <w:ind w:left="0"/>
              <w:jc w:val="both"/>
              <w:rPr>
                <w:color w:val="auto"/>
              </w:rPr>
            </w:pPr>
            <w:r w:rsidRPr="00384B78">
              <w:rPr>
                <w:color w:val="auto"/>
              </w:rPr>
              <w:t xml:space="preserve">Total </w:t>
            </w:r>
          </w:p>
        </w:tc>
        <w:tc>
          <w:tcPr>
            <w:tcW w:w="2320"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272</w:t>
            </w:r>
          </w:p>
        </w:tc>
        <w:tc>
          <w:tcPr>
            <w:tcW w:w="2135"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177</w:t>
            </w:r>
          </w:p>
        </w:tc>
        <w:tc>
          <w:tcPr>
            <w:tcW w:w="1849" w:type="dxa"/>
          </w:tcPr>
          <w:p w:rsidR="009C68B2" w:rsidRPr="00384B78" w:rsidRDefault="009C68B2" w:rsidP="00632F9C">
            <w:pPr>
              <w:pStyle w:val="Avanodecorpodetexto"/>
              <w:spacing w:line="360" w:lineRule="auto"/>
              <w:ind w:left="0"/>
              <w:jc w:val="both"/>
              <w:cnfStyle w:val="000000100000"/>
              <w:rPr>
                <w:color w:val="auto"/>
              </w:rPr>
            </w:pPr>
            <w:r w:rsidRPr="00384B78">
              <w:rPr>
                <w:color w:val="auto"/>
              </w:rPr>
              <w:t>65,07</w:t>
            </w:r>
          </w:p>
        </w:tc>
      </w:tr>
    </w:tbl>
    <w:p w:rsidR="009C68B2" w:rsidRDefault="00EA3774" w:rsidP="009C68B2">
      <w:pPr>
        <w:pStyle w:val="Avanodecorpodetexto"/>
        <w:spacing w:line="360" w:lineRule="auto"/>
        <w:ind w:left="0" w:firstLine="708"/>
        <w:jc w:val="both"/>
      </w:pPr>
      <w:r>
        <w:rPr>
          <w:noProof/>
          <w:lang w:eastAsia="en-US"/>
        </w:rPr>
        <w:pict>
          <v:shape id="_x0000_s1457" type="#_x0000_t202" style="position:absolute;left:0;text-align:left;margin-left:0;margin-top:0;width:430.85pt;height:19.85pt;z-index:251735040;mso-height-percent:200;mso-position-horizontal:center;mso-position-horizontal-relative:text;mso-position-vertical-relative:text;mso-height-percent:200;mso-width-relative:margin;mso-height-relative:margin" stroked="f">
            <v:textbox style="mso-next-textbox:#_x0000_s1457;mso-fit-shape-to-text:t">
              <w:txbxContent>
                <w:p w:rsidR="00B34B0F" w:rsidRPr="005C2EE2" w:rsidRDefault="00B34B0F" w:rsidP="009C68B2">
                  <w:pPr>
                    <w:rPr>
                      <w:sz w:val="22"/>
                      <w:szCs w:val="22"/>
                    </w:rPr>
                  </w:pPr>
                  <w:r w:rsidRPr="005C2EE2">
                    <w:rPr>
                      <w:sz w:val="22"/>
                      <w:szCs w:val="22"/>
                    </w:rPr>
                    <w:t xml:space="preserve">Tabela 6.2.1- </w:t>
                  </w:r>
                  <w:r>
                    <w:rPr>
                      <w:sz w:val="22"/>
                      <w:szCs w:val="22"/>
                    </w:rPr>
                    <w:t>Azinhal: n</w:t>
                  </w:r>
                  <w:r w:rsidRPr="005C2EE2">
                    <w:rPr>
                      <w:sz w:val="22"/>
                      <w:szCs w:val="22"/>
                    </w:rPr>
                    <w:t>úmero de peças recolhidas</w:t>
                  </w:r>
                  <w:proofErr w:type="gramStart"/>
                  <w:r w:rsidRPr="005C2EE2">
                    <w:rPr>
                      <w:sz w:val="22"/>
                      <w:szCs w:val="22"/>
                    </w:rPr>
                    <w:t>,</w:t>
                  </w:r>
                  <w:proofErr w:type="gramEnd"/>
                  <w:r w:rsidRPr="005C2EE2">
                    <w:rPr>
                      <w:sz w:val="22"/>
                      <w:szCs w:val="22"/>
                    </w:rPr>
                    <w:t xml:space="preserve"> peças estudadas e razão entre as duas.</w:t>
                  </w:r>
                </w:p>
              </w:txbxContent>
            </v:textbox>
          </v:shape>
        </w:pict>
      </w:r>
    </w:p>
    <w:p w:rsidR="009C68B2" w:rsidRDefault="009C68B2" w:rsidP="009C68B2">
      <w:pPr>
        <w:pStyle w:val="Avanodecorpodetexto"/>
        <w:spacing w:line="360" w:lineRule="auto"/>
        <w:ind w:left="0" w:firstLine="708"/>
        <w:jc w:val="both"/>
      </w:pPr>
    </w:p>
    <w:p w:rsidR="009C68B2" w:rsidRDefault="009C68B2" w:rsidP="009C68B2">
      <w:pPr>
        <w:pStyle w:val="Avanodecorpodetexto"/>
        <w:spacing w:line="360" w:lineRule="auto"/>
        <w:ind w:left="0" w:firstLine="708"/>
        <w:jc w:val="both"/>
      </w:pPr>
      <w:r>
        <w:t>A observação macroscópica de toda a colecção permitiu verificar que algumas peças desta colecção apresentavam uma face patinada enquanto a outra se encontrava em boas condições de preservação. Este factor poderá indicar que o material esteve exposto aos elementos durante um período desconhecido de tempo, antes de processos de sedimentação recobrirem este sítio definitivamente.</w:t>
      </w:r>
    </w:p>
    <w:p w:rsidR="009C68B2" w:rsidRDefault="009C68B2" w:rsidP="009C68B2">
      <w:pPr>
        <w:autoSpaceDE w:val="0"/>
        <w:autoSpaceDN w:val="0"/>
        <w:adjustRightInd w:val="0"/>
      </w:pPr>
      <w:r>
        <w:lastRenderedPageBreak/>
        <w:t>6.2.3.</w:t>
      </w:r>
      <w:r w:rsidRPr="009C1C5C">
        <w:t>1- Matéria-prima</w:t>
      </w: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r>
        <w:t xml:space="preserve">Quando o estudo de uma colecção arqueológica, constituída por indústria lítica, se baseia nos princípios de cadeia operatória, a análise da matéria-prima pode trazer à superfície todo um conjunto considerável de informações que, recorrendo a outra abordagem metodológica, passariam despercebidos. Através desta abordagem, são importantes os factores como o tipo de suporte utilizado, de onde provêm, que rochas são seleccionadas e que tipo de percutor é utilizado.  </w:t>
      </w:r>
    </w:p>
    <w:p w:rsidR="009C68B2" w:rsidRDefault="009C68B2" w:rsidP="009C68B2">
      <w:pPr>
        <w:autoSpaceDE w:val="0"/>
        <w:autoSpaceDN w:val="0"/>
        <w:adjustRightInd w:val="0"/>
        <w:spacing w:line="360" w:lineRule="auto"/>
      </w:pPr>
    </w:p>
    <w:p w:rsidR="009C68B2" w:rsidRDefault="009C68B2" w:rsidP="009C68B2">
      <w:pPr>
        <w:autoSpaceDE w:val="0"/>
        <w:autoSpaceDN w:val="0"/>
        <w:adjustRightInd w:val="0"/>
        <w:spacing w:line="360" w:lineRule="auto"/>
        <w:ind w:firstLine="708"/>
        <w:jc w:val="both"/>
      </w:pPr>
      <w:r>
        <w:t>No sítio do Azinhal verifica-se que o suporte utilizado maioritariamente é a placa</w:t>
      </w:r>
      <w:r w:rsidRPr="00FD4EFE">
        <w:rPr>
          <w:sz w:val="22"/>
          <w:szCs w:val="22"/>
        </w:rPr>
        <w:t xml:space="preserve"> </w:t>
      </w:r>
      <w:r>
        <w:rPr>
          <w:sz w:val="22"/>
          <w:szCs w:val="22"/>
        </w:rPr>
        <w:t>(</w:t>
      </w:r>
      <w:r w:rsidRPr="005C2EE2">
        <w:rPr>
          <w:sz w:val="22"/>
          <w:szCs w:val="22"/>
        </w:rPr>
        <w:t>Gráfico 6.2.1</w:t>
      </w:r>
      <w:r>
        <w:rPr>
          <w:sz w:val="22"/>
          <w:szCs w:val="22"/>
        </w:rPr>
        <w:t>)</w:t>
      </w:r>
      <w:r>
        <w:t>.</w:t>
      </w:r>
      <w:r w:rsidRPr="0094333B">
        <w:t xml:space="preserve"> </w:t>
      </w:r>
      <w:r>
        <w:t>Estas placas correspondem a fragmentos de quartzito que se vão desprendendo gradualmente das cristas quartzíticas Ordovícicas. No entanto, recorreu-se também a uma grande percentagem de seixos rolados para fabricar as ferramentas pretendidas, nesta estação. A este número de seixos deverá ainda ser adicionada parte do material que não foi possível determinar e que constitui cerca de 33% do conjunto.</w:t>
      </w:r>
    </w:p>
    <w:p w:rsidR="009C68B2" w:rsidRDefault="009C68B2" w:rsidP="009C68B2">
      <w:pPr>
        <w:autoSpaceDE w:val="0"/>
        <w:autoSpaceDN w:val="0"/>
        <w:adjustRightInd w:val="0"/>
      </w:pPr>
    </w:p>
    <w:p w:rsidR="009C68B2" w:rsidRDefault="00EA3774" w:rsidP="009C68B2">
      <w:pPr>
        <w:autoSpaceDE w:val="0"/>
        <w:autoSpaceDN w:val="0"/>
        <w:adjustRightInd w:val="0"/>
        <w:jc w:val="center"/>
      </w:pPr>
      <w:r>
        <w:rPr>
          <w:noProof/>
          <w:lang w:eastAsia="en-US"/>
        </w:rPr>
        <w:pict>
          <v:shape id="_x0000_s1458" type="#_x0000_t202" style="position:absolute;left:0;text-align:left;margin-left:45.3pt;margin-top:239.65pt;width:363.35pt;height:23.75pt;z-index:251736064;mso-width-relative:margin;mso-height-relative:margin" stroked="f">
            <v:textbox style="mso-next-textbox:#_x0000_s1458">
              <w:txbxContent>
                <w:p w:rsidR="00B34B0F" w:rsidRPr="005C2EE2" w:rsidRDefault="00B34B0F" w:rsidP="009C68B2">
                  <w:r w:rsidRPr="005C2EE2">
                    <w:rPr>
                      <w:sz w:val="22"/>
                      <w:szCs w:val="22"/>
                    </w:rPr>
                    <w:t>Gráfico 6.2.1- Su</w:t>
                  </w:r>
                  <w:r>
                    <w:rPr>
                      <w:sz w:val="22"/>
                      <w:szCs w:val="22"/>
                    </w:rPr>
                    <w:t xml:space="preserve">porte da matéria-prima utilizada </w:t>
                  </w:r>
                  <w:r w:rsidRPr="00F06C36">
                    <w:rPr>
                      <w:sz w:val="22"/>
                      <w:szCs w:val="22"/>
                    </w:rPr>
                    <w:t>na estação do Azinhal</w:t>
                  </w:r>
                  <w:r w:rsidRPr="005C2EE2">
                    <w:rPr>
                      <w:sz w:val="22"/>
                      <w:szCs w:val="22"/>
                    </w:rPr>
                    <w:t>.</w:t>
                  </w:r>
                </w:p>
              </w:txbxContent>
            </v:textbox>
          </v:shape>
        </w:pict>
      </w:r>
      <w:r w:rsidR="009C68B2">
        <w:rPr>
          <w:noProof/>
        </w:rPr>
        <w:object w:dxaOrig="7212" w:dyaOrig="4085">
          <v:shape id="_x0000_i1044" type="#_x0000_t75" style="width:6in;height:246.15pt" o:ole="">
            <v:imagedata r:id="rId105" o:title=""/>
          </v:shape>
          <o:OLEObject Type="Embed" ProgID="Excel.Sheet.12" ShapeID="_x0000_i1044" DrawAspect="Content" ObjectID="_1556969324" r:id="rId106"/>
        </w:objec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No que à origem da matéria-prima diz respeito verifica-se que a percentagem de matéria-prima autóctone representa cerca de 67 % da população estudada (</w:t>
      </w:r>
      <w:r w:rsidRPr="005C2EE2">
        <w:rPr>
          <w:sz w:val="22"/>
          <w:szCs w:val="22"/>
        </w:rPr>
        <w:t>Gráfico 6.</w:t>
      </w:r>
      <w:r>
        <w:rPr>
          <w:sz w:val="22"/>
          <w:szCs w:val="22"/>
        </w:rPr>
        <w:t>2</w:t>
      </w:r>
      <w:r w:rsidRPr="005C2EE2">
        <w:rPr>
          <w:sz w:val="22"/>
          <w:szCs w:val="22"/>
        </w:rPr>
        <w:t>.2</w:t>
      </w:r>
      <w:r>
        <w:rPr>
          <w:sz w:val="22"/>
          <w:szCs w:val="22"/>
        </w:rPr>
        <w:t>)</w:t>
      </w:r>
      <w:r>
        <w:t xml:space="preserve">. O conjunto de rochas com origem externa representa 24 % da indústria lítica exumada no sítio do Azinhal. Não foi possível definir a origem a cerca de 9% do total da amostra. </w:t>
      </w:r>
    </w:p>
    <w:p w:rsidR="009C68B2" w:rsidRDefault="009C68B2" w:rsidP="009C68B2">
      <w:pPr>
        <w:tabs>
          <w:tab w:val="left" w:pos="3969"/>
          <w:tab w:val="left" w:pos="4253"/>
        </w:tabs>
        <w:autoSpaceDE w:val="0"/>
        <w:autoSpaceDN w:val="0"/>
        <w:adjustRightInd w:val="0"/>
        <w:jc w:val="center"/>
      </w:pPr>
      <w:r>
        <w:rPr>
          <w:noProof/>
        </w:rPr>
        <w:object w:dxaOrig="7318" w:dyaOrig="4085">
          <v:shape id="_x0000_i1045" type="#_x0000_t75" style="width:399.35pt;height:222.7pt" o:ole="">
            <v:imagedata r:id="rId107" o:title=""/>
          </v:shape>
          <o:OLEObject Type="Embed" ProgID="Excel.Sheet.12" ShapeID="_x0000_i1045" DrawAspect="Content" ObjectID="_1556969325" r:id="rId108"/>
        </w:object>
      </w:r>
    </w:p>
    <w:p w:rsidR="009C68B2" w:rsidRDefault="00EA3774" w:rsidP="009C68B2">
      <w:pPr>
        <w:autoSpaceDE w:val="0"/>
        <w:autoSpaceDN w:val="0"/>
        <w:adjustRightInd w:val="0"/>
      </w:pPr>
      <w:r>
        <w:rPr>
          <w:noProof/>
          <w:lang w:eastAsia="en-US"/>
        </w:rPr>
        <w:pict>
          <v:shape id="_x0000_s1459" type="#_x0000_t202" style="position:absolute;margin-left:0;margin-top:.5pt;width:363.65pt;height:19.85pt;z-index:251737088;mso-height-percent:200;mso-position-horizontal:center;mso-height-percent:200;mso-width-relative:margin;mso-height-relative:margin" stroked="f">
            <v:textbox style="mso-next-textbox:#_x0000_s1459;mso-fit-shape-to-text:t">
              <w:txbxContent>
                <w:p w:rsidR="00B34B0F" w:rsidRPr="005C2EE2" w:rsidRDefault="00B34B0F" w:rsidP="009C68B2">
                  <w:r w:rsidRPr="005C2EE2">
                    <w:rPr>
                      <w:sz w:val="22"/>
                      <w:szCs w:val="22"/>
                    </w:rPr>
                    <w:t>Gráfico 6.</w:t>
                  </w:r>
                  <w:r>
                    <w:rPr>
                      <w:sz w:val="22"/>
                      <w:szCs w:val="22"/>
                    </w:rPr>
                    <w:t>2</w:t>
                  </w:r>
                  <w:r w:rsidRPr="005C2EE2">
                    <w:rPr>
                      <w:sz w:val="22"/>
                      <w:szCs w:val="22"/>
                    </w:rPr>
                    <w:t>.2- Origem da matéria-prima</w:t>
                  </w:r>
                  <w:r>
                    <w:rPr>
                      <w:sz w:val="22"/>
                      <w:szCs w:val="22"/>
                    </w:rPr>
                    <w:t xml:space="preserve"> recolhida </w:t>
                  </w:r>
                  <w:r w:rsidRPr="00F06C36">
                    <w:rPr>
                      <w:sz w:val="22"/>
                      <w:szCs w:val="22"/>
                    </w:rPr>
                    <w:t>na estação do Azinhal</w:t>
                  </w:r>
                  <w:r w:rsidRPr="005C2EE2">
                    <w:rPr>
                      <w:sz w:val="22"/>
                      <w:szCs w:val="22"/>
                    </w:rPr>
                    <w:t>.</w:t>
                  </w:r>
                </w:p>
              </w:txbxContent>
            </v:textbox>
          </v:shape>
        </w:pict>
      </w:r>
      <w:r w:rsidR="009C68B2">
        <w:t xml:space="preserve"> </w: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Quanto ao tipo de matéria-prima utilizado domina o recurso ao quartzito com 62% das peças recolhidas a serem talhadas neste tipo de rocha</w:t>
      </w:r>
      <w:r w:rsidRPr="00CF2EED">
        <w:rPr>
          <w:sz w:val="22"/>
          <w:szCs w:val="22"/>
        </w:rPr>
        <w:t xml:space="preserve"> </w:t>
      </w:r>
      <w:r>
        <w:rPr>
          <w:sz w:val="22"/>
          <w:szCs w:val="22"/>
        </w:rPr>
        <w:t>(</w:t>
      </w:r>
      <w:r w:rsidRPr="005C2EE2">
        <w:rPr>
          <w:sz w:val="22"/>
          <w:szCs w:val="22"/>
        </w:rPr>
        <w:t>Gráfico 6.</w:t>
      </w:r>
      <w:r>
        <w:rPr>
          <w:sz w:val="22"/>
          <w:szCs w:val="22"/>
        </w:rPr>
        <w:t>2</w:t>
      </w:r>
      <w:r w:rsidRPr="005C2EE2">
        <w:rPr>
          <w:sz w:val="22"/>
          <w:szCs w:val="22"/>
        </w:rPr>
        <w:t>.</w:t>
      </w:r>
      <w:r>
        <w:rPr>
          <w:sz w:val="22"/>
          <w:szCs w:val="22"/>
        </w:rPr>
        <w:t>3)</w:t>
      </w:r>
      <w:r>
        <w:t xml:space="preserve">. O quartzo e o cristal de rocha aparecem em segundo e terceiro lugares na escolha dos talhadores do Azinhal com, respectivamente, 29% e 7% do total. O sílex é utilizado de forma residual representando 2% da população. O arenito é representado por um número reduzido de peças sem peso estatístico. O sílex encontrado neste sítio é proveniente de nódulos que se podem encontrar no terraço T1. </w: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jc w:val="center"/>
      </w:pPr>
      <w:r>
        <w:rPr>
          <w:noProof/>
        </w:rPr>
        <w:object w:dxaOrig="7212" w:dyaOrig="4085">
          <v:shape id="_x0000_i1046" type="#_x0000_t75" style="width:406.05pt;height:229.4pt" o:ole="">
            <v:imagedata r:id="rId109" o:title=""/>
          </v:shape>
          <o:OLEObject Type="Embed" ProgID="Excel.Sheet.12" ShapeID="_x0000_i1046" DrawAspect="Content" ObjectID="_1556969326" r:id="rId110"/>
        </w:object>
      </w:r>
    </w:p>
    <w:p w:rsidR="009C68B2" w:rsidRDefault="00EA3774" w:rsidP="009C68B2">
      <w:pPr>
        <w:autoSpaceDE w:val="0"/>
        <w:autoSpaceDN w:val="0"/>
        <w:adjustRightInd w:val="0"/>
      </w:pPr>
      <w:r>
        <w:rPr>
          <w:noProof/>
          <w:lang w:eastAsia="en-US"/>
        </w:rPr>
        <w:pict>
          <v:shape id="_x0000_s1460" type="#_x0000_t202" style="position:absolute;margin-left:0;margin-top:0;width:353.5pt;height:19.85pt;z-index:251738112;mso-height-percent:200;mso-position-horizontal:center;mso-height-percent:200;mso-width-relative:margin;mso-height-relative:margin" stroked="f">
            <v:textbox style="mso-next-textbox:#_x0000_s1460;mso-fit-shape-to-text:t">
              <w:txbxContent>
                <w:p w:rsidR="00B34B0F" w:rsidRPr="005C2EE2" w:rsidRDefault="00B34B0F" w:rsidP="009C68B2">
                  <w:r w:rsidRPr="005C2EE2">
                    <w:rPr>
                      <w:sz w:val="22"/>
                      <w:szCs w:val="22"/>
                    </w:rPr>
                    <w:t>Gráfico 6.</w:t>
                  </w:r>
                  <w:r>
                    <w:rPr>
                      <w:sz w:val="22"/>
                      <w:szCs w:val="22"/>
                    </w:rPr>
                    <w:t>2</w:t>
                  </w:r>
                  <w:r w:rsidRPr="005C2EE2">
                    <w:rPr>
                      <w:sz w:val="22"/>
                      <w:szCs w:val="22"/>
                    </w:rPr>
                    <w:t>.</w:t>
                  </w:r>
                  <w:r>
                    <w:rPr>
                      <w:sz w:val="22"/>
                      <w:szCs w:val="22"/>
                    </w:rPr>
                    <w:t>3</w:t>
                  </w:r>
                  <w:r w:rsidRPr="005C2EE2">
                    <w:rPr>
                      <w:sz w:val="22"/>
                      <w:szCs w:val="22"/>
                    </w:rPr>
                    <w:t>- Tipo de matéria-prima utilizada</w:t>
                  </w:r>
                  <w:r w:rsidRPr="00F06C36">
                    <w:rPr>
                      <w:sz w:val="22"/>
                      <w:szCs w:val="22"/>
                    </w:rPr>
                    <w:t xml:space="preserve"> na estação do Azinhal</w:t>
                  </w:r>
                  <w:r w:rsidRPr="005C2EE2">
                    <w:rPr>
                      <w:sz w:val="22"/>
                      <w:szCs w:val="22"/>
                    </w:rPr>
                    <w:t>.</w:t>
                  </w:r>
                </w:p>
              </w:txbxContent>
            </v:textbox>
          </v:shape>
        </w:pict>
      </w:r>
    </w:p>
    <w:p w:rsidR="009C68B2" w:rsidRDefault="009C68B2" w:rsidP="009C68B2">
      <w:pPr>
        <w:autoSpaceDE w:val="0"/>
        <w:autoSpaceDN w:val="0"/>
        <w:adjustRightInd w:val="0"/>
        <w:spacing w:line="360" w:lineRule="auto"/>
        <w:ind w:firstLine="708"/>
        <w:jc w:val="both"/>
      </w:pPr>
      <w:r>
        <w:lastRenderedPageBreak/>
        <w:t>A indústria do Azinhal revelou-se em boas condições de conservação. Do conjunto lítico analisado nesta estação 98% apresenta-se fresco enquanto uma minoria residual se encontra patinada</w:t>
      </w:r>
      <w:r w:rsidRPr="00CF2EED">
        <w:rPr>
          <w:sz w:val="22"/>
          <w:szCs w:val="22"/>
        </w:rPr>
        <w:t xml:space="preserve"> </w:t>
      </w:r>
      <w:r>
        <w:rPr>
          <w:sz w:val="22"/>
          <w:szCs w:val="22"/>
        </w:rPr>
        <w:t>(</w:t>
      </w:r>
      <w:r w:rsidRPr="00F06C36">
        <w:rPr>
          <w:sz w:val="22"/>
          <w:szCs w:val="22"/>
        </w:rPr>
        <w:t>Gráfico 6.</w:t>
      </w:r>
      <w:r>
        <w:rPr>
          <w:sz w:val="22"/>
          <w:szCs w:val="22"/>
        </w:rPr>
        <w:t>2</w:t>
      </w:r>
      <w:r w:rsidRPr="00F06C36">
        <w:rPr>
          <w:sz w:val="22"/>
          <w:szCs w:val="22"/>
        </w:rPr>
        <w:t>.4</w:t>
      </w:r>
      <w:r>
        <w:rPr>
          <w:sz w:val="22"/>
          <w:szCs w:val="22"/>
        </w:rPr>
        <w:t>)</w:t>
      </w:r>
      <w:r>
        <w:t>. Como já foi anteriormente referido algumas peças apresentavam dupla patine. Nestes casos consideraram-se as peças como estando frescas, uma vez que a patine existente nelas não implicou transporte mas sim resulta de erosão eólica.</w:t>
      </w:r>
    </w:p>
    <w:p w:rsidR="009C68B2" w:rsidRDefault="00EA3774" w:rsidP="009C68B2">
      <w:pPr>
        <w:autoSpaceDE w:val="0"/>
        <w:autoSpaceDN w:val="0"/>
        <w:adjustRightInd w:val="0"/>
        <w:jc w:val="center"/>
      </w:pPr>
      <w:r>
        <w:rPr>
          <w:noProof/>
          <w:lang w:eastAsia="en-US"/>
        </w:rPr>
        <w:pict>
          <v:shape id="_x0000_s1461" type="#_x0000_t202" style="position:absolute;left:0;text-align:left;margin-left:30.65pt;margin-top:193.45pt;width:363.8pt;height:32.5pt;z-index:251739136;mso-height-percent:200;mso-height-percent:200;mso-width-relative:margin;mso-height-relative:margin" stroked="f">
            <v:textbox style="mso-next-textbox:#_x0000_s1461;mso-fit-shape-to-text:t">
              <w:txbxContent>
                <w:p w:rsidR="00B34B0F" w:rsidRPr="00F06C36" w:rsidRDefault="00B34B0F" w:rsidP="009C68B2">
                  <w:r w:rsidRPr="00F06C36">
                    <w:rPr>
                      <w:sz w:val="22"/>
                      <w:szCs w:val="22"/>
                    </w:rPr>
                    <w:t>Gráfico 6.</w:t>
                  </w:r>
                  <w:r>
                    <w:rPr>
                      <w:sz w:val="22"/>
                      <w:szCs w:val="22"/>
                    </w:rPr>
                    <w:t>2</w:t>
                  </w:r>
                  <w:r w:rsidRPr="00F06C36">
                    <w:rPr>
                      <w:sz w:val="22"/>
                      <w:szCs w:val="22"/>
                    </w:rPr>
                    <w:t xml:space="preserve">.4- </w:t>
                  </w:r>
                  <w:r>
                    <w:rPr>
                      <w:sz w:val="22"/>
                      <w:szCs w:val="22"/>
                    </w:rPr>
                    <w:t>Estado de conservação</w:t>
                  </w:r>
                  <w:r w:rsidRPr="00F06C36">
                    <w:rPr>
                      <w:sz w:val="22"/>
                      <w:szCs w:val="22"/>
                    </w:rPr>
                    <w:t xml:space="preserve"> da </w:t>
                  </w:r>
                  <w:r>
                    <w:rPr>
                      <w:sz w:val="22"/>
                      <w:szCs w:val="22"/>
                    </w:rPr>
                    <w:t>indústria lítica</w:t>
                  </w:r>
                  <w:r w:rsidRPr="00F06C36">
                    <w:rPr>
                      <w:sz w:val="22"/>
                      <w:szCs w:val="22"/>
                    </w:rPr>
                    <w:t xml:space="preserve"> </w:t>
                  </w:r>
                  <w:r>
                    <w:rPr>
                      <w:sz w:val="22"/>
                      <w:szCs w:val="22"/>
                    </w:rPr>
                    <w:t xml:space="preserve">recolhida </w:t>
                  </w:r>
                  <w:r w:rsidRPr="00F06C36">
                    <w:rPr>
                      <w:sz w:val="22"/>
                      <w:szCs w:val="22"/>
                    </w:rPr>
                    <w:t>na estação do Azinhal.</w:t>
                  </w:r>
                </w:p>
              </w:txbxContent>
            </v:textbox>
          </v:shape>
        </w:pict>
      </w:r>
      <w:r w:rsidR="009C68B2">
        <w:rPr>
          <w:noProof/>
        </w:rPr>
        <w:object w:dxaOrig="7212" w:dyaOrig="4085">
          <v:shape id="_x0000_i1047" type="#_x0000_t75" style="width:373.4pt;height:211.8pt" o:ole="">
            <v:imagedata r:id="rId111" o:title=""/>
          </v:shape>
          <o:OLEObject Type="Embed" ProgID="Excel.Sheet.12" ShapeID="_x0000_i1047" DrawAspect="Content" ObjectID="_1556969327" r:id="rId112"/>
        </w:object>
      </w:r>
    </w:p>
    <w:p w:rsidR="009C68B2" w:rsidRDefault="009C68B2" w:rsidP="009C68B2">
      <w:pPr>
        <w:autoSpaceDE w:val="0"/>
        <w:autoSpaceDN w:val="0"/>
        <w:adjustRightInd w:val="0"/>
        <w:spacing w:line="360" w:lineRule="auto"/>
      </w:pPr>
    </w:p>
    <w:p w:rsidR="009C68B2" w:rsidRDefault="009C68B2" w:rsidP="009C68B2">
      <w:pPr>
        <w:autoSpaceDE w:val="0"/>
        <w:autoSpaceDN w:val="0"/>
        <w:adjustRightInd w:val="0"/>
        <w:spacing w:line="360" w:lineRule="auto"/>
      </w:pPr>
    </w:p>
    <w:p w:rsidR="009C68B2" w:rsidRDefault="009C68B2" w:rsidP="009C68B2">
      <w:pPr>
        <w:autoSpaceDE w:val="0"/>
        <w:autoSpaceDN w:val="0"/>
        <w:adjustRightInd w:val="0"/>
        <w:spacing w:line="360" w:lineRule="auto"/>
      </w:pPr>
      <w:r>
        <w:t>6.2.3.2- Percutor.</w: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 xml:space="preserve">Durante a escavação desta estação não foram identificados percutores. Esta ausência deve prender-se com o facto de ainda não ter sido identificada a sua zona central. </w:t>
      </w:r>
    </w:p>
    <w:p w:rsidR="009C68B2" w:rsidRDefault="009C68B2" w:rsidP="009C68B2">
      <w:pPr>
        <w:autoSpaceDE w:val="0"/>
        <w:autoSpaceDN w:val="0"/>
        <w:adjustRightInd w:val="0"/>
      </w:pPr>
    </w:p>
    <w:p w:rsidR="009C68B2" w:rsidRDefault="00EA3774" w:rsidP="009C68B2">
      <w:pPr>
        <w:autoSpaceDE w:val="0"/>
        <w:autoSpaceDN w:val="0"/>
        <w:adjustRightInd w:val="0"/>
        <w:jc w:val="center"/>
      </w:pPr>
      <w:r>
        <w:rPr>
          <w:noProof/>
          <w:lang w:eastAsia="en-US"/>
        </w:rPr>
        <w:pict>
          <v:shape id="_x0000_s1462" type="#_x0000_t202" style="position:absolute;left:0;text-align:left;margin-left:56.45pt;margin-top:185.65pt;width:320.5pt;height:25.4pt;z-index:251740160;mso-width-relative:margin;mso-height-relative:margin" stroked="f">
            <v:textbox style="mso-next-textbox:#_x0000_s1462">
              <w:txbxContent>
                <w:p w:rsidR="00B34B0F" w:rsidRPr="00F06C36" w:rsidRDefault="00B34B0F" w:rsidP="009C68B2">
                  <w:r w:rsidRPr="00F06C36">
                    <w:rPr>
                      <w:sz w:val="22"/>
                      <w:szCs w:val="22"/>
                    </w:rPr>
                    <w:t>Gráfico 6.</w:t>
                  </w:r>
                  <w:r>
                    <w:rPr>
                      <w:sz w:val="22"/>
                      <w:szCs w:val="22"/>
                    </w:rPr>
                    <w:t>2</w:t>
                  </w:r>
                  <w:r w:rsidRPr="00F06C36">
                    <w:rPr>
                      <w:sz w:val="22"/>
                      <w:szCs w:val="22"/>
                    </w:rPr>
                    <w:t>.5- Tipo de percutor utilizado na estação do Azinhal.</w:t>
                  </w:r>
                </w:p>
              </w:txbxContent>
            </v:textbox>
          </v:shape>
        </w:pict>
      </w:r>
      <w:r w:rsidR="009C68B2">
        <w:rPr>
          <w:noProof/>
        </w:rPr>
        <w:object w:dxaOrig="7767" w:dyaOrig="4957">
          <v:shape id="_x0000_i1048" type="#_x0000_t75" style="width:315.65pt;height:201.75pt" o:ole="">
            <v:imagedata r:id="rId113" o:title=""/>
          </v:shape>
          <o:OLEObject Type="Embed" ProgID="Excel.Sheet.12" ShapeID="_x0000_i1048" DrawAspect="Content" ObjectID="_1556969328" r:id="rId114"/>
        </w:object>
      </w:r>
    </w:p>
    <w:p w:rsidR="009C68B2" w:rsidRDefault="009C68B2" w:rsidP="009C68B2">
      <w:pPr>
        <w:autoSpaceDE w:val="0"/>
        <w:autoSpaceDN w:val="0"/>
        <w:adjustRightInd w:val="0"/>
        <w:spacing w:line="360" w:lineRule="auto"/>
        <w:jc w:val="both"/>
      </w:pPr>
      <w:r>
        <w:lastRenderedPageBreak/>
        <w:t>No entanto da análise da indústria lítica verifica-se que o</w:t>
      </w:r>
      <w:r w:rsidRPr="005701FA">
        <w:t xml:space="preserve"> percutor utilizado é preponderantemente duro, em material mineral (9</w:t>
      </w:r>
      <w:r>
        <w:t>7</w:t>
      </w:r>
      <w:r w:rsidRPr="005701FA">
        <w:t>%), o que justifica</w:t>
      </w:r>
      <w:r>
        <w:t xml:space="preserve"> a</w:t>
      </w:r>
      <w:r w:rsidRPr="005701FA">
        <w:t xml:space="preserve"> presença abundante </w:t>
      </w:r>
      <w:r>
        <w:t xml:space="preserve">de </w:t>
      </w:r>
      <w:r w:rsidRPr="005701FA">
        <w:t>lascas com acidentes de Siret</w:t>
      </w:r>
      <w:r>
        <w:t xml:space="preserve"> (N =22)</w:t>
      </w:r>
      <w:r w:rsidRPr="005701FA">
        <w:t>.</w: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pPr>
      <w:r>
        <w:t>6.2.3.3- Caracterização morfológica da indústria.</w:t>
      </w: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rPr>
          <w:noProof/>
        </w:rPr>
      </w:pPr>
      <w:r>
        <w:t>Como já foi referido anteriormente, a</w:t>
      </w:r>
      <w:r w:rsidRPr="001818C1">
        <w:t xml:space="preserve"> indústria lítica </w:t>
      </w:r>
      <w:r>
        <w:t>recolhida na estação do Azinhal corresponde a</w:t>
      </w:r>
      <w:r w:rsidRPr="001818C1">
        <w:t xml:space="preserve"> uma indústria </w:t>
      </w:r>
      <w:r>
        <w:t>cujo objectivo era a produção de lascas (</w:t>
      </w:r>
      <w:r w:rsidRPr="00F06C36">
        <w:rPr>
          <w:sz w:val="22"/>
          <w:szCs w:val="22"/>
        </w:rPr>
        <w:t>Gráfico 6.</w:t>
      </w:r>
      <w:r>
        <w:rPr>
          <w:sz w:val="22"/>
          <w:szCs w:val="22"/>
        </w:rPr>
        <w:t>2</w:t>
      </w:r>
      <w:r w:rsidRPr="00F06C36">
        <w:rPr>
          <w:sz w:val="22"/>
          <w:szCs w:val="22"/>
        </w:rPr>
        <w:t>.6</w:t>
      </w:r>
      <w:r>
        <w:rPr>
          <w:sz w:val="22"/>
          <w:szCs w:val="22"/>
        </w:rPr>
        <w:t>)</w:t>
      </w:r>
      <w:r w:rsidRPr="001818C1">
        <w:t>.</w:t>
      </w:r>
      <w:r w:rsidRPr="00D3322A">
        <w:rPr>
          <w:noProof/>
        </w:rPr>
        <w:t xml:space="preserve"> </w:t>
      </w:r>
      <w:r>
        <w:rPr>
          <w:noProof/>
        </w:rPr>
        <w:t xml:space="preserve">Essas lascas seriam, posteriormente, alvo de processos de retoque ou usadas em bruto. De facto, dentro da população estudada, o subconjunto das lascas é o mais representado, correspondendo a 87 % do total (N=154). </w:t>
      </w:r>
    </w:p>
    <w:p w:rsidR="009C68B2" w:rsidRDefault="009C68B2" w:rsidP="009C68B2">
      <w:pPr>
        <w:autoSpaceDE w:val="0"/>
        <w:autoSpaceDN w:val="0"/>
        <w:adjustRightInd w:val="0"/>
        <w:jc w:val="center"/>
      </w:pPr>
      <w:r>
        <w:rPr>
          <w:noProof/>
        </w:rPr>
        <w:object w:dxaOrig="7212" w:dyaOrig="4085">
          <v:shape id="_x0000_i1049" type="#_x0000_t75" style="width:388.45pt;height:220.2pt" o:ole="">
            <v:imagedata r:id="rId115" o:title=""/>
          </v:shape>
          <o:OLEObject Type="Embed" ProgID="Excel.Sheet.12" ShapeID="_x0000_i1049" DrawAspect="Content" ObjectID="_1556969329" r:id="rId116"/>
        </w:object>
      </w:r>
    </w:p>
    <w:p w:rsidR="009C68B2" w:rsidRDefault="00EA3774" w:rsidP="009C68B2">
      <w:pPr>
        <w:autoSpaceDE w:val="0"/>
        <w:autoSpaceDN w:val="0"/>
        <w:adjustRightInd w:val="0"/>
      </w:pPr>
      <w:r>
        <w:rPr>
          <w:noProof/>
          <w:lang w:eastAsia="en-US"/>
        </w:rPr>
        <w:pict>
          <v:shape id="_x0000_s1463" type="#_x0000_t202" style="position:absolute;margin-left:0;margin-top:0;width:361.3pt;height:19.85pt;z-index:251741184;mso-height-percent:200;mso-position-horizontal:center;mso-height-percent:200;mso-width-relative:margin;mso-height-relative:margin" stroked="f">
            <v:textbox style="mso-next-textbox:#_x0000_s1463;mso-fit-shape-to-text:t">
              <w:txbxContent>
                <w:p w:rsidR="00B34B0F" w:rsidRPr="00F06C36" w:rsidRDefault="00B34B0F" w:rsidP="009C68B2">
                  <w:r w:rsidRPr="00F06C36">
                    <w:rPr>
                      <w:sz w:val="22"/>
                      <w:szCs w:val="22"/>
                    </w:rPr>
                    <w:t>Gráfico 6.</w:t>
                  </w:r>
                  <w:r>
                    <w:rPr>
                      <w:sz w:val="22"/>
                      <w:szCs w:val="22"/>
                    </w:rPr>
                    <w:t>2</w:t>
                  </w:r>
                  <w:r w:rsidRPr="00F06C36">
                    <w:rPr>
                      <w:sz w:val="22"/>
                      <w:szCs w:val="22"/>
                    </w:rPr>
                    <w:t>.6- Caracterização da indústria exumada na estação do Azinhal</w:t>
                  </w:r>
                </w:p>
              </w:txbxContent>
            </v:textbox>
          </v:shape>
        </w:pic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ind w:firstLine="708"/>
      </w:pPr>
      <w:r>
        <w:rPr>
          <w:noProof/>
        </w:rPr>
        <w:t>Os núcleos, por seu lado,  representam 11 % da população. As lâminas e os bifaces, embora presentes, são residuais representam cada um destes tipos 1 % do conjunto.</w:t>
      </w:r>
    </w:p>
    <w:p w:rsidR="009C68B2" w:rsidRDefault="009C68B2" w:rsidP="009C68B2">
      <w:pPr>
        <w:autoSpaceDE w:val="0"/>
        <w:autoSpaceDN w:val="0"/>
        <w:adjustRightInd w:val="0"/>
        <w:spacing w:line="360" w:lineRule="auto"/>
        <w:ind w:firstLine="708"/>
      </w:pPr>
    </w:p>
    <w:p w:rsidR="009C68B2" w:rsidRDefault="009C68B2" w:rsidP="009C68B2">
      <w:pPr>
        <w:autoSpaceDE w:val="0"/>
        <w:autoSpaceDN w:val="0"/>
        <w:adjustRightInd w:val="0"/>
        <w:spacing w:line="360" w:lineRule="auto"/>
      </w:pPr>
      <w:r>
        <w:t>6.2.3.3.1- Lascas.</w:t>
      </w:r>
    </w:p>
    <w:p w:rsidR="009C68B2" w:rsidRDefault="009C68B2" w:rsidP="009C68B2">
      <w:pPr>
        <w:autoSpaceDE w:val="0"/>
        <w:autoSpaceDN w:val="0"/>
        <w:adjustRightInd w:val="0"/>
        <w:spacing w:line="360" w:lineRule="auto"/>
      </w:pPr>
    </w:p>
    <w:p w:rsidR="009C68B2" w:rsidRDefault="009C68B2" w:rsidP="009C68B2">
      <w:pPr>
        <w:autoSpaceDE w:val="0"/>
        <w:autoSpaceDN w:val="0"/>
        <w:adjustRightInd w:val="0"/>
        <w:spacing w:line="360" w:lineRule="auto"/>
        <w:ind w:firstLine="708"/>
        <w:jc w:val="both"/>
      </w:pPr>
      <w:r>
        <w:t xml:space="preserve">Em termos morfológicos, os suportes obtidos através das várias cadeias operatórias identificadas neste sítio, assunto que se desenvolverá mais a frente, tem uma </w:t>
      </w:r>
      <w:r>
        <w:lastRenderedPageBreak/>
        <w:t>tendência evidente para apresentar um comprimento registado inferior, igual ou ligeiramente superior à largura (</w:t>
      </w:r>
      <w:r w:rsidRPr="00CD08AF">
        <w:rPr>
          <w:sz w:val="22"/>
          <w:szCs w:val="22"/>
        </w:rPr>
        <w:t>Gráfico</w:t>
      </w:r>
      <w:r>
        <w:rPr>
          <w:sz w:val="22"/>
          <w:szCs w:val="22"/>
        </w:rPr>
        <w:t>s</w:t>
      </w:r>
      <w:r w:rsidRPr="00CD08AF">
        <w:rPr>
          <w:sz w:val="22"/>
          <w:szCs w:val="22"/>
        </w:rPr>
        <w:t xml:space="preserve"> 6.</w:t>
      </w:r>
      <w:r>
        <w:rPr>
          <w:sz w:val="22"/>
          <w:szCs w:val="22"/>
        </w:rPr>
        <w:t>2</w:t>
      </w:r>
      <w:r w:rsidRPr="00CD08AF">
        <w:rPr>
          <w:sz w:val="22"/>
          <w:szCs w:val="22"/>
        </w:rPr>
        <w:t>.7</w:t>
      </w:r>
      <w:r>
        <w:rPr>
          <w:sz w:val="22"/>
          <w:szCs w:val="22"/>
        </w:rPr>
        <w:t>, 6.2.8 e 6.2.9)</w:t>
      </w:r>
      <w:r>
        <w:t xml:space="preserve">. </w:t>
      </w:r>
    </w:p>
    <w:p w:rsidR="009C68B2" w:rsidRDefault="00EA3774" w:rsidP="009C68B2">
      <w:pPr>
        <w:autoSpaceDE w:val="0"/>
        <w:autoSpaceDN w:val="0"/>
        <w:adjustRightInd w:val="0"/>
        <w:jc w:val="center"/>
        <w:rPr>
          <w:noProof/>
        </w:rPr>
      </w:pPr>
      <w:r>
        <w:rPr>
          <w:noProof/>
          <w:lang w:eastAsia="en-US"/>
        </w:rPr>
        <w:pict>
          <v:shape id="_x0000_s1475" type="#_x0000_t202" style="position:absolute;left:0;text-align:left;margin-left:31.35pt;margin-top:226.15pt;width:360.65pt;height:19.85pt;z-index:251753472;mso-height-percent:200;mso-height-percent:200;mso-width-relative:margin;mso-height-relative:margin" stroked="f">
            <v:textbox style="mso-next-textbox:#_x0000_s1475;mso-fit-shape-to-text:t">
              <w:txbxContent>
                <w:p w:rsidR="00B34B0F" w:rsidRPr="00CD08AF" w:rsidRDefault="00B34B0F" w:rsidP="009C68B2">
                  <w:r w:rsidRPr="00CD08AF">
                    <w:rPr>
                      <w:sz w:val="22"/>
                      <w:szCs w:val="22"/>
                    </w:rPr>
                    <w:t>Gráfico 6.</w:t>
                  </w:r>
                  <w:r>
                    <w:rPr>
                      <w:sz w:val="22"/>
                      <w:szCs w:val="22"/>
                    </w:rPr>
                    <w:t>2</w:t>
                  </w:r>
                  <w:r w:rsidRPr="00CD08AF">
                    <w:rPr>
                      <w:sz w:val="22"/>
                      <w:szCs w:val="22"/>
                    </w:rPr>
                    <w:t>.7-</w:t>
                  </w:r>
                  <w:r>
                    <w:rPr>
                      <w:sz w:val="22"/>
                      <w:szCs w:val="22"/>
                    </w:rPr>
                    <w:t xml:space="preserve">Azinhal: razão comprimento/largura das lascas. </w:t>
                  </w:r>
                </w:p>
              </w:txbxContent>
            </v:textbox>
          </v:shape>
        </w:pict>
      </w:r>
      <w:r w:rsidR="009C68B2">
        <w:rPr>
          <w:noProof/>
        </w:rPr>
        <w:object w:dxaOrig="7212" w:dyaOrig="4085">
          <v:shape id="_x0000_i1050" type="#_x0000_t75" style="width:406.05pt;height:229.4pt" o:ole="">
            <v:imagedata r:id="rId117" o:title=""/>
          </v:shape>
          <o:OLEObject Type="Embed" ProgID="Excel.Sheet.12" ShapeID="_x0000_i1050" DrawAspect="Content" ObjectID="_1556969330" r:id="rId118"/>
        </w:object>
      </w: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r>
        <w:t xml:space="preserve">Os suportes, cujas dimensões encaixam na definição correntemente aceite para suportes laminares, são escassos. Em termos de dimensões, a grande maioria das lascas estudadas encaixa num padrão que se desenvolve entre os 18 e 45 mm de comprimento por 10 a 40 mm de largura. </w:t>
      </w:r>
    </w:p>
    <w:p w:rsidR="009C68B2" w:rsidRDefault="00EA3774" w:rsidP="009C68B2">
      <w:pPr>
        <w:autoSpaceDE w:val="0"/>
        <w:autoSpaceDN w:val="0"/>
        <w:adjustRightInd w:val="0"/>
        <w:jc w:val="center"/>
        <w:rPr>
          <w:noProof/>
        </w:rPr>
      </w:pPr>
      <w:r>
        <w:rPr>
          <w:noProof/>
          <w:lang w:eastAsia="en-US"/>
        </w:rPr>
        <w:pict>
          <v:shape id="_x0000_s1473" type="#_x0000_t202" style="position:absolute;left:0;text-align:left;margin-left:31.35pt;margin-top:219.55pt;width:362.4pt;height:33.65pt;z-index:251751424;mso-height-percent:200;mso-height-percent:200;mso-width-relative:margin;mso-height-relative:margin" stroked="f">
            <v:textbox style="mso-next-textbox:#_x0000_s1473;mso-fit-shape-to-text:t">
              <w:txbxContent>
                <w:p w:rsidR="00B34B0F" w:rsidRPr="00CD08AF" w:rsidRDefault="00B34B0F" w:rsidP="009C68B2">
                  <w:r w:rsidRPr="00CD08AF">
                    <w:rPr>
                      <w:sz w:val="22"/>
                      <w:szCs w:val="22"/>
                    </w:rPr>
                    <w:t>Gráfico 6.</w:t>
                  </w:r>
                  <w:r>
                    <w:rPr>
                      <w:sz w:val="22"/>
                      <w:szCs w:val="22"/>
                    </w:rPr>
                    <w:t>2</w:t>
                  </w:r>
                  <w:r w:rsidRPr="00CD08AF">
                    <w:rPr>
                      <w:sz w:val="22"/>
                      <w:szCs w:val="22"/>
                    </w:rPr>
                    <w:t>.</w:t>
                  </w:r>
                  <w:r>
                    <w:rPr>
                      <w:sz w:val="22"/>
                      <w:szCs w:val="22"/>
                    </w:rPr>
                    <w:t>8</w:t>
                  </w:r>
                  <w:r w:rsidRPr="00CD08AF">
                    <w:rPr>
                      <w:sz w:val="22"/>
                      <w:szCs w:val="22"/>
                    </w:rPr>
                    <w:t>-</w:t>
                  </w:r>
                  <w:r>
                    <w:rPr>
                      <w:sz w:val="22"/>
                      <w:szCs w:val="22"/>
                    </w:rPr>
                    <w:t xml:space="preserve">Azinhal: razão largura/espessura das lascas. </w:t>
                  </w:r>
                </w:p>
                <w:p w:rsidR="00B34B0F" w:rsidRDefault="00B34B0F" w:rsidP="009C68B2"/>
              </w:txbxContent>
            </v:textbox>
          </v:shape>
        </w:pict>
      </w:r>
      <w:r w:rsidR="009C68B2">
        <w:rPr>
          <w:noProof/>
        </w:rPr>
        <w:object w:dxaOrig="7212" w:dyaOrig="4085">
          <v:shape id="_x0000_i1051" type="#_x0000_t75" style="width:420.3pt;height:236.95pt" o:ole="">
            <v:imagedata r:id="rId119" o:title=""/>
          </v:shape>
          <o:OLEObject Type="Embed" ProgID="Excel.Sheet.12" ShapeID="_x0000_i1051" DrawAspect="Content" ObjectID="_1556969331" r:id="rId120"/>
        </w:object>
      </w:r>
    </w:p>
    <w:p w:rsidR="009C68B2" w:rsidRDefault="009C68B2" w:rsidP="009C68B2">
      <w:pPr>
        <w:autoSpaceDE w:val="0"/>
        <w:autoSpaceDN w:val="0"/>
        <w:adjustRightInd w:val="0"/>
        <w:rPr>
          <w:noProof/>
        </w:rPr>
      </w:pP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spacing w:line="360" w:lineRule="auto"/>
        <w:ind w:firstLine="708"/>
        <w:jc w:val="both"/>
      </w:pPr>
      <w:r>
        <w:lastRenderedPageBreak/>
        <w:t>A média geral em termos de dimensão é de 31,53 mm de comprimento por 35,52 mm de largura. O comprimento máximo registado neste subconjunto é de 82,54 mm e a largura máxima de 102,77 mm. No que diz respeito à espessura verifica-se uma espessura máxima destas peças em 44, 49 mm e uma espessura mínima com 4,05 mm, sendo a média de 10,63mm.</w:t>
      </w:r>
    </w:p>
    <w:p w:rsidR="009C68B2" w:rsidRDefault="00EA3774" w:rsidP="009C68B2">
      <w:pPr>
        <w:autoSpaceDE w:val="0"/>
        <w:autoSpaceDN w:val="0"/>
        <w:adjustRightInd w:val="0"/>
        <w:jc w:val="center"/>
        <w:rPr>
          <w:noProof/>
        </w:rPr>
      </w:pPr>
      <w:r>
        <w:rPr>
          <w:noProof/>
          <w:lang w:eastAsia="en-US"/>
        </w:rPr>
        <w:pict>
          <v:shape id="_x0000_s1474" type="#_x0000_t202" style="position:absolute;left:0;text-align:left;margin-left:23.35pt;margin-top:210.8pt;width:363.7pt;height:33.65pt;z-index:251752448;mso-height-percent:200;mso-height-percent:200;mso-width-relative:margin;mso-height-relative:margin" stroked="f">
            <v:textbox style="mso-next-textbox:#_x0000_s1474;mso-fit-shape-to-text:t">
              <w:txbxContent>
                <w:p w:rsidR="00B34B0F" w:rsidRPr="00CD08AF" w:rsidRDefault="00B34B0F" w:rsidP="009C68B2">
                  <w:r w:rsidRPr="00CD08AF">
                    <w:rPr>
                      <w:sz w:val="22"/>
                      <w:szCs w:val="22"/>
                    </w:rPr>
                    <w:t>Gráfico 6.</w:t>
                  </w:r>
                  <w:r>
                    <w:rPr>
                      <w:sz w:val="22"/>
                      <w:szCs w:val="22"/>
                    </w:rPr>
                    <w:t>2</w:t>
                  </w:r>
                  <w:r w:rsidRPr="00CD08AF">
                    <w:rPr>
                      <w:sz w:val="22"/>
                      <w:szCs w:val="22"/>
                    </w:rPr>
                    <w:t>.</w:t>
                  </w:r>
                  <w:r>
                    <w:rPr>
                      <w:sz w:val="22"/>
                      <w:szCs w:val="22"/>
                    </w:rPr>
                    <w:t>9</w:t>
                  </w:r>
                  <w:r w:rsidRPr="00CD08AF">
                    <w:rPr>
                      <w:sz w:val="22"/>
                      <w:szCs w:val="22"/>
                    </w:rPr>
                    <w:t>-</w:t>
                  </w:r>
                  <w:r>
                    <w:rPr>
                      <w:sz w:val="22"/>
                      <w:szCs w:val="22"/>
                    </w:rPr>
                    <w:t xml:space="preserve">Azinhal: razão comprimento/espessura das lascas. </w:t>
                  </w:r>
                </w:p>
                <w:p w:rsidR="00B34B0F" w:rsidRDefault="00B34B0F" w:rsidP="009C68B2"/>
              </w:txbxContent>
            </v:textbox>
          </v:shape>
        </w:pict>
      </w:r>
      <w:r w:rsidR="009C68B2">
        <w:rPr>
          <w:noProof/>
        </w:rPr>
        <w:object w:dxaOrig="7212" w:dyaOrig="4085">
          <v:shape id="_x0000_i1052" type="#_x0000_t75" style="width:401.85pt;height:226.9pt" o:ole="">
            <v:imagedata r:id="rId121" o:title=""/>
          </v:shape>
          <o:OLEObject Type="Embed" ProgID="Excel.Sheet.12" ShapeID="_x0000_i1052" DrawAspect="Content" ObjectID="_1556969332" r:id="rId122"/>
        </w:object>
      </w:r>
    </w:p>
    <w:p w:rsidR="009C68B2" w:rsidRDefault="009C68B2" w:rsidP="009C68B2">
      <w:pPr>
        <w:autoSpaceDE w:val="0"/>
        <w:autoSpaceDN w:val="0"/>
        <w:adjustRightInd w:val="0"/>
        <w:jc w:val="center"/>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 xml:space="preserve">No que diz respeito às lascas, foi registado, ainda, o número de negativos de levantamentos presentes na face dorsal de cada lasca e a sua orientação. </w:t>
      </w:r>
    </w:p>
    <w:p w:rsidR="009C68B2" w:rsidRDefault="00EA3774" w:rsidP="009C68B2">
      <w:pPr>
        <w:autoSpaceDE w:val="0"/>
        <w:autoSpaceDN w:val="0"/>
        <w:adjustRightInd w:val="0"/>
        <w:jc w:val="center"/>
      </w:pPr>
      <w:r>
        <w:rPr>
          <w:noProof/>
          <w:lang w:eastAsia="en-US"/>
        </w:rPr>
        <w:pict>
          <v:shape id="_x0000_s1464" type="#_x0000_t202" style="position:absolute;left:0;text-align:left;margin-left:34pt;margin-top:260.05pt;width:382.3pt;height:32.5pt;z-index:251742208;mso-height-percent:200;mso-height-percent:200;mso-width-relative:margin;mso-height-relative:margin" stroked="f">
            <v:textbox style="mso-next-textbox:#_x0000_s1464;mso-fit-shape-to-text:t">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0</w:t>
                  </w:r>
                  <w:r w:rsidRPr="00662724">
                    <w:rPr>
                      <w:sz w:val="22"/>
                      <w:szCs w:val="22"/>
                    </w:rPr>
                    <w:t>- Número de levantamentos identificados na face dorsal das lascas recolhidas no Azinhal.</w:t>
                  </w:r>
                </w:p>
              </w:txbxContent>
            </v:textbox>
          </v:shape>
        </w:pict>
      </w:r>
      <w:r w:rsidR="009C68B2">
        <w:rPr>
          <w:noProof/>
        </w:rPr>
        <w:object w:dxaOrig="8534" w:dyaOrig="5212">
          <v:shape id="_x0000_i1053" type="#_x0000_t75" style="width:381.75pt;height:232.75pt" o:ole="">
            <v:imagedata r:id="rId123" o:title=""/>
          </v:shape>
          <o:OLEObject Type="Embed" ProgID="Excel.Sheet.12" ShapeID="_x0000_i1053" DrawAspect="Content" ObjectID="_1556969333" r:id="rId124"/>
        </w:objec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r>
        <w:lastRenderedPageBreak/>
        <w:t>Estes dados podem trazer indícios importantes sobre as sequências de talhe empregues na estação do Azinhal. Desse modo, é possível verificar que a grande maioria de lascas recolhidas apresenta um número reduzido de negativos de levantamento anteriores (</w:t>
      </w:r>
      <w:r w:rsidRPr="00662724">
        <w:rPr>
          <w:sz w:val="22"/>
          <w:szCs w:val="22"/>
        </w:rPr>
        <w:t>Gráfico 6.</w:t>
      </w:r>
      <w:r>
        <w:rPr>
          <w:sz w:val="22"/>
          <w:szCs w:val="22"/>
        </w:rPr>
        <w:t>2</w:t>
      </w:r>
      <w:r w:rsidRPr="00662724">
        <w:rPr>
          <w:sz w:val="22"/>
          <w:szCs w:val="22"/>
        </w:rPr>
        <w:t>.1</w:t>
      </w:r>
      <w:r>
        <w:rPr>
          <w:sz w:val="22"/>
          <w:szCs w:val="22"/>
        </w:rPr>
        <w:t>0)</w:t>
      </w:r>
      <w:r>
        <w:t>. A soma dos dois subconjuntos mais numerosos (2 e 3 levantamentos) representa 52 % da população. Se, a esse conjunto se adicionar os dois subconjuntos seguintes (1 e 4 levantamentos) obtém-se um total de 80% da totalidade das lascas analisadas.</w:t>
      </w: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r>
        <w:t>No que diz respeito à orientação dos negativos dos levantamentos verifica-se que a maioria dos levantamentos apresenta uma orientação centrípeta (43%) seguida por um menor número de lascas a apresentarem uma sequência de debitagem em que estas são produzidas através de levantamentos paralelos (38%)</w:t>
      </w:r>
      <w:r w:rsidRPr="00CF2EED">
        <w:rPr>
          <w:sz w:val="22"/>
          <w:szCs w:val="22"/>
        </w:rPr>
        <w:t xml:space="preserve"> </w:t>
      </w:r>
      <w:r>
        <w:rPr>
          <w:sz w:val="22"/>
          <w:szCs w:val="22"/>
        </w:rPr>
        <w:t>(</w:t>
      </w:r>
      <w:r w:rsidRPr="00662724">
        <w:rPr>
          <w:sz w:val="22"/>
          <w:szCs w:val="22"/>
        </w:rPr>
        <w:t>Gráfico 6.</w:t>
      </w:r>
      <w:r>
        <w:rPr>
          <w:sz w:val="22"/>
          <w:szCs w:val="22"/>
        </w:rPr>
        <w:t>2</w:t>
      </w:r>
      <w:r w:rsidRPr="00662724">
        <w:rPr>
          <w:sz w:val="22"/>
          <w:szCs w:val="22"/>
        </w:rPr>
        <w:t>.1</w:t>
      </w:r>
      <w:r>
        <w:rPr>
          <w:sz w:val="22"/>
          <w:szCs w:val="22"/>
        </w:rPr>
        <w:t>1)</w:t>
      </w:r>
      <w:r>
        <w:t>. Por fim, não foi possível definir a orientação dos levantamentos em 19% dos casos.</w:t>
      </w:r>
    </w:p>
    <w:p w:rsidR="009C68B2" w:rsidRDefault="009C68B2" w:rsidP="009C68B2">
      <w:pPr>
        <w:autoSpaceDE w:val="0"/>
        <w:autoSpaceDN w:val="0"/>
        <w:adjustRightInd w:val="0"/>
      </w:pPr>
    </w:p>
    <w:p w:rsidR="009C68B2" w:rsidRPr="00AA3914" w:rsidRDefault="00EA3774" w:rsidP="009C68B2">
      <w:pPr>
        <w:autoSpaceDE w:val="0"/>
        <w:autoSpaceDN w:val="0"/>
        <w:adjustRightInd w:val="0"/>
        <w:jc w:val="center"/>
        <w:rPr>
          <w:color w:val="FF0000"/>
        </w:rPr>
      </w:pPr>
      <w:r w:rsidRPr="00EA3774">
        <w:rPr>
          <w:noProof/>
          <w:lang w:eastAsia="en-US"/>
        </w:rPr>
        <w:pict>
          <v:shape id="_x0000_s1476" type="#_x0000_t202" style="position:absolute;left:0;text-align:left;margin-left:42.25pt;margin-top:210.3pt;width:367.8pt;height:35.35pt;z-index:251754496;mso-width-relative:margin;mso-height-relative:margin" stroked="f">
            <v:textbox style="mso-next-textbox:#_x0000_s1476">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1</w:t>
                  </w:r>
                  <w:r w:rsidRPr="00662724">
                    <w:rPr>
                      <w:sz w:val="22"/>
                      <w:szCs w:val="22"/>
                    </w:rPr>
                    <w:t xml:space="preserve">- </w:t>
                  </w:r>
                  <w:r>
                    <w:rPr>
                      <w:sz w:val="22"/>
                      <w:szCs w:val="22"/>
                    </w:rPr>
                    <w:t>Orientação</w:t>
                  </w:r>
                  <w:r w:rsidRPr="00662724">
                    <w:rPr>
                      <w:sz w:val="22"/>
                      <w:szCs w:val="22"/>
                    </w:rPr>
                    <w:t xml:space="preserve"> d</w:t>
                  </w:r>
                  <w:r>
                    <w:rPr>
                      <w:sz w:val="22"/>
                      <w:szCs w:val="22"/>
                    </w:rPr>
                    <w:t>os</w:t>
                  </w:r>
                  <w:r w:rsidRPr="00662724">
                    <w:rPr>
                      <w:sz w:val="22"/>
                      <w:szCs w:val="22"/>
                    </w:rPr>
                    <w:t xml:space="preserve"> levantamentos identificados na face dorsal das lascas recolhidas no Azinhal.</w:t>
                  </w:r>
                </w:p>
                <w:p w:rsidR="00B34B0F" w:rsidRDefault="00B34B0F" w:rsidP="009C68B2"/>
              </w:txbxContent>
            </v:textbox>
          </v:shape>
        </w:pict>
      </w:r>
      <w:r w:rsidR="009C68B2" w:rsidRPr="00B633A5">
        <w:rPr>
          <w:noProof/>
          <w:color w:val="FF0000"/>
        </w:rPr>
        <w:object w:dxaOrig="7212" w:dyaOrig="4085">
          <v:shape id="_x0000_i1054" type="#_x0000_t75" style="width:420.3pt;height:236.95pt" o:ole="">
            <v:imagedata r:id="rId125" o:title=""/>
          </v:shape>
          <o:OLEObject Type="Embed" ProgID="Excel.Sheet.12" ShapeID="_x0000_i1054" DrawAspect="Content" ObjectID="_1556969334" r:id="rId126"/>
        </w:object>
      </w: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pPr>
    </w:p>
    <w:p w:rsidR="009C68B2" w:rsidRDefault="009C68B2" w:rsidP="009C68B2">
      <w:pPr>
        <w:autoSpaceDE w:val="0"/>
        <w:autoSpaceDN w:val="0"/>
        <w:adjustRightInd w:val="0"/>
        <w:spacing w:line="360" w:lineRule="auto"/>
        <w:ind w:firstLine="708"/>
        <w:jc w:val="both"/>
      </w:pPr>
      <w:r w:rsidRPr="00BB46E6">
        <w:t>O talão das lascas recolhidas nesta estação foi analisado em duas vertentes. A primeira diz respeito ao perfil do talão</w:t>
      </w:r>
      <w:r>
        <w:t xml:space="preserve"> (</w:t>
      </w:r>
      <w:r w:rsidRPr="00662724">
        <w:rPr>
          <w:sz w:val="22"/>
          <w:szCs w:val="22"/>
        </w:rPr>
        <w:t>Gráfico 6.</w:t>
      </w:r>
      <w:r>
        <w:rPr>
          <w:sz w:val="22"/>
          <w:szCs w:val="22"/>
        </w:rPr>
        <w:t>2</w:t>
      </w:r>
      <w:r w:rsidRPr="00662724">
        <w:rPr>
          <w:sz w:val="22"/>
          <w:szCs w:val="22"/>
        </w:rPr>
        <w:t>.1</w:t>
      </w:r>
      <w:r>
        <w:rPr>
          <w:sz w:val="22"/>
          <w:szCs w:val="22"/>
        </w:rPr>
        <w:t>2)</w:t>
      </w:r>
      <w:r w:rsidRPr="00BB46E6">
        <w:t>. Nesta colecção verifica-se que não existe predominância significativa entre talões</w:t>
      </w:r>
      <w:r w:rsidRPr="00EF71BF">
        <w:t xml:space="preserve"> </w:t>
      </w:r>
      <w:r w:rsidRPr="00BB46E6">
        <w:t>de perfil convexo (</w:t>
      </w:r>
      <w:r>
        <w:t>33</w:t>
      </w:r>
      <w:r w:rsidRPr="00BB46E6">
        <w:t>%)</w:t>
      </w:r>
      <w:r>
        <w:t>,</w:t>
      </w:r>
      <w:r w:rsidRPr="00BB46E6">
        <w:t xml:space="preserve"> talões</w:t>
      </w:r>
      <w:r w:rsidRPr="00EF71BF">
        <w:t xml:space="preserve"> </w:t>
      </w:r>
      <w:r w:rsidRPr="00BB46E6">
        <w:t>côncavo</w:t>
      </w:r>
      <w:r>
        <w:t>s</w:t>
      </w:r>
      <w:r w:rsidRPr="00BB46E6">
        <w:t xml:space="preserve"> (</w:t>
      </w:r>
      <w:r>
        <w:t>30%)</w:t>
      </w:r>
      <w:r w:rsidRPr="00BB46E6">
        <w:t xml:space="preserve"> e talões de perfil</w:t>
      </w:r>
      <w:r w:rsidRPr="00EF71BF">
        <w:t xml:space="preserve"> </w:t>
      </w:r>
      <w:r w:rsidRPr="00BB46E6">
        <w:t>plano (</w:t>
      </w:r>
      <w:r>
        <w:t>26%)</w:t>
      </w:r>
      <w:r w:rsidRPr="00BB46E6">
        <w:t xml:space="preserve">. O talão facetado surge em quarto lugar, em termos de representatividade com </w:t>
      </w:r>
      <w:r>
        <w:t>4</w:t>
      </w:r>
      <w:r w:rsidRPr="00BB46E6">
        <w:t xml:space="preserve">%. Em </w:t>
      </w:r>
      <w:r>
        <w:t>7</w:t>
      </w:r>
      <w:r w:rsidRPr="00BB46E6">
        <w:t>% dos casos foi gorada a determinação do perfil do talão.</w:t>
      </w:r>
    </w:p>
    <w:p w:rsidR="009C68B2" w:rsidRDefault="00EA3774" w:rsidP="009C68B2">
      <w:pPr>
        <w:autoSpaceDE w:val="0"/>
        <w:autoSpaceDN w:val="0"/>
        <w:adjustRightInd w:val="0"/>
        <w:jc w:val="center"/>
      </w:pPr>
      <w:r>
        <w:rPr>
          <w:noProof/>
          <w:lang w:eastAsia="en-US"/>
        </w:rPr>
        <w:lastRenderedPageBreak/>
        <w:pict>
          <v:shape id="_x0000_s1465" type="#_x0000_t202" style="position:absolute;left:0;text-align:left;margin-left:73.05pt;margin-top:207.35pt;width:345.1pt;height:28.75pt;z-index:251743232;mso-width-relative:margin;mso-height-relative:margin" stroked="f">
            <v:textbox style="mso-next-textbox:#_x0000_s1465">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2</w:t>
                  </w:r>
                  <w:r w:rsidRPr="00662724">
                    <w:rPr>
                      <w:sz w:val="22"/>
                      <w:szCs w:val="22"/>
                    </w:rPr>
                    <w:t xml:space="preserve">- </w:t>
                  </w:r>
                  <w:r>
                    <w:rPr>
                      <w:sz w:val="22"/>
                      <w:szCs w:val="22"/>
                    </w:rPr>
                    <w:t>Perfil do talão</w:t>
                  </w:r>
                  <w:r w:rsidRPr="00662724">
                    <w:rPr>
                      <w:sz w:val="22"/>
                      <w:szCs w:val="22"/>
                    </w:rPr>
                    <w:t xml:space="preserve"> das lascas recolhidas no Azinhal.</w:t>
                  </w:r>
                </w:p>
                <w:p w:rsidR="00B34B0F" w:rsidRPr="00662724" w:rsidRDefault="00B34B0F" w:rsidP="009C68B2"/>
              </w:txbxContent>
            </v:textbox>
          </v:shape>
        </w:pict>
      </w:r>
      <w:r w:rsidR="009C68B2">
        <w:rPr>
          <w:noProof/>
        </w:rPr>
        <w:object w:dxaOrig="6897" w:dyaOrig="4114">
          <v:shape id="_x0000_i1055" type="#_x0000_t75" style="width:387.65pt;height:229.4pt" o:ole="">
            <v:imagedata r:id="rId127" o:title=""/>
          </v:shape>
          <o:OLEObject Type="Embed" ProgID="Excel.Sheet.12" ShapeID="_x0000_i1055" DrawAspect="Content" ObjectID="_1556969335" r:id="rId128"/>
        </w:objec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Pr="005C12A6" w:rsidRDefault="009C68B2" w:rsidP="009C68B2">
      <w:pPr>
        <w:autoSpaceDE w:val="0"/>
        <w:autoSpaceDN w:val="0"/>
        <w:adjustRightInd w:val="0"/>
        <w:spacing w:line="360" w:lineRule="auto"/>
        <w:ind w:firstLine="708"/>
        <w:jc w:val="both"/>
      </w:pPr>
      <w:r w:rsidRPr="005C12A6">
        <w:t xml:space="preserve">O segundo factor analisado </w:t>
      </w:r>
      <w:r>
        <w:t>diz respeito à</w:t>
      </w:r>
      <w:r w:rsidRPr="005C12A6">
        <w:t xml:space="preserve"> morfologia do talão</w:t>
      </w:r>
      <w:r>
        <w:t xml:space="preserve"> (</w:t>
      </w:r>
      <w:r w:rsidRPr="00662724">
        <w:rPr>
          <w:sz w:val="22"/>
          <w:szCs w:val="22"/>
        </w:rPr>
        <w:t>Gráfico 6.</w:t>
      </w:r>
      <w:r>
        <w:rPr>
          <w:sz w:val="22"/>
          <w:szCs w:val="22"/>
        </w:rPr>
        <w:t>2</w:t>
      </w:r>
      <w:r w:rsidRPr="00662724">
        <w:rPr>
          <w:sz w:val="22"/>
          <w:szCs w:val="22"/>
        </w:rPr>
        <w:t>.1</w:t>
      </w:r>
      <w:r>
        <w:rPr>
          <w:sz w:val="22"/>
          <w:szCs w:val="22"/>
        </w:rPr>
        <w:t>3)</w:t>
      </w:r>
      <w:r w:rsidRPr="005C12A6">
        <w:t>. A morfologia do talão pode trazer alguns indícios sobre as cadeias operatórias desenvolvidas pelos talhadores que frequentaram esta estação. Observa-se um predomínio do talão de morfologia trapezoidal que soma metade (4</w:t>
      </w:r>
      <w:r>
        <w:t>9</w:t>
      </w:r>
      <w:r w:rsidRPr="005C12A6">
        <w:t>%) do contingente observado. Os talões de morfologia triangular e em “hífen” ou “</w:t>
      </w:r>
      <w:r w:rsidRPr="005C12A6">
        <w:rPr>
          <w:i/>
        </w:rPr>
        <w:t>Chapeau de gendarme</w:t>
      </w:r>
      <w:r w:rsidRPr="005C12A6">
        <w:t>” aparecem de seguida, somando, respectivamente, 2</w:t>
      </w:r>
      <w:r>
        <w:t>3</w:t>
      </w:r>
      <w:r w:rsidRPr="005C12A6">
        <w:t xml:space="preserve"> % e </w:t>
      </w:r>
      <w:r>
        <w:t>17</w:t>
      </w:r>
      <w:r w:rsidRPr="005C12A6">
        <w:t xml:space="preserve">% da população total. </w:t>
      </w:r>
      <w:r>
        <w:t xml:space="preserve">O talão facetado representa 6 % da população. </w:t>
      </w:r>
      <w:r w:rsidRPr="005C12A6">
        <w:t>O talão de morfologia linear (</w:t>
      </w:r>
      <w:r>
        <w:t>3</w:t>
      </w:r>
      <w:r w:rsidRPr="005C12A6">
        <w:t>%) e em “ponto” (</w:t>
      </w:r>
      <w:r>
        <w:t>2</w:t>
      </w:r>
      <w:r w:rsidRPr="005C12A6">
        <w:t>%) completam o resto do material analisado.</w:t>
      </w:r>
    </w:p>
    <w:p w:rsidR="009C68B2" w:rsidRDefault="00EA3774" w:rsidP="009C68B2">
      <w:pPr>
        <w:autoSpaceDE w:val="0"/>
        <w:autoSpaceDN w:val="0"/>
        <w:adjustRightInd w:val="0"/>
        <w:jc w:val="center"/>
        <w:rPr>
          <w:noProof/>
        </w:rPr>
      </w:pPr>
      <w:r>
        <w:rPr>
          <w:noProof/>
          <w:lang w:eastAsia="en-US"/>
        </w:rPr>
        <w:pict>
          <v:shape id="_x0000_s1466" type="#_x0000_t202" style="position:absolute;left:0;text-align:left;margin-left:46.6pt;margin-top:251.95pt;width:346.1pt;height:27.6pt;z-index:251744256;mso-width-relative:margin;mso-height-relative:margin" stroked="f">
            <v:textbox style="mso-next-textbox:#_x0000_s1466">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3</w:t>
                  </w:r>
                  <w:r w:rsidRPr="00662724">
                    <w:rPr>
                      <w:sz w:val="22"/>
                      <w:szCs w:val="22"/>
                    </w:rPr>
                    <w:t xml:space="preserve">- </w:t>
                  </w:r>
                  <w:r>
                    <w:rPr>
                      <w:sz w:val="22"/>
                      <w:szCs w:val="22"/>
                    </w:rPr>
                    <w:t>Morfologia do talão</w:t>
                  </w:r>
                  <w:r w:rsidRPr="00662724">
                    <w:rPr>
                      <w:sz w:val="22"/>
                      <w:szCs w:val="22"/>
                    </w:rPr>
                    <w:t xml:space="preserve"> das lascas recolhidas no Azinhal.</w:t>
                  </w:r>
                </w:p>
                <w:p w:rsidR="00B34B0F" w:rsidRPr="006E3919" w:rsidRDefault="00B34B0F" w:rsidP="009C68B2"/>
              </w:txbxContent>
            </v:textbox>
          </v:shape>
        </w:pict>
      </w:r>
      <w:r w:rsidR="009C68B2">
        <w:rPr>
          <w:noProof/>
        </w:rPr>
        <w:object w:dxaOrig="7720" w:dyaOrig="5224">
          <v:shape id="_x0000_i1056" type="#_x0000_t75" style="width:386.8pt;height:260.35pt" o:ole="">
            <v:imagedata r:id="rId129" o:title=""/>
          </v:shape>
          <o:OLEObject Type="Embed" ProgID="Excel.Sheet.12" ShapeID="_x0000_i1056" DrawAspect="Content" ObjectID="_1556969336" r:id="rId130"/>
        </w:object>
      </w:r>
    </w:p>
    <w:p w:rsidR="009C68B2" w:rsidRDefault="009C68B2" w:rsidP="009C68B2">
      <w:pPr>
        <w:autoSpaceDE w:val="0"/>
        <w:autoSpaceDN w:val="0"/>
        <w:adjustRightInd w:val="0"/>
        <w:spacing w:line="360" w:lineRule="auto"/>
        <w:ind w:firstLine="708"/>
        <w:jc w:val="both"/>
      </w:pPr>
      <w:r>
        <w:lastRenderedPageBreak/>
        <w:t>Em termos de comprimento e largura do talão existe alguma variação nas dimensões registadas neste conjunto (</w:t>
      </w:r>
      <w:r w:rsidRPr="00662724">
        <w:rPr>
          <w:sz w:val="22"/>
          <w:szCs w:val="22"/>
        </w:rPr>
        <w:t>Gráfico 6.</w:t>
      </w:r>
      <w:r>
        <w:rPr>
          <w:sz w:val="22"/>
          <w:szCs w:val="22"/>
        </w:rPr>
        <w:t>2</w:t>
      </w:r>
      <w:r w:rsidRPr="00662724">
        <w:rPr>
          <w:sz w:val="22"/>
          <w:szCs w:val="22"/>
        </w:rPr>
        <w:t>.1</w:t>
      </w:r>
      <w:r>
        <w:rPr>
          <w:sz w:val="22"/>
          <w:szCs w:val="22"/>
        </w:rPr>
        <w:t>4)</w:t>
      </w:r>
      <w:r>
        <w:t>. A média do comprimento é de 16,29 mm dentro de um universo que vai dos 2,36 mm aos 41,64 mm. No que à largura do talão se refere a média apresentada é de 16,56 mm. O conjunto analisado espraia-se entre os 2,65 mm e os 26,84 mm.</w:t>
      </w:r>
    </w:p>
    <w:p w:rsidR="009C68B2" w:rsidRDefault="009C68B2" w:rsidP="009C68B2">
      <w:pPr>
        <w:autoSpaceDE w:val="0"/>
        <w:autoSpaceDN w:val="0"/>
        <w:adjustRightInd w:val="0"/>
      </w:pPr>
    </w:p>
    <w:p w:rsidR="009C68B2" w:rsidRDefault="009C68B2" w:rsidP="009C68B2">
      <w:pPr>
        <w:autoSpaceDE w:val="0"/>
        <w:autoSpaceDN w:val="0"/>
        <w:adjustRightInd w:val="0"/>
        <w:jc w:val="center"/>
      </w:pPr>
      <w:r>
        <w:rPr>
          <w:noProof/>
        </w:rPr>
        <w:object w:dxaOrig="7211" w:dyaOrig="4082">
          <v:shape id="_x0000_i1057" type="#_x0000_t75" style="width:399.35pt;height:225.2pt" o:ole="">
            <v:imagedata r:id="rId131" o:title=""/>
          </v:shape>
          <o:OLEObject Type="Embed" ProgID="Excel.Sheet.12" ShapeID="_x0000_i1057" DrawAspect="Content" ObjectID="_1556969337" r:id="rId132"/>
        </w:object>
      </w:r>
    </w:p>
    <w:p w:rsidR="009C68B2" w:rsidRDefault="00EA3774" w:rsidP="009C68B2">
      <w:pPr>
        <w:autoSpaceDE w:val="0"/>
        <w:autoSpaceDN w:val="0"/>
        <w:adjustRightInd w:val="0"/>
      </w:pPr>
      <w:r>
        <w:rPr>
          <w:noProof/>
          <w:lang w:eastAsia="en-US"/>
        </w:rPr>
        <w:pict>
          <v:shape id="_x0000_s1467" type="#_x0000_t202" style="position:absolute;margin-left:0;margin-top:0;width:369.95pt;height:34.4pt;z-index:251745280;mso-position-horizontal:center;mso-width-relative:margin;mso-height-relative:margin" stroked="f">
            <v:textbox style="mso-next-textbox:#_x0000_s1467">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4</w:t>
                  </w:r>
                  <w:r w:rsidRPr="00662724">
                    <w:rPr>
                      <w:sz w:val="22"/>
                      <w:szCs w:val="22"/>
                    </w:rPr>
                    <w:t>-</w:t>
                  </w:r>
                  <w:r>
                    <w:rPr>
                      <w:sz w:val="22"/>
                      <w:szCs w:val="22"/>
                    </w:rPr>
                    <w:t xml:space="preserve"> Razão comprimento/espessura do talão</w:t>
                  </w:r>
                  <w:r w:rsidRPr="00662724">
                    <w:rPr>
                      <w:sz w:val="22"/>
                      <w:szCs w:val="22"/>
                    </w:rPr>
                    <w:t xml:space="preserve"> das lascas recolhidas no Azinhal.</w:t>
                  </w:r>
                </w:p>
                <w:p w:rsidR="00B34B0F" w:rsidRPr="006E3919" w:rsidRDefault="00B34B0F" w:rsidP="009C68B2"/>
              </w:txbxContent>
            </v:textbox>
          </v:shape>
        </w:pic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O que sobressai, quando se observam os resultados obtidos em relação à presença/ausência de córtex na indústria do Azinhal, é o equilíbrio no número de peças que não apresentam vestígios da camada exterior do suporte e os que apresentam (</w:t>
      </w:r>
      <w:r w:rsidRPr="00662724">
        <w:rPr>
          <w:sz w:val="22"/>
          <w:szCs w:val="22"/>
        </w:rPr>
        <w:t>Gráfico 6.</w:t>
      </w:r>
      <w:r>
        <w:rPr>
          <w:sz w:val="22"/>
          <w:szCs w:val="22"/>
        </w:rPr>
        <w:t>2</w:t>
      </w:r>
      <w:r w:rsidRPr="00662724">
        <w:rPr>
          <w:sz w:val="22"/>
          <w:szCs w:val="22"/>
        </w:rPr>
        <w:t>.1</w:t>
      </w:r>
      <w:r>
        <w:rPr>
          <w:sz w:val="22"/>
          <w:szCs w:val="22"/>
        </w:rPr>
        <w:t>5)</w:t>
      </w:r>
      <w:r>
        <w:t xml:space="preserve">. </w:t>
      </w:r>
    </w:p>
    <w:p w:rsidR="009C68B2" w:rsidRDefault="00EA3774" w:rsidP="009C68B2">
      <w:pPr>
        <w:autoSpaceDE w:val="0"/>
        <w:autoSpaceDN w:val="0"/>
        <w:adjustRightInd w:val="0"/>
        <w:jc w:val="center"/>
        <w:rPr>
          <w:noProof/>
        </w:rPr>
      </w:pPr>
      <w:r>
        <w:rPr>
          <w:noProof/>
          <w:lang w:eastAsia="en-US"/>
        </w:rPr>
        <w:pict>
          <v:shape id="_x0000_s1472" type="#_x0000_t202" style="position:absolute;left:0;text-align:left;margin-left:61.9pt;margin-top:191.3pt;width:299.5pt;height:46.3pt;z-index:251750400;mso-height-percent:200;mso-height-percent:200;mso-width-relative:margin;mso-height-relative:margin" stroked="f">
            <v:textbox style="mso-next-textbox:#_x0000_s1472;mso-fit-shape-to-text:t">
              <w:txbxContent>
                <w:p w:rsidR="00B34B0F" w:rsidRPr="00662724" w:rsidRDefault="00B34B0F" w:rsidP="009C68B2">
                  <w:pPr>
                    <w:jc w:val="both"/>
                  </w:pPr>
                  <w:r w:rsidRPr="00662724">
                    <w:rPr>
                      <w:sz w:val="22"/>
                      <w:szCs w:val="22"/>
                    </w:rPr>
                    <w:t>Gráfico 6.</w:t>
                  </w:r>
                  <w:r>
                    <w:rPr>
                      <w:sz w:val="22"/>
                      <w:szCs w:val="22"/>
                    </w:rPr>
                    <w:t>2</w:t>
                  </w:r>
                  <w:r w:rsidRPr="00662724">
                    <w:rPr>
                      <w:sz w:val="22"/>
                      <w:szCs w:val="22"/>
                    </w:rPr>
                    <w:t>.1</w:t>
                  </w:r>
                  <w:r>
                    <w:rPr>
                      <w:sz w:val="22"/>
                      <w:szCs w:val="22"/>
                    </w:rPr>
                    <w:t>5</w:t>
                  </w:r>
                  <w:r w:rsidRPr="00662724">
                    <w:rPr>
                      <w:sz w:val="22"/>
                      <w:szCs w:val="22"/>
                    </w:rPr>
                    <w:t xml:space="preserve">- </w:t>
                  </w:r>
                  <w:r>
                    <w:rPr>
                      <w:sz w:val="22"/>
                      <w:szCs w:val="22"/>
                    </w:rPr>
                    <w:t>Presença de córtex na indústria lítica do Azinhal.</w:t>
                  </w:r>
                </w:p>
                <w:p w:rsidR="00B34B0F" w:rsidRPr="006E3919" w:rsidRDefault="00B34B0F" w:rsidP="009C68B2">
                  <w:pPr>
                    <w:jc w:val="both"/>
                  </w:pPr>
                </w:p>
              </w:txbxContent>
            </v:textbox>
          </v:shape>
        </w:pict>
      </w:r>
      <w:r w:rsidR="009C68B2">
        <w:rPr>
          <w:noProof/>
        </w:rPr>
        <w:object w:dxaOrig="7212" w:dyaOrig="4085">
          <v:shape id="_x0000_i1058" type="#_x0000_t75" style="width:369.2pt;height:208.45pt" o:ole="">
            <v:imagedata r:id="rId133" o:title=""/>
          </v:shape>
          <o:OLEObject Type="Embed" ProgID="Excel.Sheet.12" ShapeID="_x0000_i1058" DrawAspect="Content" ObjectID="_1556969338" r:id="rId134"/>
        </w:object>
      </w:r>
    </w:p>
    <w:p w:rsidR="009C68B2" w:rsidRDefault="009C68B2" w:rsidP="009C68B2">
      <w:pPr>
        <w:autoSpaceDE w:val="0"/>
        <w:autoSpaceDN w:val="0"/>
        <w:adjustRightInd w:val="0"/>
        <w:spacing w:line="360" w:lineRule="auto"/>
        <w:ind w:firstLine="708"/>
        <w:jc w:val="both"/>
      </w:pPr>
      <w:r>
        <w:lastRenderedPageBreak/>
        <w:t xml:space="preserve">No entanto, as peças que apresentam vestígios de córtex superam as que não revelam a existência desta camada. Nesta estação 46% das peças não ostentam vestígios de córtex contra 54% que ainda contêm algum vestígio da superfície original da matéria-prima utilizada. </w:t>
      </w:r>
    </w:p>
    <w:p w:rsidR="009C68B2" w:rsidRDefault="009C68B2" w:rsidP="009C68B2">
      <w:pPr>
        <w:autoSpaceDE w:val="0"/>
        <w:autoSpaceDN w:val="0"/>
        <w:adjustRightInd w:val="0"/>
      </w:pP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rPr>
          <w:noProof/>
        </w:rPr>
      </w:pPr>
      <w:r>
        <w:rPr>
          <w:noProof/>
        </w:rPr>
        <w:t>6.2.3.3.2. Núcleos.</w:t>
      </w:r>
    </w:p>
    <w:p w:rsidR="009C68B2" w:rsidRDefault="009C68B2" w:rsidP="009C68B2">
      <w:pPr>
        <w:autoSpaceDE w:val="0"/>
        <w:autoSpaceDN w:val="0"/>
        <w:adjustRightInd w:val="0"/>
        <w:spacing w:line="360" w:lineRule="auto"/>
        <w:ind w:firstLine="708"/>
        <w:jc w:val="both"/>
      </w:pPr>
    </w:p>
    <w:p w:rsidR="009C68B2" w:rsidRDefault="009C68B2" w:rsidP="009C68B2">
      <w:pPr>
        <w:autoSpaceDE w:val="0"/>
        <w:autoSpaceDN w:val="0"/>
        <w:adjustRightInd w:val="0"/>
        <w:spacing w:line="360" w:lineRule="auto"/>
        <w:ind w:firstLine="708"/>
        <w:jc w:val="both"/>
      </w:pPr>
      <w:r>
        <w:t>Na estação do Azinhal</w:t>
      </w:r>
      <w:r w:rsidRPr="00435DEA">
        <w:t xml:space="preserve"> identificaram-se </w:t>
      </w:r>
      <w:r>
        <w:t>20</w:t>
      </w:r>
      <w:r w:rsidRPr="00435DEA">
        <w:t xml:space="preserve"> peças</w:t>
      </w:r>
      <w:r>
        <w:t>,</w:t>
      </w:r>
      <w:r w:rsidRPr="00435DEA">
        <w:t xml:space="preserve"> que pelas suas características (bases de produção de lascas) se consideraram como núcleos. Umas das características deste conjunto é a heterogeneidade destas peças em relação ao número de negativos de levantamentos </w:t>
      </w:r>
      <w:r>
        <w:t>executados</w:t>
      </w:r>
      <w:r w:rsidRPr="00435DEA">
        <w:t xml:space="preserve"> e </w:t>
      </w:r>
      <w:r>
        <w:t>à</w:t>
      </w:r>
      <w:r w:rsidRPr="00435DEA">
        <w:t xml:space="preserve"> forma como a sequência de remoção das lascas se processa. Como podemos ver no </w:t>
      </w:r>
      <w:r w:rsidRPr="000C442C">
        <w:t>gráfico 6.2.16</w:t>
      </w:r>
      <w:r w:rsidRPr="00435DEA">
        <w:t xml:space="preserve">, </w:t>
      </w:r>
      <w:r>
        <w:t>o maior número de núcleos apresenta quatro levantamentos (30% do total). Os núcleos com 6 e 7 levantamentos perfazem em conjunto, em partes iguais, outros 30 % da amostra. U</w:t>
      </w:r>
      <w:r w:rsidRPr="00435DEA">
        <w:t>ma substancial parte destes núcleos (</w:t>
      </w:r>
      <w:r>
        <w:t>70</w:t>
      </w:r>
      <w:r w:rsidRPr="00435DEA">
        <w:t xml:space="preserve">%) apresenta entre </w:t>
      </w:r>
      <w:r>
        <w:t>4</w:t>
      </w:r>
      <w:r w:rsidRPr="00435DEA">
        <w:t xml:space="preserve"> e </w:t>
      </w:r>
      <w:r>
        <w:t>7</w:t>
      </w:r>
      <w:r w:rsidRPr="00435DEA">
        <w:t xml:space="preserve"> negativos de levantamentos. Os núcleos onde se registaram mais de </w:t>
      </w:r>
      <w:r>
        <w:t>7</w:t>
      </w:r>
      <w:r w:rsidRPr="00435DEA">
        <w:t xml:space="preserve"> levantamentos somaram </w:t>
      </w:r>
      <w:r>
        <w:t xml:space="preserve">20 </w:t>
      </w:r>
      <w:r w:rsidRPr="00435DEA">
        <w:t>% do total do conjunto</w:t>
      </w:r>
      <w:r>
        <w:t xml:space="preserve"> (8 levantamentos: 10%; 10 levantamentos: 5 % e 11 levantamentos: 5%). Dois núcleos apresentavam 3 levantamentos (10%).</w:t>
      </w:r>
    </w:p>
    <w:p w:rsidR="009C68B2" w:rsidRDefault="00EA3774" w:rsidP="009C68B2">
      <w:pPr>
        <w:autoSpaceDE w:val="0"/>
        <w:autoSpaceDN w:val="0"/>
        <w:adjustRightInd w:val="0"/>
        <w:jc w:val="center"/>
        <w:rPr>
          <w:noProof/>
        </w:rPr>
      </w:pPr>
      <w:r>
        <w:rPr>
          <w:noProof/>
          <w:lang w:eastAsia="en-US"/>
        </w:rPr>
        <w:pict>
          <v:shape id="_x0000_s1471" type="#_x0000_t202" style="position:absolute;left:0;text-align:left;margin-left:54.65pt;margin-top:199.75pt;width:314.8pt;height:41.55pt;z-index:251749376;mso-width-relative:margin;mso-height-relative:margin" stroked="f">
            <v:textbox style="mso-next-textbox:#_x0000_s1471">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6</w:t>
                  </w:r>
                  <w:r w:rsidRPr="00662724">
                    <w:rPr>
                      <w:sz w:val="22"/>
                      <w:szCs w:val="22"/>
                    </w:rPr>
                    <w:t xml:space="preserve">- Número de levantamentos identificados </w:t>
                  </w:r>
                  <w:r>
                    <w:rPr>
                      <w:sz w:val="22"/>
                      <w:szCs w:val="22"/>
                    </w:rPr>
                    <w:t>nos núcleos</w:t>
                  </w:r>
                  <w:r w:rsidRPr="00662724">
                    <w:rPr>
                      <w:sz w:val="22"/>
                      <w:szCs w:val="22"/>
                    </w:rPr>
                    <w:t xml:space="preserve"> recolhidas no Azinhal.</w:t>
                  </w:r>
                </w:p>
                <w:p w:rsidR="00B34B0F" w:rsidRDefault="00B34B0F" w:rsidP="009C68B2"/>
              </w:txbxContent>
            </v:textbox>
          </v:shape>
        </w:pict>
      </w:r>
      <w:r w:rsidR="009C68B2">
        <w:rPr>
          <w:noProof/>
        </w:rPr>
        <w:object w:dxaOrig="7212" w:dyaOrig="4280">
          <v:shape id="_x0000_i1059" type="#_x0000_t75" style="width:375.05pt;height:221.85pt" o:ole="">
            <v:imagedata r:id="rId135" o:title=""/>
          </v:shape>
          <o:OLEObject Type="Embed" ProgID="Excel.Sheet.12" ShapeID="_x0000_i1059" DrawAspect="Content" ObjectID="_1556969339" r:id="rId136"/>
        </w:object>
      </w:r>
    </w:p>
    <w:p w:rsidR="009C68B2" w:rsidRDefault="009C68B2" w:rsidP="009C68B2">
      <w:pPr>
        <w:autoSpaceDE w:val="0"/>
        <w:autoSpaceDN w:val="0"/>
        <w:adjustRightInd w:val="0"/>
      </w:pPr>
    </w:p>
    <w:p w:rsidR="009C68B2" w:rsidRDefault="009C68B2" w:rsidP="009C68B2">
      <w:pPr>
        <w:autoSpaceDE w:val="0"/>
        <w:autoSpaceDN w:val="0"/>
        <w:adjustRightInd w:val="0"/>
        <w:spacing w:line="360" w:lineRule="auto"/>
        <w:jc w:val="both"/>
        <w:rPr>
          <w:noProof/>
        </w:rPr>
      </w:pPr>
    </w:p>
    <w:p w:rsidR="009C68B2" w:rsidRPr="001F0B88" w:rsidRDefault="009C68B2" w:rsidP="009C68B2">
      <w:pPr>
        <w:autoSpaceDE w:val="0"/>
        <w:autoSpaceDN w:val="0"/>
        <w:adjustRightInd w:val="0"/>
        <w:spacing w:line="360" w:lineRule="auto"/>
        <w:ind w:firstLine="708"/>
        <w:jc w:val="both"/>
        <w:rPr>
          <w:noProof/>
        </w:rPr>
      </w:pPr>
      <w:r w:rsidRPr="001F0B88">
        <w:rPr>
          <w:noProof/>
        </w:rPr>
        <w:t xml:space="preserve">Quando se analisam as dimensões dos núcleos nomeadamente a razão comprimento/ largura, verifica-se que </w:t>
      </w:r>
      <w:r>
        <w:rPr>
          <w:noProof/>
        </w:rPr>
        <w:t>parte importante d</w:t>
      </w:r>
      <w:r w:rsidRPr="001F0B88">
        <w:rPr>
          <w:noProof/>
        </w:rPr>
        <w:t xml:space="preserve">os núcleos analisados se </w:t>
      </w:r>
      <w:r>
        <w:rPr>
          <w:noProof/>
        </w:rPr>
        <w:t xml:space="preserve">concentra numa zona do gráfico, </w:t>
      </w:r>
      <w:r w:rsidRPr="001F0B88">
        <w:rPr>
          <w:noProof/>
        </w:rPr>
        <w:t xml:space="preserve"> apresenta</w:t>
      </w:r>
      <w:r>
        <w:rPr>
          <w:noProof/>
        </w:rPr>
        <w:t>ndo</w:t>
      </w:r>
      <w:r w:rsidRPr="001F0B88">
        <w:rPr>
          <w:noProof/>
        </w:rPr>
        <w:t xml:space="preserve"> </w:t>
      </w:r>
      <w:r>
        <w:rPr>
          <w:noProof/>
        </w:rPr>
        <w:t>uma</w:t>
      </w:r>
      <w:r w:rsidRPr="001F0B88">
        <w:rPr>
          <w:noProof/>
        </w:rPr>
        <w:t xml:space="preserve"> tendência para dimensões </w:t>
      </w:r>
      <w:r w:rsidRPr="001F0B88">
        <w:rPr>
          <w:noProof/>
        </w:rPr>
        <w:lastRenderedPageBreak/>
        <w:t>estandardizadas</w:t>
      </w:r>
      <w:r>
        <w:rPr>
          <w:noProof/>
        </w:rPr>
        <w:t xml:space="preserve"> (</w:t>
      </w:r>
      <w:r w:rsidRPr="00662724">
        <w:rPr>
          <w:sz w:val="22"/>
          <w:szCs w:val="22"/>
        </w:rPr>
        <w:t>Gráfico</w:t>
      </w:r>
      <w:r>
        <w:rPr>
          <w:sz w:val="22"/>
          <w:szCs w:val="22"/>
        </w:rPr>
        <w:t>s</w:t>
      </w:r>
      <w:r w:rsidRPr="00662724">
        <w:rPr>
          <w:sz w:val="22"/>
          <w:szCs w:val="22"/>
        </w:rPr>
        <w:t xml:space="preserve"> 6.</w:t>
      </w:r>
      <w:r>
        <w:rPr>
          <w:sz w:val="22"/>
          <w:szCs w:val="22"/>
        </w:rPr>
        <w:t>2</w:t>
      </w:r>
      <w:r w:rsidRPr="00662724">
        <w:rPr>
          <w:sz w:val="22"/>
          <w:szCs w:val="22"/>
        </w:rPr>
        <w:t>.1</w:t>
      </w:r>
      <w:r>
        <w:rPr>
          <w:sz w:val="22"/>
          <w:szCs w:val="22"/>
        </w:rPr>
        <w:t>7, 6.2.18 e 6.2.19)</w:t>
      </w:r>
      <w:r w:rsidRPr="001F0B88">
        <w:rPr>
          <w:noProof/>
        </w:rPr>
        <w:t xml:space="preserve">. Os núcleos </w:t>
      </w:r>
      <w:r>
        <w:rPr>
          <w:noProof/>
        </w:rPr>
        <w:t xml:space="preserve">do Azinhal </w:t>
      </w:r>
      <w:r w:rsidRPr="001F0B88">
        <w:rPr>
          <w:noProof/>
        </w:rPr>
        <w:t>apresentam comp</w:t>
      </w:r>
      <w:r>
        <w:rPr>
          <w:noProof/>
        </w:rPr>
        <w:t>rimentos que vão dos 30 mm aos 6</w:t>
      </w:r>
      <w:r w:rsidRPr="001F0B88">
        <w:rPr>
          <w:noProof/>
        </w:rPr>
        <w:t>0 mm e larguras situad</w:t>
      </w:r>
      <w:r>
        <w:rPr>
          <w:noProof/>
        </w:rPr>
        <w:t>a</w:t>
      </w:r>
      <w:r w:rsidRPr="001F0B88">
        <w:rPr>
          <w:noProof/>
        </w:rPr>
        <w:t xml:space="preserve">s entre os </w:t>
      </w:r>
      <w:r>
        <w:rPr>
          <w:noProof/>
        </w:rPr>
        <w:t>15 mm e os 40 mm. Como se pode ver os</w:t>
      </w:r>
      <w:r w:rsidRPr="001F0B88">
        <w:rPr>
          <w:noProof/>
        </w:rPr>
        <w:t xml:space="preserve"> núcleos </w:t>
      </w:r>
      <w:r>
        <w:rPr>
          <w:noProof/>
        </w:rPr>
        <w:t>possuem</w:t>
      </w:r>
      <w:r w:rsidRPr="001F0B88">
        <w:rPr>
          <w:noProof/>
        </w:rPr>
        <w:t xml:space="preserve"> dimensões reduzidas, resu</w:t>
      </w:r>
      <w:r>
        <w:rPr>
          <w:noProof/>
        </w:rPr>
        <w:t>ltando obviamente daí lascas de</w:t>
      </w:r>
      <w:r w:rsidRPr="001F0B88">
        <w:rPr>
          <w:noProof/>
        </w:rPr>
        <w:t xml:space="preserve"> dimensões reduzidas.</w:t>
      </w:r>
    </w:p>
    <w:p w:rsidR="009C68B2" w:rsidRDefault="009C68B2" w:rsidP="009C68B2">
      <w:pPr>
        <w:autoSpaceDE w:val="0"/>
        <w:autoSpaceDN w:val="0"/>
        <w:adjustRightInd w:val="0"/>
      </w:pPr>
    </w:p>
    <w:p w:rsidR="009C68B2" w:rsidRDefault="00EA3774" w:rsidP="009C68B2">
      <w:pPr>
        <w:autoSpaceDE w:val="0"/>
        <w:autoSpaceDN w:val="0"/>
        <w:adjustRightInd w:val="0"/>
        <w:jc w:val="center"/>
      </w:pPr>
      <w:r>
        <w:rPr>
          <w:noProof/>
          <w:lang w:eastAsia="en-US"/>
        </w:rPr>
        <w:pict>
          <v:shape id="_x0000_s1470" type="#_x0000_t202" style="position:absolute;left:0;text-align:left;margin-left:17.15pt;margin-top:221.8pt;width:389.05pt;height:37.15pt;z-index:251748352;mso-width-relative:margin;mso-height-relative:margin" stroked="f">
            <v:textbox style="mso-next-textbox:#_x0000_s1470">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7</w:t>
                  </w:r>
                  <w:r w:rsidRPr="00662724">
                    <w:rPr>
                      <w:sz w:val="22"/>
                      <w:szCs w:val="22"/>
                    </w:rPr>
                    <w:t>-</w:t>
                  </w:r>
                  <w:r>
                    <w:rPr>
                      <w:sz w:val="22"/>
                      <w:szCs w:val="22"/>
                    </w:rPr>
                    <w:t xml:space="preserve"> Razão comprimento/largura dos núcleos recolhido</w:t>
                  </w:r>
                  <w:r w:rsidRPr="00662724">
                    <w:rPr>
                      <w:sz w:val="22"/>
                      <w:szCs w:val="22"/>
                    </w:rPr>
                    <w:t>s no Azinhal.</w:t>
                  </w:r>
                </w:p>
                <w:p w:rsidR="00B34B0F" w:rsidRPr="008C6E85" w:rsidRDefault="00B34B0F" w:rsidP="009C68B2"/>
              </w:txbxContent>
            </v:textbox>
          </v:shape>
        </w:pict>
      </w:r>
      <w:r w:rsidR="009C68B2">
        <w:object w:dxaOrig="7212" w:dyaOrig="4085">
          <v:shape id="_x0000_i1060" type="#_x0000_t75" style="width:422.8pt;height:238.6pt" o:ole="">
            <v:imagedata r:id="rId137" o:title=""/>
          </v:shape>
          <o:OLEObject Type="Embed" ProgID="Excel.Sheet.12" ShapeID="_x0000_i1060" DrawAspect="Content" ObjectID="_1556969340" r:id="rId138"/>
        </w:object>
      </w: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r>
        <w:rPr>
          <w:noProof/>
        </w:rPr>
        <w:object w:dxaOrig="7212" w:dyaOrig="4085">
          <v:shape id="_x0000_i1061" type="#_x0000_t75" style="width:427pt;height:241.1pt" o:ole="">
            <v:imagedata r:id="rId139" o:title=""/>
          </v:shape>
          <o:OLEObject Type="Embed" ProgID="Excel.Sheet.12" ShapeID="_x0000_i1061" DrawAspect="Content" ObjectID="_1556969341" r:id="rId140"/>
        </w:object>
      </w:r>
    </w:p>
    <w:p w:rsidR="009C68B2" w:rsidRDefault="00EA3774" w:rsidP="009C68B2">
      <w:pPr>
        <w:autoSpaceDE w:val="0"/>
        <w:autoSpaceDN w:val="0"/>
        <w:adjustRightInd w:val="0"/>
        <w:rPr>
          <w:noProof/>
        </w:rPr>
      </w:pPr>
      <w:r>
        <w:rPr>
          <w:noProof/>
          <w:lang w:eastAsia="en-US"/>
        </w:rPr>
        <w:pict>
          <v:shape id="_x0000_s1477" type="#_x0000_t202" style="position:absolute;margin-left:32.05pt;margin-top:1.4pt;width:360.35pt;height:26.75pt;z-index:251755520;mso-width-relative:margin;mso-height-relative:margin" stroked="f">
            <v:textbox style="mso-next-textbox:#_x0000_s1477">
              <w:txbxContent>
                <w:p w:rsidR="00B34B0F" w:rsidRDefault="00B34B0F" w:rsidP="009C68B2">
                  <w:pPr>
                    <w:rPr>
                      <w:sz w:val="22"/>
                      <w:szCs w:val="22"/>
                    </w:rPr>
                  </w:pPr>
                  <w:r w:rsidRPr="00662724">
                    <w:rPr>
                      <w:sz w:val="22"/>
                      <w:szCs w:val="22"/>
                    </w:rPr>
                    <w:t>Gráfico 6.</w:t>
                  </w:r>
                  <w:r>
                    <w:rPr>
                      <w:sz w:val="22"/>
                      <w:szCs w:val="22"/>
                    </w:rPr>
                    <w:t>2</w:t>
                  </w:r>
                  <w:r w:rsidRPr="00662724">
                    <w:rPr>
                      <w:sz w:val="22"/>
                      <w:szCs w:val="22"/>
                    </w:rPr>
                    <w:t>.1</w:t>
                  </w:r>
                  <w:r>
                    <w:rPr>
                      <w:sz w:val="22"/>
                      <w:szCs w:val="22"/>
                    </w:rPr>
                    <w:t>8</w:t>
                  </w:r>
                  <w:r w:rsidRPr="00662724">
                    <w:rPr>
                      <w:sz w:val="22"/>
                      <w:szCs w:val="22"/>
                    </w:rPr>
                    <w:t>-</w:t>
                  </w:r>
                  <w:r>
                    <w:rPr>
                      <w:sz w:val="22"/>
                      <w:szCs w:val="22"/>
                    </w:rPr>
                    <w:t xml:space="preserve"> Razão largura/espessura dos núcleos recolhido</w:t>
                  </w:r>
                  <w:r w:rsidRPr="00662724">
                    <w:rPr>
                      <w:sz w:val="22"/>
                      <w:szCs w:val="22"/>
                    </w:rPr>
                    <w:t>s no Azinhal.</w:t>
                  </w:r>
                </w:p>
                <w:p w:rsidR="00B34B0F" w:rsidRPr="00662724" w:rsidRDefault="00B34B0F" w:rsidP="009C68B2"/>
                <w:p w:rsidR="00B34B0F" w:rsidRDefault="00B34B0F" w:rsidP="009C68B2"/>
              </w:txbxContent>
            </v:textbox>
          </v:shape>
        </w:pict>
      </w: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EA3774" w:rsidP="009C68B2">
      <w:pPr>
        <w:autoSpaceDE w:val="0"/>
        <w:autoSpaceDN w:val="0"/>
        <w:adjustRightInd w:val="0"/>
        <w:jc w:val="center"/>
      </w:pPr>
      <w:r>
        <w:rPr>
          <w:noProof/>
          <w:lang w:eastAsia="en-US"/>
        </w:rPr>
        <w:pict>
          <v:shape id="_x0000_s1478" type="#_x0000_t202" style="position:absolute;left:0;text-align:left;margin-left:18.05pt;margin-top:225.4pt;width:360.3pt;height:31.6pt;z-index:251756544;mso-width-relative:margin;mso-height-relative:margin" stroked="f">
            <v:textbox style="mso-next-textbox:#_x0000_s1478">
              <w:txbxContent>
                <w:p w:rsidR="00B34B0F" w:rsidRPr="00662724" w:rsidRDefault="00B34B0F" w:rsidP="009C68B2">
                  <w:r w:rsidRPr="00662724">
                    <w:rPr>
                      <w:sz w:val="22"/>
                      <w:szCs w:val="22"/>
                    </w:rPr>
                    <w:t>Gráfico 6.</w:t>
                  </w:r>
                  <w:r>
                    <w:rPr>
                      <w:sz w:val="22"/>
                      <w:szCs w:val="22"/>
                    </w:rPr>
                    <w:t>2</w:t>
                  </w:r>
                  <w:r w:rsidRPr="00662724">
                    <w:rPr>
                      <w:sz w:val="22"/>
                      <w:szCs w:val="22"/>
                    </w:rPr>
                    <w:t>.1</w:t>
                  </w:r>
                  <w:r>
                    <w:rPr>
                      <w:sz w:val="22"/>
                      <w:szCs w:val="22"/>
                    </w:rPr>
                    <w:t>9</w:t>
                  </w:r>
                  <w:r w:rsidRPr="00662724">
                    <w:rPr>
                      <w:sz w:val="22"/>
                      <w:szCs w:val="22"/>
                    </w:rPr>
                    <w:t>-</w:t>
                  </w:r>
                  <w:r>
                    <w:rPr>
                      <w:sz w:val="22"/>
                      <w:szCs w:val="22"/>
                    </w:rPr>
                    <w:t xml:space="preserve"> Razão espessura/comprimento dos núcleos recolhido</w:t>
                  </w:r>
                  <w:r w:rsidRPr="00662724">
                    <w:rPr>
                      <w:sz w:val="22"/>
                      <w:szCs w:val="22"/>
                    </w:rPr>
                    <w:t>s no Azinhal.</w:t>
                  </w:r>
                </w:p>
                <w:p w:rsidR="00B34B0F" w:rsidRDefault="00B34B0F" w:rsidP="009C68B2"/>
              </w:txbxContent>
            </v:textbox>
          </v:shape>
        </w:pict>
      </w:r>
      <w:r w:rsidR="009C68B2">
        <w:rPr>
          <w:noProof/>
        </w:rPr>
        <w:object w:dxaOrig="7212" w:dyaOrig="4085">
          <v:shape id="_x0000_i1062" type="#_x0000_t75" style="width:427pt;height:241.1pt" o:ole="">
            <v:imagedata r:id="rId141" o:title=""/>
          </v:shape>
          <o:OLEObject Type="Embed" ProgID="Excel.Sheet.12" ShapeID="_x0000_i1062" DrawAspect="Content" ObjectID="_1556969342" r:id="rId142"/>
        </w:object>
      </w:r>
    </w:p>
    <w:p w:rsidR="009C68B2" w:rsidRDefault="009C68B2" w:rsidP="009C68B2">
      <w:pPr>
        <w:ind w:right="-1701"/>
        <w:rPr>
          <w:b/>
        </w:rPr>
      </w:pPr>
    </w:p>
    <w:p w:rsidR="009C68B2" w:rsidRPr="00067C34" w:rsidRDefault="009C68B2" w:rsidP="009C68B2">
      <w:pPr>
        <w:ind w:right="-1701"/>
        <w:rPr>
          <w:b/>
        </w:rPr>
      </w:pPr>
    </w:p>
    <w:p w:rsidR="009C68B2" w:rsidRDefault="009C68B2" w:rsidP="009C68B2">
      <w:pPr>
        <w:autoSpaceDE w:val="0"/>
        <w:autoSpaceDN w:val="0"/>
        <w:adjustRightInd w:val="0"/>
      </w:pPr>
    </w:p>
    <w:p w:rsidR="009C68B2" w:rsidRDefault="009C68B2" w:rsidP="009C68B2">
      <w:pPr>
        <w:autoSpaceDE w:val="0"/>
        <w:autoSpaceDN w:val="0"/>
        <w:adjustRightInd w:val="0"/>
      </w:pPr>
      <w:r>
        <w:t>6.2.3.4- Caracterização tecnológica.</w:t>
      </w:r>
    </w:p>
    <w:p w:rsidR="009C68B2" w:rsidRDefault="009C68B2" w:rsidP="009C68B2">
      <w:pPr>
        <w:autoSpaceDE w:val="0"/>
        <w:autoSpaceDN w:val="0"/>
        <w:adjustRightInd w:val="0"/>
        <w:jc w:val="center"/>
        <w:rPr>
          <w:noProof/>
        </w:rPr>
      </w:pPr>
    </w:p>
    <w:p w:rsidR="009C68B2" w:rsidRDefault="009C68B2" w:rsidP="009C68B2">
      <w:pPr>
        <w:autoSpaceDE w:val="0"/>
        <w:autoSpaceDN w:val="0"/>
        <w:adjustRightInd w:val="0"/>
        <w:jc w:val="center"/>
        <w:rPr>
          <w:noProof/>
        </w:rPr>
      </w:pPr>
    </w:p>
    <w:p w:rsidR="009C68B2" w:rsidRDefault="009C68B2" w:rsidP="009C68B2">
      <w:pPr>
        <w:spacing w:line="360" w:lineRule="auto"/>
        <w:ind w:firstLine="708"/>
        <w:jc w:val="both"/>
      </w:pPr>
      <w:r>
        <w:t>A indústria recolhida na estação dos Pegos do Tejo 2, como já foi dito anteriormente, corresponde a uma indústria cujo objectivo é a produção de suportes que, pelas suas dimensões, se enquadram na definição de lascas. Uma vez que a sua análise morfológica já foi apresentada, inicia-se agora a descrição dos artefactos identificados na colecção e dos processos desenvolvidos para lhes dar origem. Após o processo de selecção, referido anteriormente, aplicado ao conjunto da indústria exumada na estação dos Pegos do Tejo 2, foram identificadas várias lascas que, pelas suas características particulares, poderão corresponder a uma última fase da cadeia operativa e, portanto, representar utensílios. A análise diacrítica dos núcleos, que de seguida se apresentará, permitira trazer,</w:t>
      </w:r>
      <w:r w:rsidRPr="00DE79CE">
        <w:t xml:space="preserve"> </w:t>
      </w:r>
      <w:r>
        <w:t>do mesmo modo, alguma luz sobre os processos que levaram à produção do utensílio final.</w:t>
      </w:r>
    </w:p>
    <w:p w:rsidR="009C68B2" w:rsidRDefault="009C68B2" w:rsidP="009C68B2">
      <w:pPr>
        <w:spacing w:line="360" w:lineRule="auto"/>
        <w:ind w:firstLine="708"/>
        <w:jc w:val="both"/>
      </w:pPr>
    </w:p>
    <w:p w:rsidR="009C68B2" w:rsidRPr="007B4977" w:rsidRDefault="009C68B2" w:rsidP="009C68B2">
      <w:pPr>
        <w:spacing w:line="360" w:lineRule="auto"/>
        <w:ind w:firstLine="708"/>
        <w:jc w:val="both"/>
      </w:pPr>
    </w:p>
    <w:p w:rsidR="009C68B2" w:rsidRPr="004A2D9A" w:rsidRDefault="009C68B2" w:rsidP="009C68B2">
      <w:pPr>
        <w:spacing w:line="360" w:lineRule="auto"/>
        <w:jc w:val="both"/>
      </w:pPr>
      <w:r w:rsidRPr="004A2D9A">
        <w:t>6.2.</w:t>
      </w:r>
      <w:r>
        <w:t>3.</w:t>
      </w:r>
      <w:r w:rsidRPr="004A2D9A">
        <w:t>4.1 Indústria lítica</w:t>
      </w:r>
    </w:p>
    <w:p w:rsidR="009C68B2" w:rsidRDefault="009C68B2" w:rsidP="009C68B2">
      <w:pPr>
        <w:spacing w:line="360" w:lineRule="auto"/>
        <w:jc w:val="both"/>
        <w:rPr>
          <w:color w:val="FF0000"/>
        </w:rPr>
      </w:pPr>
    </w:p>
    <w:p w:rsidR="009C68B2" w:rsidRDefault="009C68B2" w:rsidP="009C68B2">
      <w:pPr>
        <w:spacing w:line="360" w:lineRule="auto"/>
        <w:ind w:firstLine="708"/>
        <w:jc w:val="both"/>
      </w:pPr>
      <w:r w:rsidRPr="00496C62">
        <w:t>Em termos tecno-tipológicos a indústria do Azinhal é uma indústria sobre lasca.</w:t>
      </w:r>
      <w:r>
        <w:t xml:space="preserve"> </w:t>
      </w:r>
    </w:p>
    <w:p w:rsidR="009C68B2" w:rsidRDefault="009C68B2" w:rsidP="009C68B2">
      <w:pPr>
        <w:spacing w:line="360" w:lineRule="auto"/>
        <w:jc w:val="both"/>
      </w:pPr>
      <w:r w:rsidRPr="0064400A">
        <w:lastRenderedPageBreak/>
        <w:t xml:space="preserve">A análise do material </w:t>
      </w:r>
      <w:r>
        <w:t xml:space="preserve">lítico revelou a presença de diversos tipos de lascas, cuja morfologia está intimamente relacionada com os processos que lhes deram origem. </w:t>
      </w:r>
    </w:p>
    <w:p w:rsidR="009C68B2" w:rsidRPr="00D16605" w:rsidRDefault="009C68B2" w:rsidP="009C68B2">
      <w:pPr>
        <w:spacing w:line="360" w:lineRule="auto"/>
        <w:ind w:firstLine="708"/>
        <w:jc w:val="both"/>
      </w:pPr>
      <w:r w:rsidRPr="00D16605">
        <w:t xml:space="preserve">A matéria-prima a que se recorreu nesta estação, pequenos núcleos de quartzo e quartzo hialino, também vai influenciar o formato final da indústria produzida. Embora não tenha sido identificado nenhum núcleo </w:t>
      </w:r>
      <w:r w:rsidRPr="00D16605">
        <w:rPr>
          <w:i/>
        </w:rPr>
        <w:t>Levallois</w:t>
      </w:r>
      <w:r w:rsidRPr="00D16605">
        <w:t xml:space="preserve"> durante a escavação (foram recolhidos durante a prospecção de superfície, junto ao poste telefónico onde se localizou o ponto zero da intervenção) foram recolhidas lascas </w:t>
      </w:r>
      <w:r w:rsidRPr="00D16605">
        <w:rPr>
          <w:i/>
        </w:rPr>
        <w:t>Levallois</w:t>
      </w:r>
      <w:r w:rsidRPr="00D16605">
        <w:t xml:space="preserve"> que atestam este modo de debitagem na estação (Figura 6.2.4, n.º 1 a 5, Figura 6.2.5, n.º 4, 5, 7 e 8). </w:t>
      </w:r>
    </w:p>
    <w:p w:rsidR="009C68B2" w:rsidRPr="00D16605" w:rsidRDefault="009C68B2" w:rsidP="009C68B2">
      <w:pPr>
        <w:spacing w:line="360" w:lineRule="auto"/>
        <w:ind w:firstLine="708"/>
        <w:jc w:val="both"/>
      </w:pPr>
      <w:r w:rsidRPr="00D16605">
        <w:t xml:space="preserve">Nesta estação, identificou-se um tipo de raspadeira que constitui o utensílio mais recorrente. Este tipo de raspadeira caracteriza-se pelo adelgaçamento da zona proximal, nalguns casos realizado por retoque abrupto (Figura 6.2.4, n.º 1 e 8), noutros casos por um ou mais levantamentos paralelos ao eixo da peça (Figura 6.2.5, n.º 3) ou ainda, aproveitando lascas já com esse estreitamento após a sua remoção do núcleo. Foi ainda recolhida, durante a intervenção, uma lasca com o talão facetado (Figura 6.2.4, n.º 10). Estes utensílios deveriam ser usados como raspadeiras frontais. </w:t>
      </w:r>
    </w:p>
    <w:p w:rsidR="009C68B2" w:rsidRPr="00D16605" w:rsidRDefault="009C68B2" w:rsidP="009C68B2">
      <w:pPr>
        <w:spacing w:line="360" w:lineRule="auto"/>
        <w:ind w:firstLine="708"/>
        <w:jc w:val="both"/>
      </w:pPr>
      <w:r w:rsidRPr="00D16605">
        <w:t xml:space="preserve">Dentro do universo das raspadeiras identificaram-se ainda alguns elementos realizados sobre lascas de maiores dimensões (Figura 6.2.6, n.º 3,5 e 6) e que deverão corresponder a raspadeiras laterais. Uma das lascas alongadas recolhidas nesta estação também apresenta a remoção do talão, realizada através de levantamentos paralelos no bolbo de percussão (Figura 6.2.5, n.º 3). Esta estação revelou mais alguns suportes alongados, nomeadamente 2 lâminas </w:t>
      </w:r>
      <w:r w:rsidRPr="00D16605">
        <w:rPr>
          <w:i/>
        </w:rPr>
        <w:t>Levallois</w:t>
      </w:r>
      <w:r w:rsidRPr="00D16605">
        <w:t xml:space="preserve"> (Figura 6.2.5, n.º 1 e 2) sendo a primeira alvo de retoque lateral que a transformou em raspadeira lateral. </w:t>
      </w:r>
    </w:p>
    <w:p w:rsidR="009C68B2" w:rsidRPr="00D16605" w:rsidRDefault="009C68B2" w:rsidP="009C68B2">
      <w:pPr>
        <w:spacing w:line="360" w:lineRule="auto"/>
        <w:ind w:firstLine="708"/>
        <w:jc w:val="both"/>
      </w:pPr>
      <w:r w:rsidRPr="00D16605">
        <w:t xml:space="preserve">Um dos achados mais curiosos do Azinhal corresponde a 2 fragmentos proximais de lascas (Figura 6.2.6, n.º 1 e 2) com talão retocado em pedúnculo. Foi ainda identificada uma faca de dorso de pequenas dimensões (Figura 6.2.5, n.º 6) e utensílios de tipo Paleolítico superior, um furador (Figura 6.2.5, n.º 8) e um buril (Figura 6.2.4, n.º 7). Na última campanha apareceu ainda um utensílio de difícil classificação mas que deverá corresponder a um denticulado sobre lasca de redução de um biface (Figura 6.2.7, n.º3) </w:t>
      </w:r>
    </w:p>
    <w:p w:rsidR="009C68B2" w:rsidRPr="00D16605" w:rsidRDefault="009C68B2" w:rsidP="009C68B2">
      <w:pPr>
        <w:spacing w:line="360" w:lineRule="auto"/>
        <w:ind w:firstLine="708"/>
        <w:jc w:val="both"/>
        <w:rPr>
          <w:noProof/>
        </w:rPr>
      </w:pPr>
      <w:r w:rsidRPr="00D16605">
        <w:t xml:space="preserve">Além da indústria sobre lascas a colecção recolhida nesta estação conta com a presença de dois bifaces de tipo Micoquense (Figura 6.2.7, n.º 1 e 2). Estes bifaces, de ponta arredondada e estreitamento no último terço distal, apresentam um talão espesso e cortical. </w:t>
      </w:r>
    </w:p>
    <w:p w:rsidR="009C68B2" w:rsidRPr="00D16605" w:rsidRDefault="009C68B2" w:rsidP="009C68B2">
      <w:pPr>
        <w:spacing w:line="360" w:lineRule="auto"/>
        <w:ind w:firstLine="708"/>
        <w:jc w:val="both"/>
        <w:rPr>
          <w:noProof/>
        </w:rPr>
      </w:pPr>
      <w:r w:rsidRPr="00D16605">
        <w:lastRenderedPageBreak/>
        <w:t>Finalmente é de referir o conjunto de núcleos registados nesta colecção. Neste caso em particular como a matéria-prima a que se recorreu varia entre o quartzito e o quartzo, verifica-se uma diferença nas dimensões dos núcleos, sendo os talhados em quartzo de menores dimensões. Existe uma grande variedade na forma como a massa de matéria-prima é abordada e que resulta numa grande variedade de tipos de núcleos presentes. Como já se viu anteriormente, metade dos núcleos registados apresentam entre cinco e oito levantamentos. Entre estes núcleos, foi possível identificar alguns tipos como núcleos discoides (figura n.º 6.2.8, n.º 2 e 3), oportunísticos sobre bordo de seixo (figura n.º 6.2.8, n.º 4).</w:t>
      </w:r>
      <w:r w:rsidRPr="00D16605">
        <w:rPr>
          <w:noProof/>
        </w:rPr>
        <w:t xml:space="preserve"> Nesta estação foram ainda recolhidos 2 núcleos de tipo centrípetos </w:t>
      </w:r>
      <w:r w:rsidRPr="00D16605">
        <w:t xml:space="preserve">(figura n.º 6.2.9, n.º 1 e 2), o primeiro realizado sobre bordo de seixo e o segundo aproveitando as duas extremidades de uma placa. Finalmente recolheu-se um núcleo de pequenas dimensões em quartzo hialino que apresenta alguns levantamentos de tendência laminar (figura n.º 6.2.8, n.º 1). </w:t>
      </w:r>
    </w:p>
    <w:p w:rsidR="009C68B2" w:rsidRPr="00D16605" w:rsidRDefault="009C68B2" w:rsidP="009C68B2">
      <w:pPr>
        <w:rPr>
          <w:noProof/>
        </w:rPr>
      </w:pPr>
    </w:p>
    <w:p w:rsidR="009C68B2" w:rsidRPr="00D16605" w:rsidRDefault="009C68B2" w:rsidP="009C68B2">
      <w:pPr>
        <w:rPr>
          <w:noProof/>
        </w:rPr>
      </w:pPr>
    </w:p>
    <w:p w:rsidR="009C68B2" w:rsidRPr="00D16605" w:rsidRDefault="00EA3774" w:rsidP="009C68B2">
      <w:pPr>
        <w:rPr>
          <w:color w:val="FF0000"/>
        </w:rPr>
      </w:pPr>
      <w:r>
        <w:rPr>
          <w:noProof/>
          <w:color w:val="FF0000"/>
          <w:lang w:eastAsia="en-US"/>
        </w:rPr>
        <w:pict>
          <v:shape id="_x0000_s1493" type="#_x0000_t202" style="position:absolute;margin-left:.1pt;margin-top:579.4pt;width:425.9pt;height:60.85pt;z-index:251771904;mso-height-percent:200;mso-height-percent:200;mso-width-relative:margin;mso-height-relative:margin">
            <v:textbox style="mso-next-textbox:#_x0000_s1493;mso-fit-shape-to-text:t">
              <w:txbxContent>
                <w:p w:rsidR="00B34B0F" w:rsidRPr="005028C1" w:rsidRDefault="00B34B0F" w:rsidP="009C68B2">
                  <w:pPr>
                    <w:jc w:val="both"/>
                    <w:rPr>
                      <w:color w:val="FF0000"/>
                      <w:sz w:val="22"/>
                      <w:szCs w:val="22"/>
                    </w:rPr>
                  </w:pPr>
                  <w:r w:rsidRPr="000E539D">
                    <w:rPr>
                      <w:sz w:val="22"/>
                      <w:szCs w:val="22"/>
                    </w:rPr>
                    <w:t>Figura 6.</w:t>
                  </w:r>
                  <w:r>
                    <w:rPr>
                      <w:sz w:val="22"/>
                      <w:szCs w:val="22"/>
                    </w:rPr>
                    <w:t>2.6</w:t>
                  </w:r>
                  <w:r w:rsidRPr="000E539D">
                    <w:rPr>
                      <w:sz w:val="22"/>
                      <w:szCs w:val="22"/>
                    </w:rPr>
                    <w:t xml:space="preserve">- Indústria lítica </w:t>
                  </w:r>
                  <w:r>
                    <w:rPr>
                      <w:sz w:val="22"/>
                      <w:szCs w:val="22"/>
                    </w:rPr>
                    <w:t xml:space="preserve">do Azinhal </w:t>
                  </w:r>
                  <w:r w:rsidRPr="005028C1">
                    <w:rPr>
                      <w:color w:val="FF0000"/>
                      <w:sz w:val="22"/>
                      <w:szCs w:val="22"/>
                    </w:rPr>
                    <w:t xml:space="preserve">- utensílios sobre lasca:1 e 3 - lascas; 2- lasca Levallois; 4,5 e 6- denticulados sobre acidentes de Siret; </w:t>
                  </w:r>
                  <w:r w:rsidRPr="005028C1">
                    <w:rPr>
                      <w:color w:val="FF0000"/>
                    </w:rPr>
                    <w:t xml:space="preserve">7, 10, 11 e 13- </w:t>
                  </w:r>
                  <w:proofErr w:type="gramStart"/>
                  <w:r w:rsidRPr="005028C1">
                    <w:rPr>
                      <w:color w:val="FF0000"/>
                    </w:rPr>
                    <w:t>entalhes</w:t>
                  </w:r>
                  <w:proofErr w:type="gramEnd"/>
                  <w:r w:rsidRPr="005028C1">
                    <w:rPr>
                      <w:color w:val="FF0000"/>
                    </w:rPr>
                    <w:t xml:space="preserve"> laterais </w:t>
                  </w:r>
                  <w:r w:rsidRPr="005028C1">
                    <w:rPr>
                      <w:color w:val="FF0000"/>
                      <w:sz w:val="22"/>
                      <w:szCs w:val="22"/>
                    </w:rPr>
                    <w:t xml:space="preserve">8- denticulado; 9- entalhe </w:t>
                  </w:r>
                  <w:proofErr w:type="gramStart"/>
                  <w:r w:rsidRPr="005028C1">
                    <w:rPr>
                      <w:color w:val="FF0000"/>
                      <w:sz w:val="22"/>
                      <w:szCs w:val="22"/>
                    </w:rPr>
                    <w:t xml:space="preserve">frontal.  </w:t>
                  </w:r>
                  <w:proofErr w:type="gramEnd"/>
                  <w:r w:rsidRPr="005028C1">
                    <w:rPr>
                      <w:color w:val="FF0000"/>
                      <w:sz w:val="22"/>
                      <w:szCs w:val="22"/>
                    </w:rPr>
                    <w:t xml:space="preserve">12- </w:t>
                  </w:r>
                  <w:proofErr w:type="gramStart"/>
                  <w:r w:rsidRPr="005028C1">
                    <w:rPr>
                      <w:color w:val="FF0000"/>
                      <w:sz w:val="22"/>
                      <w:szCs w:val="22"/>
                    </w:rPr>
                    <w:t>faca</w:t>
                  </w:r>
                  <w:proofErr w:type="gramEnd"/>
                  <w:r w:rsidRPr="005028C1">
                    <w:rPr>
                      <w:color w:val="FF0000"/>
                      <w:sz w:val="22"/>
                      <w:szCs w:val="22"/>
                    </w:rPr>
                    <w:t xml:space="preserve"> de Chatelperron</w:t>
                  </w:r>
                </w:p>
                <w:p w:rsidR="00B34B0F" w:rsidRDefault="00B34B0F" w:rsidP="009C68B2"/>
              </w:txbxContent>
            </v:textbox>
          </v:shape>
        </w:pict>
      </w:r>
    </w:p>
    <w:p w:rsidR="009C68B2" w:rsidRPr="00D16605" w:rsidRDefault="009C68B2" w:rsidP="009C68B2">
      <w:pPr>
        <w:spacing w:line="360" w:lineRule="auto"/>
        <w:ind w:firstLine="708"/>
        <w:jc w:val="both"/>
      </w:pPr>
    </w:p>
    <w:p w:rsidR="009C68B2" w:rsidRDefault="00EA3774" w:rsidP="009C68B2">
      <w:pPr>
        <w:spacing w:line="360" w:lineRule="auto"/>
        <w:jc w:val="both"/>
      </w:pPr>
      <w:r>
        <w:rPr>
          <w:noProof/>
        </w:rPr>
        <w:lastRenderedPageBreak/>
        <w:pict>
          <v:shape id="_x0000_s1485" type="#_x0000_t202" style="position:absolute;left:0;text-align:left;margin-left:-1.05pt;margin-top:620.65pt;width:431.25pt;height:51.15pt;z-index:251763712;mso-width-relative:margin;mso-height-relative:margin" stroked="f">
            <v:textbox style="mso-next-textbox:#_x0000_s1485">
              <w:txbxContent>
                <w:p w:rsidR="00B34B0F" w:rsidRPr="00EC1E8F" w:rsidRDefault="00B34B0F" w:rsidP="009C68B2">
                  <w:pPr>
                    <w:jc w:val="both"/>
                    <w:rPr>
                      <w:sz w:val="22"/>
                      <w:szCs w:val="22"/>
                    </w:rPr>
                  </w:pPr>
                  <w:r w:rsidRPr="00EC1E8F">
                    <w:rPr>
                      <w:sz w:val="22"/>
                      <w:szCs w:val="22"/>
                    </w:rPr>
                    <w:t>Figura 6.2.</w:t>
                  </w:r>
                  <w:r>
                    <w:rPr>
                      <w:sz w:val="22"/>
                      <w:szCs w:val="22"/>
                    </w:rPr>
                    <w:t>4</w:t>
                  </w:r>
                  <w:r w:rsidRPr="00EC1E8F">
                    <w:rPr>
                      <w:sz w:val="22"/>
                      <w:szCs w:val="22"/>
                    </w:rPr>
                    <w:t xml:space="preserve">- Indústria lítica do Azinhal- utensílios sobre lasca:1,3,5e 8 – raspadeiras frontais; 2 e 4- lascas Levallois; 6, 9 e 12- </w:t>
                  </w:r>
                  <w:proofErr w:type="gramStart"/>
                  <w:r w:rsidRPr="00EC1E8F">
                    <w:rPr>
                      <w:sz w:val="22"/>
                      <w:szCs w:val="22"/>
                    </w:rPr>
                    <w:t>lascas</w:t>
                  </w:r>
                  <w:proofErr w:type="gramEnd"/>
                  <w:r w:rsidRPr="00EC1E8F">
                    <w:rPr>
                      <w:sz w:val="22"/>
                      <w:szCs w:val="22"/>
                    </w:rPr>
                    <w:t xml:space="preserve">; </w:t>
                  </w:r>
                  <w:r w:rsidRPr="00EC1E8F">
                    <w:t xml:space="preserve">7- buril; 10- lasca com talão facetado; 9 e </w:t>
                  </w:r>
                  <w:r w:rsidRPr="00EC1E8F">
                    <w:rPr>
                      <w:sz w:val="22"/>
                      <w:szCs w:val="22"/>
                    </w:rPr>
                    <w:t xml:space="preserve">11- raspadeiras laterais. 9 </w:t>
                  </w:r>
                  <w:proofErr w:type="gramStart"/>
                  <w:r w:rsidRPr="00EC1E8F">
                    <w:rPr>
                      <w:sz w:val="22"/>
                      <w:szCs w:val="22"/>
                    </w:rPr>
                    <w:t>e</w:t>
                  </w:r>
                  <w:proofErr w:type="gramEnd"/>
                  <w:r w:rsidRPr="00EC1E8F">
                    <w:rPr>
                      <w:sz w:val="22"/>
                      <w:szCs w:val="22"/>
                    </w:rPr>
                    <w:t xml:space="preserve"> 12 em quartzo.</w:t>
                  </w:r>
                </w:p>
                <w:p w:rsidR="00B34B0F" w:rsidRPr="00594F31" w:rsidRDefault="00B34B0F" w:rsidP="009C68B2"/>
              </w:txbxContent>
            </v:textbox>
          </v:shape>
        </w:pict>
      </w:r>
      <w:r w:rsidR="009C68B2">
        <w:rPr>
          <w:noProof/>
        </w:rPr>
        <w:drawing>
          <wp:inline distT="0" distB="0" distL="0" distR="0">
            <wp:extent cx="5400040" cy="7630160"/>
            <wp:effectExtent l="19050" t="0" r="0" b="0"/>
            <wp:docPr id="405" name="Imagem 10" descr="fig 6.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4.tif"/>
                    <pic:cNvPicPr/>
                  </pic:nvPicPr>
                  <pic:blipFill>
                    <a:blip r:embed="rId143" cstate="print"/>
                    <a:stretch>
                      <a:fillRect/>
                    </a:stretch>
                  </pic:blipFill>
                  <pic:spPr>
                    <a:xfrm>
                      <a:off x="0" y="0"/>
                      <a:ext cx="5400040" cy="7630160"/>
                    </a:xfrm>
                    <a:prstGeom prst="rect">
                      <a:avLst/>
                    </a:prstGeom>
                  </pic:spPr>
                </pic:pic>
              </a:graphicData>
            </a:graphic>
          </wp:inline>
        </w:drawing>
      </w:r>
    </w:p>
    <w:p w:rsidR="009C68B2" w:rsidRDefault="009C68B2" w:rsidP="009C68B2">
      <w:pPr>
        <w:spacing w:line="360" w:lineRule="auto"/>
        <w:ind w:firstLine="708"/>
        <w:jc w:val="both"/>
      </w:pPr>
    </w:p>
    <w:p w:rsidR="009C68B2" w:rsidRDefault="009C68B2" w:rsidP="009C68B2">
      <w:pPr>
        <w:spacing w:line="360" w:lineRule="auto"/>
        <w:ind w:firstLine="708"/>
        <w:jc w:val="both"/>
      </w:pPr>
    </w:p>
    <w:p w:rsidR="009C68B2" w:rsidRDefault="009C68B2" w:rsidP="009C68B2">
      <w:pPr>
        <w:spacing w:line="360" w:lineRule="auto"/>
        <w:ind w:firstLine="708"/>
        <w:jc w:val="both"/>
      </w:pPr>
    </w:p>
    <w:p w:rsidR="009C68B2" w:rsidRDefault="00EA3774" w:rsidP="009C68B2">
      <w:pPr>
        <w:spacing w:line="360" w:lineRule="auto"/>
        <w:jc w:val="center"/>
        <w:rPr>
          <w:sz w:val="22"/>
          <w:szCs w:val="22"/>
        </w:rPr>
      </w:pPr>
      <w:r w:rsidRPr="00EA3774">
        <w:rPr>
          <w:noProof/>
          <w:color w:val="FF0000"/>
          <w:lang w:eastAsia="en-US"/>
        </w:rPr>
        <w:lastRenderedPageBreak/>
        <w:pict>
          <v:shape id="_x0000_s1468" type="#_x0000_t202" style="position:absolute;left:0;text-align:left;margin-left:.45pt;margin-top:613.45pt;width:422.25pt;height:52.4pt;z-index:251746304;mso-width-relative:margin;mso-height-relative:margin" stroked="f">
            <v:textbox style="mso-next-textbox:#_x0000_s1468">
              <w:txbxContent>
                <w:p w:rsidR="00B34B0F" w:rsidRPr="00DC073D" w:rsidRDefault="00B34B0F" w:rsidP="009C68B2">
                  <w:pPr>
                    <w:jc w:val="both"/>
                    <w:rPr>
                      <w:sz w:val="22"/>
                      <w:szCs w:val="22"/>
                    </w:rPr>
                  </w:pPr>
                  <w:r w:rsidRPr="00DC073D">
                    <w:rPr>
                      <w:sz w:val="22"/>
                      <w:szCs w:val="22"/>
                    </w:rPr>
                    <w:t>Figura 6.2.</w:t>
                  </w:r>
                  <w:r>
                    <w:rPr>
                      <w:sz w:val="22"/>
                      <w:szCs w:val="22"/>
                    </w:rPr>
                    <w:t>5</w:t>
                  </w:r>
                  <w:r w:rsidRPr="00DC073D">
                    <w:rPr>
                      <w:sz w:val="22"/>
                      <w:szCs w:val="22"/>
                    </w:rPr>
                    <w:t xml:space="preserve">- Indústria lítica do Azinhal - utensílios sobre lasca:1- raspadeira lateral sobre lâmina </w:t>
                  </w:r>
                  <w:proofErr w:type="gramStart"/>
                  <w:r w:rsidRPr="00DC073D">
                    <w:rPr>
                      <w:sz w:val="22"/>
                      <w:szCs w:val="22"/>
                    </w:rPr>
                    <w:t xml:space="preserve">Levallois </w:t>
                  </w:r>
                  <w:proofErr w:type="gramEnd"/>
                  <w:r w:rsidRPr="00DC073D">
                    <w:rPr>
                      <w:sz w:val="22"/>
                      <w:szCs w:val="22"/>
                    </w:rPr>
                    <w:t>; 2- lâmina Levallois</w:t>
                  </w:r>
                  <w:proofErr w:type="gramStart"/>
                  <w:r w:rsidRPr="00DC073D">
                    <w:rPr>
                      <w:sz w:val="22"/>
                      <w:szCs w:val="22"/>
                    </w:rPr>
                    <w:t>;  3-</w:t>
                  </w:r>
                  <w:proofErr w:type="gramEnd"/>
                  <w:r w:rsidRPr="00DC073D">
                    <w:rPr>
                      <w:sz w:val="22"/>
                      <w:szCs w:val="22"/>
                    </w:rPr>
                    <w:t xml:space="preserve"> lasca com adelgaçamento do talão ; 4 e 5- lasca Levallois</w:t>
                  </w:r>
                  <w:proofErr w:type="gramStart"/>
                  <w:r w:rsidRPr="00DC073D">
                    <w:rPr>
                      <w:sz w:val="22"/>
                      <w:szCs w:val="22"/>
                    </w:rPr>
                    <w:t>;  6-</w:t>
                  </w:r>
                  <w:proofErr w:type="gramEnd"/>
                  <w:r w:rsidRPr="00DC073D">
                    <w:rPr>
                      <w:sz w:val="22"/>
                      <w:szCs w:val="22"/>
                    </w:rPr>
                    <w:t xml:space="preserve"> faca de dorso; 7- raspadeira frontal, 8- furador. Quartzito</w:t>
                  </w:r>
                </w:p>
                <w:p w:rsidR="00B34B0F" w:rsidRPr="00DE7F12" w:rsidRDefault="00B34B0F" w:rsidP="009C68B2"/>
              </w:txbxContent>
            </v:textbox>
          </v:shape>
        </w:pict>
      </w:r>
      <w:r w:rsidR="009C68B2">
        <w:rPr>
          <w:noProof/>
          <w:sz w:val="22"/>
          <w:szCs w:val="22"/>
        </w:rPr>
        <w:drawing>
          <wp:inline distT="0" distB="0" distL="0" distR="0">
            <wp:extent cx="5400040" cy="7683500"/>
            <wp:effectExtent l="19050" t="0" r="0" b="0"/>
            <wp:docPr id="406" name="Imagem 9" descr="fig 6.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5.tif"/>
                    <pic:cNvPicPr/>
                  </pic:nvPicPr>
                  <pic:blipFill>
                    <a:blip r:embed="rId144" cstate="print"/>
                    <a:stretch>
                      <a:fillRect/>
                    </a:stretch>
                  </pic:blipFill>
                  <pic:spPr>
                    <a:xfrm>
                      <a:off x="0" y="0"/>
                      <a:ext cx="5400040" cy="7683500"/>
                    </a:xfrm>
                    <a:prstGeom prst="rect">
                      <a:avLst/>
                    </a:prstGeom>
                  </pic:spPr>
                </pic:pic>
              </a:graphicData>
            </a:graphic>
          </wp:inline>
        </w:drawing>
      </w:r>
    </w:p>
    <w:p w:rsidR="009C68B2" w:rsidRDefault="009C68B2" w:rsidP="009C68B2">
      <w:pPr>
        <w:spacing w:line="360" w:lineRule="auto"/>
        <w:jc w:val="both"/>
        <w:rPr>
          <w:sz w:val="22"/>
          <w:szCs w:val="22"/>
        </w:rPr>
      </w:pPr>
      <w:r>
        <w:rPr>
          <w:noProof/>
          <w:sz w:val="22"/>
          <w:szCs w:val="22"/>
        </w:rPr>
        <w:lastRenderedPageBreak/>
        <w:drawing>
          <wp:inline distT="0" distB="0" distL="0" distR="0">
            <wp:extent cx="5400040" cy="7646035"/>
            <wp:effectExtent l="19050" t="0" r="0" b="0"/>
            <wp:docPr id="407" name="Imagem 8" descr="fig 6.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6.tif"/>
                    <pic:cNvPicPr/>
                  </pic:nvPicPr>
                  <pic:blipFill>
                    <a:blip r:embed="rId145" cstate="print"/>
                    <a:stretch>
                      <a:fillRect/>
                    </a:stretch>
                  </pic:blipFill>
                  <pic:spPr>
                    <a:xfrm>
                      <a:off x="0" y="0"/>
                      <a:ext cx="5400040" cy="7646035"/>
                    </a:xfrm>
                    <a:prstGeom prst="rect">
                      <a:avLst/>
                    </a:prstGeom>
                  </pic:spPr>
                </pic:pic>
              </a:graphicData>
            </a:graphic>
          </wp:inline>
        </w:drawing>
      </w:r>
    </w:p>
    <w:p w:rsidR="009C68B2" w:rsidRDefault="00EA3774" w:rsidP="009C68B2">
      <w:pPr>
        <w:spacing w:line="360" w:lineRule="auto"/>
        <w:ind w:firstLine="708"/>
        <w:jc w:val="both"/>
        <w:rPr>
          <w:sz w:val="22"/>
          <w:szCs w:val="22"/>
        </w:rPr>
      </w:pPr>
      <w:r w:rsidRPr="00EA3774">
        <w:rPr>
          <w:noProof/>
          <w:lang w:eastAsia="en-US"/>
        </w:rPr>
        <w:pict>
          <v:shape id="_x0000_s1469" type="#_x0000_t202" style="position:absolute;left:0;text-align:left;margin-left:11.7pt;margin-top:6.65pt;width:407.5pt;height:50.9pt;z-index:251747328;mso-width-relative:margin;mso-height-relative:margin" stroked="f">
            <v:textbox style="mso-next-textbox:#_x0000_s1469">
              <w:txbxContent>
                <w:p w:rsidR="00B34B0F" w:rsidRPr="001604E3" w:rsidRDefault="00B34B0F" w:rsidP="009C68B2">
                  <w:pPr>
                    <w:jc w:val="both"/>
                    <w:rPr>
                      <w:sz w:val="22"/>
                      <w:szCs w:val="22"/>
                    </w:rPr>
                  </w:pPr>
                  <w:r w:rsidRPr="001604E3">
                    <w:rPr>
                      <w:sz w:val="22"/>
                      <w:szCs w:val="22"/>
                    </w:rPr>
                    <w:t>Figura 6.2.</w:t>
                  </w:r>
                  <w:r>
                    <w:rPr>
                      <w:sz w:val="22"/>
                      <w:szCs w:val="22"/>
                    </w:rPr>
                    <w:t>6</w:t>
                  </w:r>
                  <w:r w:rsidRPr="001604E3">
                    <w:rPr>
                      <w:sz w:val="22"/>
                      <w:szCs w:val="22"/>
                    </w:rPr>
                    <w:t xml:space="preserve">- Indústria lítica do Azinhal - utensílios sobre lasca:1 e 2 – fragmentos de lascas com o talão retocado em pedúnculo; 2- lasca Levallois; 3,5 e 6- raspadeiras laterais; </w:t>
                  </w:r>
                  <w:r w:rsidRPr="001604E3">
                    <w:t>4- lasca em quartzo hialino.</w:t>
                  </w:r>
                </w:p>
                <w:p w:rsidR="00B34B0F" w:rsidRPr="00DE7F12" w:rsidRDefault="00B34B0F" w:rsidP="009C68B2"/>
              </w:txbxContent>
            </v:textbox>
          </v:shape>
        </w:pict>
      </w:r>
    </w:p>
    <w:p w:rsidR="009C68B2" w:rsidRPr="004A2D9A" w:rsidRDefault="009C68B2" w:rsidP="009C68B2">
      <w:pPr>
        <w:spacing w:line="360" w:lineRule="auto"/>
        <w:ind w:firstLine="708"/>
        <w:jc w:val="both"/>
      </w:pPr>
    </w:p>
    <w:p w:rsidR="009C68B2" w:rsidRDefault="009C68B2" w:rsidP="009C68B2">
      <w:pPr>
        <w:spacing w:line="360" w:lineRule="auto"/>
        <w:jc w:val="both"/>
        <w:rPr>
          <w:color w:val="FF0000"/>
        </w:rPr>
      </w:pPr>
      <w:r>
        <w:rPr>
          <w:noProof/>
          <w:color w:val="FF0000"/>
        </w:rPr>
        <w:lastRenderedPageBreak/>
        <w:drawing>
          <wp:inline distT="0" distB="0" distL="0" distR="0">
            <wp:extent cx="5400040" cy="7592060"/>
            <wp:effectExtent l="19050" t="0" r="0" b="0"/>
            <wp:docPr id="408" name="Imagem 7" descr="fig. 6.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7.tif"/>
                    <pic:cNvPicPr/>
                  </pic:nvPicPr>
                  <pic:blipFill>
                    <a:blip r:embed="rId146" cstate="print"/>
                    <a:stretch>
                      <a:fillRect/>
                    </a:stretch>
                  </pic:blipFill>
                  <pic:spPr>
                    <a:xfrm>
                      <a:off x="0" y="0"/>
                      <a:ext cx="5400040" cy="7592060"/>
                    </a:xfrm>
                    <a:prstGeom prst="rect">
                      <a:avLst/>
                    </a:prstGeom>
                  </pic:spPr>
                </pic:pic>
              </a:graphicData>
            </a:graphic>
          </wp:inline>
        </w:drawing>
      </w:r>
    </w:p>
    <w:p w:rsidR="009C68B2" w:rsidRDefault="00EA3774" w:rsidP="009C68B2">
      <w:pPr>
        <w:spacing w:line="360" w:lineRule="auto"/>
        <w:ind w:firstLine="708"/>
        <w:jc w:val="both"/>
        <w:rPr>
          <w:color w:val="FF0000"/>
        </w:rPr>
      </w:pPr>
      <w:r w:rsidRPr="00EA3774">
        <w:rPr>
          <w:noProof/>
          <w:lang w:eastAsia="en-US"/>
        </w:rPr>
        <w:pict>
          <v:shape id="_x0000_s1479" type="#_x0000_t202" style="position:absolute;left:0;text-align:left;margin-left:7.95pt;margin-top:3pt;width:413.25pt;height:38.25pt;z-index:251757568;mso-width-relative:margin;mso-height-relative:margin" stroked="f">
            <v:textbox style="mso-next-textbox:#_x0000_s1479">
              <w:txbxContent>
                <w:p w:rsidR="00B34B0F" w:rsidRPr="001604E3" w:rsidRDefault="00B34B0F" w:rsidP="009C68B2">
                  <w:pPr>
                    <w:jc w:val="both"/>
                    <w:rPr>
                      <w:sz w:val="22"/>
                      <w:szCs w:val="22"/>
                    </w:rPr>
                  </w:pPr>
                  <w:r w:rsidRPr="001604E3">
                    <w:rPr>
                      <w:sz w:val="22"/>
                      <w:szCs w:val="22"/>
                    </w:rPr>
                    <w:t>Figura 6.2.</w:t>
                  </w:r>
                  <w:r>
                    <w:rPr>
                      <w:sz w:val="22"/>
                      <w:szCs w:val="22"/>
                    </w:rPr>
                    <w:t>7</w:t>
                  </w:r>
                  <w:r w:rsidRPr="001604E3">
                    <w:rPr>
                      <w:sz w:val="22"/>
                      <w:szCs w:val="22"/>
                    </w:rPr>
                    <w:t>- Indústria lítica do Azinhal:</w:t>
                  </w:r>
                  <w:r>
                    <w:rPr>
                      <w:sz w:val="22"/>
                      <w:szCs w:val="22"/>
                    </w:rPr>
                    <w:t xml:space="preserve"> </w:t>
                  </w:r>
                  <w:r w:rsidRPr="001604E3">
                    <w:rPr>
                      <w:sz w:val="22"/>
                      <w:szCs w:val="22"/>
                    </w:rPr>
                    <w:t>1 e 2 – bifaces Micoquenses; 3- denticulado sobre lasca. Quartzito</w:t>
                  </w:r>
                </w:p>
                <w:p w:rsidR="00B34B0F" w:rsidRDefault="00B34B0F" w:rsidP="009C68B2"/>
              </w:txbxContent>
            </v:textbox>
          </v:shape>
        </w:pict>
      </w:r>
    </w:p>
    <w:p w:rsidR="009C68B2" w:rsidRDefault="009C68B2" w:rsidP="009C68B2">
      <w:pPr>
        <w:spacing w:line="360" w:lineRule="auto"/>
        <w:jc w:val="both"/>
        <w:rPr>
          <w:sz w:val="22"/>
          <w:szCs w:val="22"/>
        </w:rPr>
      </w:pPr>
      <w:r>
        <w:rPr>
          <w:noProof/>
          <w:sz w:val="22"/>
          <w:szCs w:val="22"/>
        </w:rPr>
        <w:lastRenderedPageBreak/>
        <w:drawing>
          <wp:inline distT="0" distB="0" distL="0" distR="0">
            <wp:extent cx="5400040" cy="7660005"/>
            <wp:effectExtent l="19050" t="0" r="0" b="0"/>
            <wp:docPr id="409" name="Imagem 6" descr="fig 6.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8.tif"/>
                    <pic:cNvPicPr/>
                  </pic:nvPicPr>
                  <pic:blipFill>
                    <a:blip r:embed="rId147" cstate="print"/>
                    <a:stretch>
                      <a:fillRect/>
                    </a:stretch>
                  </pic:blipFill>
                  <pic:spPr>
                    <a:xfrm>
                      <a:off x="0" y="0"/>
                      <a:ext cx="5400040" cy="7660005"/>
                    </a:xfrm>
                    <a:prstGeom prst="rect">
                      <a:avLst/>
                    </a:prstGeom>
                  </pic:spPr>
                </pic:pic>
              </a:graphicData>
            </a:graphic>
          </wp:inline>
        </w:drawing>
      </w:r>
    </w:p>
    <w:p w:rsidR="009C68B2" w:rsidRDefault="00EA3774" w:rsidP="009C68B2">
      <w:pPr>
        <w:spacing w:line="360" w:lineRule="auto"/>
        <w:ind w:firstLine="708"/>
        <w:jc w:val="both"/>
      </w:pPr>
      <w:r>
        <w:rPr>
          <w:noProof/>
          <w:lang w:eastAsia="en-US"/>
        </w:rPr>
        <w:pict>
          <v:shape id="_x0000_s1480" type="#_x0000_t202" style="position:absolute;left:0;text-align:left;margin-left:4.95pt;margin-top:1.5pt;width:422.25pt;height:47pt;z-index:251758592;mso-width-relative:margin;mso-height-relative:margin" stroked="f">
            <v:textbox style="mso-next-textbox:#_x0000_s1480">
              <w:txbxContent>
                <w:p w:rsidR="00B34B0F" w:rsidRPr="001604E3" w:rsidRDefault="00B34B0F" w:rsidP="009C68B2">
                  <w:pPr>
                    <w:jc w:val="both"/>
                    <w:rPr>
                      <w:sz w:val="22"/>
                      <w:szCs w:val="22"/>
                    </w:rPr>
                  </w:pPr>
                  <w:r w:rsidRPr="001604E3">
                    <w:rPr>
                      <w:sz w:val="22"/>
                      <w:szCs w:val="22"/>
                    </w:rPr>
                    <w:t>Figura 6.2.</w:t>
                  </w:r>
                  <w:r>
                    <w:rPr>
                      <w:sz w:val="22"/>
                      <w:szCs w:val="22"/>
                    </w:rPr>
                    <w:t>8</w:t>
                  </w:r>
                  <w:r w:rsidRPr="001604E3">
                    <w:rPr>
                      <w:sz w:val="22"/>
                      <w:szCs w:val="22"/>
                    </w:rPr>
                    <w:t>- Indústria lítica do Azinhal - núcleos: 1- núcleo pseudo-lamelar em quartzo hialino; 2</w:t>
                  </w:r>
                  <w:r>
                    <w:rPr>
                      <w:sz w:val="22"/>
                      <w:szCs w:val="22"/>
                    </w:rPr>
                    <w:t xml:space="preserve"> e 3</w:t>
                  </w:r>
                  <w:r w:rsidRPr="001604E3">
                    <w:rPr>
                      <w:sz w:val="22"/>
                      <w:szCs w:val="22"/>
                    </w:rPr>
                    <w:t>- núcleo</w:t>
                  </w:r>
                  <w:r>
                    <w:rPr>
                      <w:sz w:val="22"/>
                      <w:szCs w:val="22"/>
                    </w:rPr>
                    <w:t>s</w:t>
                  </w:r>
                  <w:r w:rsidRPr="001604E3">
                    <w:rPr>
                      <w:sz w:val="22"/>
                      <w:szCs w:val="22"/>
                    </w:rPr>
                    <w:t xml:space="preserve"> discoíde</w:t>
                  </w:r>
                  <w:r>
                    <w:rPr>
                      <w:sz w:val="22"/>
                      <w:szCs w:val="22"/>
                    </w:rPr>
                    <w:t>s</w:t>
                  </w:r>
                  <w:r w:rsidRPr="001604E3">
                    <w:rPr>
                      <w:sz w:val="22"/>
                      <w:szCs w:val="22"/>
                    </w:rPr>
                    <w:t xml:space="preserve"> em quartzo hialino</w:t>
                  </w:r>
                  <w:r>
                    <w:rPr>
                      <w:sz w:val="22"/>
                      <w:szCs w:val="22"/>
                    </w:rPr>
                    <w:t xml:space="preserve"> e leitoso respectivamente</w:t>
                  </w:r>
                  <w:r w:rsidRPr="001604E3">
                    <w:rPr>
                      <w:sz w:val="22"/>
                      <w:szCs w:val="22"/>
                    </w:rPr>
                    <w:t xml:space="preserve">; </w:t>
                  </w:r>
                  <w:r w:rsidRPr="001604E3">
                    <w:t>4- núcleo oportunístico sobre bordo de seixo.</w:t>
                  </w:r>
                </w:p>
                <w:p w:rsidR="00B34B0F" w:rsidRDefault="00B34B0F" w:rsidP="009C68B2"/>
              </w:txbxContent>
            </v:textbox>
          </v:shape>
        </w:pict>
      </w:r>
    </w:p>
    <w:p w:rsidR="009C68B2" w:rsidRDefault="009C68B2" w:rsidP="009C68B2">
      <w:pPr>
        <w:spacing w:line="360" w:lineRule="auto"/>
        <w:ind w:firstLine="708"/>
        <w:jc w:val="both"/>
      </w:pPr>
    </w:p>
    <w:p w:rsidR="009C68B2" w:rsidRDefault="009C68B2" w:rsidP="009C68B2">
      <w:pPr>
        <w:spacing w:line="360" w:lineRule="auto"/>
        <w:ind w:firstLine="708"/>
        <w:jc w:val="both"/>
      </w:pPr>
    </w:p>
    <w:p w:rsidR="009C68B2" w:rsidRDefault="009C68B2" w:rsidP="009C68B2">
      <w:pPr>
        <w:spacing w:line="360" w:lineRule="auto"/>
        <w:ind w:firstLine="708"/>
        <w:jc w:val="both"/>
      </w:pPr>
    </w:p>
    <w:p w:rsidR="009C68B2" w:rsidRDefault="009C68B2" w:rsidP="009C68B2">
      <w:pPr>
        <w:rPr>
          <w:color w:val="FF0000"/>
        </w:rPr>
      </w:pPr>
      <w:r>
        <w:rPr>
          <w:noProof/>
          <w:color w:val="FF0000"/>
        </w:rPr>
        <w:lastRenderedPageBreak/>
        <w:drawing>
          <wp:inline distT="0" distB="0" distL="0" distR="0">
            <wp:extent cx="5400040" cy="7614285"/>
            <wp:effectExtent l="19050" t="0" r="0" b="0"/>
            <wp:docPr id="410" name="Imagem 0" descr="fig 6.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2.9.tif"/>
                    <pic:cNvPicPr/>
                  </pic:nvPicPr>
                  <pic:blipFill>
                    <a:blip r:embed="rId148" cstate="print"/>
                    <a:stretch>
                      <a:fillRect/>
                    </a:stretch>
                  </pic:blipFill>
                  <pic:spPr>
                    <a:xfrm>
                      <a:off x="0" y="0"/>
                      <a:ext cx="5400040" cy="7614285"/>
                    </a:xfrm>
                    <a:prstGeom prst="rect">
                      <a:avLst/>
                    </a:prstGeom>
                  </pic:spPr>
                </pic:pic>
              </a:graphicData>
            </a:graphic>
          </wp:inline>
        </w:drawing>
      </w:r>
    </w:p>
    <w:p w:rsidR="009C68B2" w:rsidRDefault="009C68B2" w:rsidP="009C68B2">
      <w:pPr>
        <w:rPr>
          <w:color w:val="FF0000"/>
        </w:rPr>
      </w:pPr>
    </w:p>
    <w:p w:rsidR="009C68B2" w:rsidRDefault="00EA3774" w:rsidP="009C68B2">
      <w:pPr>
        <w:rPr>
          <w:color w:val="FF0000"/>
        </w:rPr>
      </w:pPr>
      <w:r>
        <w:rPr>
          <w:noProof/>
          <w:color w:val="FF0000"/>
          <w:lang w:eastAsia="en-US"/>
        </w:rPr>
        <w:pict>
          <v:shape id="_x0000_s1486" type="#_x0000_t202" style="position:absolute;margin-left:21.7pt;margin-top:12.75pt;width:381.15pt;height:33.65pt;z-index:251764736;mso-height-percent:200;mso-height-percent:200;mso-width-relative:margin;mso-height-relative:margin" stroked="f">
            <v:textbox style="mso-next-textbox:#_x0000_s1486;mso-fit-shape-to-text:t">
              <w:txbxContent>
                <w:p w:rsidR="00B34B0F" w:rsidRPr="005106F3" w:rsidRDefault="00B34B0F" w:rsidP="009C68B2">
                  <w:pPr>
                    <w:jc w:val="both"/>
                  </w:pPr>
                  <w:r w:rsidRPr="005106F3">
                    <w:rPr>
                      <w:sz w:val="22"/>
                      <w:szCs w:val="22"/>
                    </w:rPr>
                    <w:t>Figura 6.2</w:t>
                  </w:r>
                  <w:r>
                    <w:rPr>
                      <w:sz w:val="22"/>
                      <w:szCs w:val="22"/>
                    </w:rPr>
                    <w:t>.9</w:t>
                  </w:r>
                  <w:r w:rsidRPr="005106F3">
                    <w:rPr>
                      <w:sz w:val="22"/>
                      <w:szCs w:val="22"/>
                    </w:rPr>
                    <w:t>- Indústria lítica do Azinhal - núcleos: 1 e 2 – núcleos centrípetos.</w:t>
                  </w:r>
                </w:p>
                <w:p w:rsidR="00B34B0F" w:rsidRDefault="00B34B0F" w:rsidP="009C68B2"/>
              </w:txbxContent>
            </v:textbox>
          </v:shape>
        </w:pict>
      </w: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D03F30" w:rsidRDefault="00D03F30" w:rsidP="009C68B2">
      <w:pPr>
        <w:rPr>
          <w:color w:val="FF0000"/>
        </w:rPr>
      </w:pPr>
    </w:p>
    <w:p w:rsidR="009C68B2" w:rsidRDefault="009C68B2" w:rsidP="009C68B2">
      <w:pPr>
        <w:rPr>
          <w:color w:val="FF0000"/>
        </w:rPr>
      </w:pPr>
    </w:p>
    <w:p w:rsidR="009C68B2" w:rsidRPr="005106F3" w:rsidRDefault="009C68B2" w:rsidP="009C68B2">
      <w:r w:rsidRPr="005106F3">
        <w:lastRenderedPageBreak/>
        <w:t>6.2.</w:t>
      </w:r>
      <w:r>
        <w:t>3.</w:t>
      </w:r>
      <w:r w:rsidRPr="005106F3">
        <w:t>4.2- Análise diacrítica dos núcleos</w:t>
      </w:r>
    </w:p>
    <w:p w:rsidR="009C68B2" w:rsidRDefault="009C68B2" w:rsidP="009C68B2">
      <w:pPr>
        <w:rPr>
          <w:color w:val="FF0000"/>
        </w:rPr>
      </w:pPr>
    </w:p>
    <w:p w:rsidR="009C68B2" w:rsidRDefault="009C68B2" w:rsidP="009C68B2">
      <w:pPr>
        <w:rPr>
          <w:color w:val="FF0000"/>
        </w:rPr>
      </w:pPr>
    </w:p>
    <w:p w:rsidR="009C68B2" w:rsidRDefault="009C68B2" w:rsidP="009C68B2">
      <w:pPr>
        <w:autoSpaceDE w:val="0"/>
        <w:autoSpaceDN w:val="0"/>
        <w:adjustRightInd w:val="0"/>
        <w:spacing w:line="360" w:lineRule="auto"/>
        <w:ind w:firstLine="708"/>
        <w:jc w:val="both"/>
      </w:pPr>
      <w:r>
        <w:t xml:space="preserve">Um dos núcleos presente na colecção do Azinhal foi classificado como oportunístico sobre bordo de seixo </w:t>
      </w:r>
      <w:r>
        <w:rPr>
          <w:sz w:val="22"/>
          <w:szCs w:val="22"/>
        </w:rPr>
        <w:t>(</w:t>
      </w:r>
      <w:r w:rsidRPr="00DF6497">
        <w:rPr>
          <w:sz w:val="22"/>
          <w:szCs w:val="22"/>
        </w:rPr>
        <w:t>Figura 6.</w:t>
      </w:r>
      <w:r>
        <w:rPr>
          <w:sz w:val="22"/>
          <w:szCs w:val="22"/>
        </w:rPr>
        <w:t>2</w:t>
      </w:r>
      <w:r w:rsidRPr="00DF6497">
        <w:rPr>
          <w:sz w:val="22"/>
          <w:szCs w:val="22"/>
        </w:rPr>
        <w:t>.</w:t>
      </w:r>
      <w:r>
        <w:rPr>
          <w:sz w:val="22"/>
          <w:szCs w:val="22"/>
        </w:rPr>
        <w:t>10)</w:t>
      </w:r>
      <w:r>
        <w:t xml:space="preserve">. A matéria-prima a que se recorreu corresponde a um bloco de quartzito autóctone. A cadeia operatória começa com a remoção de uma lasca de grandes dimensões numa das faces da placa. Nesta mesma face são depois retiradas lascas paralelas entre si e perpendiculares ao eixo do primeiro levantamento. O núcleo sofre posteriormente uma rotação de 90%, iniciando-se uma nova sequência de remoção de lascas utilizando como talão os negativos dos levantamentos realizados na outra face do núcleo. Estes levantamentos são centrípetos mas com origem (talão) sempre localizada nos negativos dos levantamentos anteriores realizados na outra face. Neste caso a debitagem resumiu-se a duas faces, ficando sempre partes corticais ou fracturas naturais, no núcleo. Algumas vezes o processo de talhe inicia-se numa destas fracturas naturais. As lascas resultantes desta debitagem apresentam um formato mais curto e mais largo, embora exista alguma variabilidade nos suportes resultantes. </w:t>
      </w:r>
    </w:p>
    <w:p w:rsidR="009C68B2" w:rsidRDefault="009C68B2" w:rsidP="009C68B2">
      <w:pPr>
        <w:rPr>
          <w:color w:val="FF0000"/>
        </w:rPr>
      </w:pPr>
    </w:p>
    <w:p w:rsidR="009C68B2" w:rsidRPr="00866901" w:rsidRDefault="00EA3774" w:rsidP="009C68B2">
      <w:pPr>
        <w:rPr>
          <w:color w:val="FF0000"/>
        </w:rPr>
      </w:pPr>
      <w:r>
        <w:rPr>
          <w:noProof/>
          <w:color w:val="FF0000"/>
          <w:lang w:eastAsia="en-US"/>
        </w:rPr>
        <w:pict>
          <v:shape id="_x0000_s1481" type="#_x0000_t202" style="position:absolute;margin-left:240.8pt;margin-top:18.25pt;width:169.75pt;height:36pt;z-index:251759616;mso-width-percent:400;mso-width-percent:400;mso-width-relative:margin;mso-height-relative:margin" stroked="f">
            <v:textbox style="mso-next-textbox:#_x0000_s1481">
              <w:txbxContent>
                <w:p w:rsidR="00B34B0F" w:rsidRPr="00DF6497" w:rsidRDefault="00B34B0F" w:rsidP="009C68B2">
                  <w:pPr>
                    <w:jc w:val="both"/>
                    <w:rPr>
                      <w:sz w:val="22"/>
                      <w:szCs w:val="22"/>
                    </w:rPr>
                  </w:pPr>
                  <w:r w:rsidRPr="00DF6497">
                    <w:rPr>
                      <w:sz w:val="22"/>
                      <w:szCs w:val="22"/>
                    </w:rPr>
                    <w:t>Figura 6.</w:t>
                  </w:r>
                  <w:r>
                    <w:rPr>
                      <w:sz w:val="22"/>
                      <w:szCs w:val="22"/>
                    </w:rPr>
                    <w:t>2.10</w:t>
                  </w:r>
                  <w:r w:rsidRPr="00DF6497">
                    <w:rPr>
                      <w:sz w:val="22"/>
                      <w:szCs w:val="22"/>
                    </w:rPr>
                    <w:t xml:space="preserve">- </w:t>
                  </w:r>
                  <w:r>
                    <w:rPr>
                      <w:sz w:val="22"/>
                      <w:szCs w:val="22"/>
                    </w:rPr>
                    <w:t>Esquema diacrítico</w:t>
                  </w:r>
                  <w:r w:rsidRPr="00DF6497">
                    <w:rPr>
                      <w:sz w:val="22"/>
                      <w:szCs w:val="22"/>
                    </w:rPr>
                    <w:t xml:space="preserve"> </w:t>
                  </w:r>
                  <w:r>
                    <w:rPr>
                      <w:sz w:val="22"/>
                      <w:szCs w:val="22"/>
                    </w:rPr>
                    <w:t>do núcleo G26 79.</w:t>
                  </w:r>
                </w:p>
                <w:p w:rsidR="00B34B0F" w:rsidRDefault="00B34B0F" w:rsidP="009C68B2"/>
              </w:txbxContent>
            </v:textbox>
          </v:shape>
        </w:pict>
      </w:r>
      <w:r w:rsidR="009C68B2">
        <w:rPr>
          <w:noProof/>
          <w:color w:val="FF0000"/>
        </w:rPr>
        <w:drawing>
          <wp:inline distT="0" distB="0" distL="0" distR="0">
            <wp:extent cx="3476625" cy="4362450"/>
            <wp:effectExtent l="19050" t="0" r="9525" b="0"/>
            <wp:docPr id="411" name="Imagem 32" descr="G26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26 79"/>
                    <pic:cNvPicPr>
                      <a:picLocks noChangeAspect="1" noChangeArrowheads="1"/>
                    </pic:cNvPicPr>
                  </pic:nvPicPr>
                  <pic:blipFill>
                    <a:blip r:embed="rId149" cstate="print"/>
                    <a:srcRect/>
                    <a:stretch>
                      <a:fillRect/>
                    </a:stretch>
                  </pic:blipFill>
                  <pic:spPr bwMode="auto">
                    <a:xfrm>
                      <a:off x="0" y="0"/>
                      <a:ext cx="3476625" cy="4362450"/>
                    </a:xfrm>
                    <a:prstGeom prst="rect">
                      <a:avLst/>
                    </a:prstGeom>
                    <a:noFill/>
                    <a:ln w="9525">
                      <a:noFill/>
                      <a:miter lim="800000"/>
                      <a:headEnd/>
                      <a:tailEnd/>
                    </a:ln>
                  </pic:spPr>
                </pic:pic>
              </a:graphicData>
            </a:graphic>
          </wp:inline>
        </w:drawing>
      </w:r>
    </w:p>
    <w:p w:rsidR="009C68B2" w:rsidRDefault="009C68B2" w:rsidP="009C68B2">
      <w:pPr>
        <w:autoSpaceDE w:val="0"/>
        <w:autoSpaceDN w:val="0"/>
        <w:adjustRightInd w:val="0"/>
        <w:spacing w:line="360" w:lineRule="auto"/>
        <w:ind w:firstLine="708"/>
        <w:jc w:val="both"/>
      </w:pPr>
      <w:r>
        <w:lastRenderedPageBreak/>
        <w:t>O núcleo apresentado na</w:t>
      </w:r>
      <w:r w:rsidRPr="008816EF">
        <w:t xml:space="preserve"> </w:t>
      </w:r>
      <w:r>
        <w:t xml:space="preserve">figura 6.2.8 teve por base um seixo de quartzo leitoso, de origem fluvial, de pequena dimensão. A debitagem apresentada é discoide, tendo sido realizado um conjunto de seis levantamentos centrípetos em apenas numa das faces do seixo. O início da cadeia operatória poderá ter sido iniciada com um levantamento lateral que ainda se observa na face lateral do núcleo. Realizaram-se três levantamentos centrípetos sendo o terceiro levantamento realizado em posição central em relação aos dois anteriores. Na zona central do núcleo é visível parte de um levantamento anterior. As lascas resultantes deste tipo de debitagem apresentam-se mais compridas que largas mas sempre de pequeno formato, devido às dimensões da matéria-prima. </w:t>
      </w:r>
    </w:p>
    <w:p w:rsidR="009C68B2" w:rsidRDefault="009C68B2" w:rsidP="009C68B2">
      <w:pPr>
        <w:rPr>
          <w:color w:val="FF0000"/>
        </w:rPr>
      </w:pPr>
    </w:p>
    <w:p w:rsidR="009C68B2" w:rsidRDefault="00EA3774" w:rsidP="009C68B2">
      <w:pPr>
        <w:rPr>
          <w:color w:val="FF0000"/>
        </w:rPr>
      </w:pPr>
      <w:r>
        <w:rPr>
          <w:noProof/>
          <w:color w:val="FF0000"/>
          <w:lang w:eastAsia="en-US"/>
        </w:rPr>
        <w:pict>
          <v:shape id="_x0000_s1482" type="#_x0000_t202" style="position:absolute;margin-left:230.65pt;margin-top:20.95pt;width:170.1pt;height:46.3pt;z-index:251760640;mso-width-percent:400;mso-height-percent:200;mso-width-percent:400;mso-height-percent:200;mso-width-relative:margin;mso-height-relative:margin" stroked="f">
            <v:textbox style="mso-next-textbox:#_x0000_s1482;mso-fit-shape-to-text:t">
              <w:txbxContent>
                <w:p w:rsidR="00B34B0F" w:rsidRPr="00DF6497" w:rsidRDefault="00B34B0F" w:rsidP="009C68B2">
                  <w:pPr>
                    <w:jc w:val="both"/>
                    <w:rPr>
                      <w:sz w:val="22"/>
                      <w:szCs w:val="22"/>
                    </w:rPr>
                  </w:pPr>
                  <w:r w:rsidRPr="00DF6497">
                    <w:rPr>
                      <w:sz w:val="22"/>
                      <w:szCs w:val="22"/>
                    </w:rPr>
                    <w:t>Figura 6.</w:t>
                  </w:r>
                  <w:r>
                    <w:rPr>
                      <w:sz w:val="22"/>
                      <w:szCs w:val="22"/>
                    </w:rPr>
                    <w:t>2.11- Esquema diacrítico</w:t>
                  </w:r>
                  <w:r w:rsidRPr="00DF6497">
                    <w:rPr>
                      <w:sz w:val="22"/>
                      <w:szCs w:val="22"/>
                    </w:rPr>
                    <w:t xml:space="preserve"> </w:t>
                  </w:r>
                  <w:r>
                    <w:rPr>
                      <w:sz w:val="22"/>
                      <w:szCs w:val="22"/>
                    </w:rPr>
                    <w:t>do núcleo K27 17</w:t>
                  </w:r>
                  <w:r w:rsidRPr="00DF6497">
                    <w:rPr>
                      <w:sz w:val="22"/>
                      <w:szCs w:val="22"/>
                    </w:rPr>
                    <w:t>.</w:t>
                  </w:r>
                </w:p>
                <w:p w:rsidR="00B34B0F" w:rsidRDefault="00B34B0F" w:rsidP="009C68B2"/>
              </w:txbxContent>
            </v:textbox>
          </v:shape>
        </w:pict>
      </w:r>
      <w:r w:rsidR="009C68B2">
        <w:rPr>
          <w:noProof/>
          <w:color w:val="FF0000"/>
        </w:rPr>
        <w:drawing>
          <wp:inline distT="0" distB="0" distL="0" distR="0">
            <wp:extent cx="3009900" cy="4276725"/>
            <wp:effectExtent l="19050" t="0" r="0" b="0"/>
            <wp:docPr id="412" name="Imagem 33" descr="K27%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27%2017"/>
                    <pic:cNvPicPr>
                      <a:picLocks noChangeAspect="1" noChangeArrowheads="1"/>
                    </pic:cNvPicPr>
                  </pic:nvPicPr>
                  <pic:blipFill>
                    <a:blip r:embed="rId150" cstate="print"/>
                    <a:srcRect/>
                    <a:stretch>
                      <a:fillRect/>
                    </a:stretch>
                  </pic:blipFill>
                  <pic:spPr bwMode="auto">
                    <a:xfrm>
                      <a:off x="0" y="0"/>
                      <a:ext cx="3009900" cy="4276725"/>
                    </a:xfrm>
                    <a:prstGeom prst="rect">
                      <a:avLst/>
                    </a:prstGeom>
                    <a:noFill/>
                    <a:ln w="9525">
                      <a:noFill/>
                      <a:miter lim="800000"/>
                      <a:headEnd/>
                      <a:tailEnd/>
                    </a:ln>
                  </pic:spPr>
                </pic:pic>
              </a:graphicData>
            </a:graphic>
          </wp:inline>
        </w:drawing>
      </w:r>
    </w:p>
    <w:p w:rsidR="009C68B2" w:rsidRDefault="009C68B2" w:rsidP="009C68B2">
      <w:pPr>
        <w:rPr>
          <w:color w:val="FF0000"/>
        </w:rPr>
      </w:pPr>
    </w:p>
    <w:p w:rsidR="009C68B2" w:rsidRDefault="009C68B2" w:rsidP="009C68B2">
      <w:pPr>
        <w:rPr>
          <w:color w:val="FF0000"/>
        </w:rPr>
      </w:pPr>
    </w:p>
    <w:p w:rsidR="009C68B2" w:rsidRDefault="009C68B2" w:rsidP="009C68B2">
      <w:pPr>
        <w:autoSpaceDE w:val="0"/>
        <w:autoSpaceDN w:val="0"/>
        <w:adjustRightInd w:val="0"/>
        <w:spacing w:line="360" w:lineRule="auto"/>
        <w:ind w:firstLine="708"/>
        <w:jc w:val="both"/>
      </w:pPr>
      <w:r>
        <w:t>Ainda nos núcleos discoides identificados nesta estação, o exemplar apresentado na</w:t>
      </w:r>
      <w:r w:rsidRPr="008816EF">
        <w:t xml:space="preserve"> </w:t>
      </w:r>
      <w:r>
        <w:t>figura 6.1.12 corresponde a</w:t>
      </w:r>
      <w:r w:rsidRPr="00244651">
        <w:t xml:space="preserve"> </w:t>
      </w:r>
      <w:r>
        <w:t>um bloco de quartzo hialino de filão com uma forma paralelepipédica. Como no exemplo anterior, o talhe inicia-se com um levantamento lateral, que depois é aproveitado como talão do primeiro levantamento da face superior. A cadeia operatória segue com um conjunto de levantamentos centrípetos. As lascas resultantes da debitagem apresentam um formato variado.</w:t>
      </w:r>
    </w:p>
    <w:p w:rsidR="009C68B2" w:rsidRDefault="009C68B2" w:rsidP="009C68B2">
      <w:pPr>
        <w:rPr>
          <w:color w:val="FF0000"/>
        </w:rPr>
      </w:pPr>
    </w:p>
    <w:p w:rsidR="009C68B2" w:rsidRDefault="009C68B2" w:rsidP="009C68B2">
      <w:pPr>
        <w:rPr>
          <w:color w:val="FF0000"/>
        </w:rPr>
      </w:pPr>
    </w:p>
    <w:p w:rsidR="009C68B2" w:rsidRDefault="00EA3774" w:rsidP="009C68B2">
      <w:pPr>
        <w:rPr>
          <w:color w:val="FF0000"/>
        </w:rPr>
      </w:pPr>
      <w:r>
        <w:rPr>
          <w:noProof/>
          <w:color w:val="FF0000"/>
          <w:lang w:eastAsia="en-US"/>
        </w:rPr>
        <w:pict>
          <v:shape id="_x0000_s1487" type="#_x0000_t202" style="position:absolute;margin-left:221.05pt;margin-top:183.1pt;width:170.1pt;height:46.3pt;z-index:251765760;mso-width-percent:400;mso-height-percent:200;mso-width-percent:400;mso-height-percent:200;mso-width-relative:margin;mso-height-relative:margin" stroked="f">
            <v:textbox style="mso-next-textbox:#_x0000_s1487;mso-fit-shape-to-text:t">
              <w:txbxContent>
                <w:p w:rsidR="00B34B0F" w:rsidRPr="00DF6497" w:rsidRDefault="00B34B0F" w:rsidP="009C68B2">
                  <w:pPr>
                    <w:jc w:val="both"/>
                    <w:rPr>
                      <w:sz w:val="22"/>
                      <w:szCs w:val="22"/>
                    </w:rPr>
                  </w:pPr>
                  <w:r w:rsidRPr="00DF6497">
                    <w:rPr>
                      <w:sz w:val="22"/>
                      <w:szCs w:val="22"/>
                    </w:rPr>
                    <w:t>Figura 6.</w:t>
                  </w:r>
                  <w:r>
                    <w:rPr>
                      <w:sz w:val="22"/>
                      <w:szCs w:val="22"/>
                    </w:rPr>
                    <w:t>2.12- Esquema diacrítico</w:t>
                  </w:r>
                  <w:r w:rsidRPr="00DF6497">
                    <w:rPr>
                      <w:sz w:val="22"/>
                      <w:szCs w:val="22"/>
                    </w:rPr>
                    <w:t xml:space="preserve"> </w:t>
                  </w:r>
                  <w:r>
                    <w:rPr>
                      <w:sz w:val="22"/>
                      <w:szCs w:val="22"/>
                    </w:rPr>
                    <w:t>do núcleo</w:t>
                  </w:r>
                  <w:r w:rsidRPr="00DF6497">
                    <w:rPr>
                      <w:sz w:val="22"/>
                      <w:szCs w:val="22"/>
                    </w:rPr>
                    <w:t xml:space="preserve"> </w:t>
                  </w:r>
                  <w:r>
                    <w:rPr>
                      <w:sz w:val="22"/>
                      <w:szCs w:val="22"/>
                    </w:rPr>
                    <w:t>WA26 30</w:t>
                  </w:r>
                  <w:r w:rsidRPr="00DF6497">
                    <w:rPr>
                      <w:sz w:val="22"/>
                      <w:szCs w:val="22"/>
                    </w:rPr>
                    <w:t>.</w:t>
                  </w:r>
                </w:p>
                <w:p w:rsidR="00B34B0F" w:rsidRDefault="00B34B0F" w:rsidP="009C68B2"/>
              </w:txbxContent>
            </v:textbox>
          </v:shape>
        </w:pict>
      </w:r>
      <w:r w:rsidR="009C68B2">
        <w:rPr>
          <w:noProof/>
          <w:color w:val="FF0000"/>
        </w:rPr>
        <w:drawing>
          <wp:inline distT="0" distB="0" distL="0" distR="0">
            <wp:extent cx="2886075" cy="3619500"/>
            <wp:effectExtent l="19050" t="0" r="9525" b="0"/>
            <wp:docPr id="413" name="Imagem 34" descr="WA26%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A26%2030"/>
                    <pic:cNvPicPr>
                      <a:picLocks noChangeAspect="1" noChangeArrowheads="1"/>
                    </pic:cNvPicPr>
                  </pic:nvPicPr>
                  <pic:blipFill>
                    <a:blip r:embed="rId151" cstate="print"/>
                    <a:srcRect/>
                    <a:stretch>
                      <a:fillRect/>
                    </a:stretch>
                  </pic:blipFill>
                  <pic:spPr bwMode="auto">
                    <a:xfrm>
                      <a:off x="0" y="0"/>
                      <a:ext cx="2886075" cy="3619500"/>
                    </a:xfrm>
                    <a:prstGeom prst="rect">
                      <a:avLst/>
                    </a:prstGeom>
                    <a:noFill/>
                    <a:ln w="9525">
                      <a:noFill/>
                      <a:miter lim="800000"/>
                      <a:headEnd/>
                      <a:tailEnd/>
                    </a:ln>
                  </pic:spPr>
                </pic:pic>
              </a:graphicData>
            </a:graphic>
          </wp:inline>
        </w:drawing>
      </w:r>
    </w:p>
    <w:p w:rsidR="009C68B2" w:rsidRDefault="009C68B2" w:rsidP="009C68B2">
      <w:pPr>
        <w:rPr>
          <w:color w:val="FF0000"/>
        </w:rPr>
      </w:pPr>
    </w:p>
    <w:p w:rsidR="009C68B2" w:rsidRDefault="009C68B2" w:rsidP="009C68B2">
      <w:pPr>
        <w:rPr>
          <w:color w:val="FF0000"/>
        </w:rPr>
      </w:pPr>
    </w:p>
    <w:p w:rsidR="009C68B2" w:rsidRDefault="009C68B2" w:rsidP="009C68B2">
      <w:pPr>
        <w:rPr>
          <w:color w:val="FF0000"/>
        </w:rPr>
      </w:pPr>
    </w:p>
    <w:p w:rsidR="009C68B2" w:rsidRDefault="009C68B2" w:rsidP="009C68B2">
      <w:pPr>
        <w:autoSpaceDE w:val="0"/>
        <w:autoSpaceDN w:val="0"/>
        <w:adjustRightInd w:val="0"/>
        <w:spacing w:line="360" w:lineRule="auto"/>
        <w:ind w:firstLine="708"/>
        <w:jc w:val="both"/>
      </w:pPr>
      <w:r>
        <w:t>Finalmente nos núcleos identificados nesta estação, o exemplar apresentado na</w:t>
      </w:r>
      <w:r w:rsidRPr="008816EF">
        <w:t xml:space="preserve"> </w:t>
      </w:r>
      <w:r>
        <w:t xml:space="preserve">figura 6.1.13 corresponde a uma placa de quartzito de forma alongada. Esta base é talhada nas duas extremidades através de levantamentos centrípetos. Aproveitando uma superfície cortical, realizaram-se, numa das faces quatro levantamentos centrípetos enquanto na face oposta foram retiradas cinco lascas. Neste caso não houve qualquer preparação do talão. As lascas resultantes deste núcleo apresentam uma relativa homogeneidade opondo um talão cortical a um gume em arco de círculo. </w:t>
      </w:r>
    </w:p>
    <w:p w:rsidR="009C68B2" w:rsidRDefault="009C68B2" w:rsidP="009C68B2">
      <w:pPr>
        <w:rPr>
          <w:color w:val="FF0000"/>
        </w:rPr>
      </w:pPr>
    </w:p>
    <w:p w:rsidR="009C68B2" w:rsidRDefault="00EA3774" w:rsidP="009C68B2">
      <w:pPr>
        <w:autoSpaceDE w:val="0"/>
        <w:autoSpaceDN w:val="0"/>
        <w:adjustRightInd w:val="0"/>
        <w:spacing w:line="360" w:lineRule="auto"/>
        <w:jc w:val="both"/>
      </w:pPr>
      <w:r w:rsidRPr="00EA3774">
        <w:rPr>
          <w:noProof/>
          <w:color w:val="FF0000"/>
          <w:lang w:eastAsia="en-US"/>
        </w:rPr>
        <w:lastRenderedPageBreak/>
        <w:pict>
          <v:shape id="_x0000_s1483" type="#_x0000_t202" style="position:absolute;left:0;text-align:left;margin-left:239.8pt;margin-top:391.15pt;width:170.1pt;height:46.3pt;z-index:251761664;mso-width-percent:400;mso-height-percent:200;mso-width-percent:400;mso-height-percent:200;mso-width-relative:margin;mso-height-relative:margin" stroked="f">
            <v:textbox style="mso-next-textbox:#_x0000_s1483;mso-fit-shape-to-text:t">
              <w:txbxContent>
                <w:p w:rsidR="00B34B0F" w:rsidRPr="00DF6497" w:rsidRDefault="00B34B0F" w:rsidP="009C68B2">
                  <w:pPr>
                    <w:jc w:val="both"/>
                    <w:rPr>
                      <w:sz w:val="22"/>
                      <w:szCs w:val="22"/>
                    </w:rPr>
                  </w:pPr>
                  <w:r w:rsidRPr="00DF6497">
                    <w:rPr>
                      <w:sz w:val="22"/>
                      <w:szCs w:val="22"/>
                    </w:rPr>
                    <w:t>Figura 6.</w:t>
                  </w:r>
                  <w:r>
                    <w:rPr>
                      <w:sz w:val="22"/>
                      <w:szCs w:val="22"/>
                    </w:rPr>
                    <w:t>2.13</w:t>
                  </w:r>
                  <w:r w:rsidRPr="00DF6497">
                    <w:rPr>
                      <w:sz w:val="22"/>
                      <w:szCs w:val="22"/>
                    </w:rPr>
                    <w:t>- Esquema diacrític</w:t>
                  </w:r>
                  <w:r>
                    <w:rPr>
                      <w:sz w:val="22"/>
                      <w:szCs w:val="22"/>
                    </w:rPr>
                    <w:t>o</w:t>
                  </w:r>
                  <w:r w:rsidRPr="00DF6497">
                    <w:rPr>
                      <w:sz w:val="22"/>
                      <w:szCs w:val="22"/>
                    </w:rPr>
                    <w:t xml:space="preserve"> </w:t>
                  </w:r>
                  <w:r>
                    <w:rPr>
                      <w:sz w:val="22"/>
                      <w:szCs w:val="22"/>
                    </w:rPr>
                    <w:t>do núcleo M26 51</w:t>
                  </w:r>
                  <w:r w:rsidRPr="00DF6497">
                    <w:rPr>
                      <w:sz w:val="22"/>
                      <w:szCs w:val="22"/>
                    </w:rPr>
                    <w:t>.</w:t>
                  </w:r>
                </w:p>
                <w:p w:rsidR="00B34B0F" w:rsidRDefault="00B34B0F" w:rsidP="009C68B2"/>
              </w:txbxContent>
            </v:textbox>
          </v:shape>
        </w:pict>
      </w:r>
      <w:r w:rsidR="009C68B2">
        <w:rPr>
          <w:noProof/>
          <w:color w:val="FF0000"/>
        </w:rPr>
        <w:drawing>
          <wp:inline distT="0" distB="0" distL="0" distR="0">
            <wp:extent cx="2990850" cy="7239000"/>
            <wp:effectExtent l="19050" t="0" r="0" b="0"/>
            <wp:docPr id="414" name="Imagem 35" descr="M26%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26%2051"/>
                    <pic:cNvPicPr>
                      <a:picLocks noChangeAspect="1" noChangeArrowheads="1"/>
                    </pic:cNvPicPr>
                  </pic:nvPicPr>
                  <pic:blipFill>
                    <a:blip r:embed="rId152" cstate="print"/>
                    <a:srcRect/>
                    <a:stretch>
                      <a:fillRect/>
                    </a:stretch>
                  </pic:blipFill>
                  <pic:spPr bwMode="auto">
                    <a:xfrm>
                      <a:off x="0" y="0"/>
                      <a:ext cx="2990850" cy="7239000"/>
                    </a:xfrm>
                    <a:prstGeom prst="rect">
                      <a:avLst/>
                    </a:prstGeom>
                    <a:noFill/>
                    <a:ln w="9525">
                      <a:noFill/>
                      <a:miter lim="800000"/>
                      <a:headEnd/>
                      <a:tailEnd/>
                    </a:ln>
                  </pic:spPr>
                </pic:pic>
              </a:graphicData>
            </a:graphic>
          </wp:inline>
        </w:drawing>
      </w:r>
      <w:r w:rsidR="009C68B2" w:rsidRPr="00DD758D">
        <w:t xml:space="preserve"> </w: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t>O maior núcleo recolhido no Azinhal teve por base meio seixo de quartzito de grandes dimensões</w:t>
      </w:r>
      <w:r w:rsidRPr="00BC5F38">
        <w:rPr>
          <w:sz w:val="22"/>
          <w:szCs w:val="22"/>
        </w:rPr>
        <w:t xml:space="preserve"> </w:t>
      </w:r>
      <w:r>
        <w:rPr>
          <w:sz w:val="22"/>
          <w:szCs w:val="22"/>
        </w:rPr>
        <w:t>(</w:t>
      </w:r>
      <w:r w:rsidRPr="00DF6497">
        <w:rPr>
          <w:sz w:val="22"/>
          <w:szCs w:val="22"/>
        </w:rPr>
        <w:t>Figura 6.</w:t>
      </w:r>
      <w:r>
        <w:rPr>
          <w:sz w:val="22"/>
          <w:szCs w:val="22"/>
        </w:rPr>
        <w:t>2.14)</w:t>
      </w:r>
      <w:r>
        <w:t xml:space="preserve">. Embora pareça, à primeira vista, resultar de uma debitagem muito semelhante à descrita para o núcleo apresentado anteriormente difere, </w:t>
      </w:r>
      <w:r>
        <w:lastRenderedPageBreak/>
        <w:t>na verdade, em alguns pontos importantes. As semelhanças assentam no facto de se ter preferido uma das extremidades do seixo, porém apenas foi talhada uma das extremidades. As diferenças encontram-se no facto da debitagem não ser centrípeta, apenas se limitando ao perímetro cortical presente na peça. Partindo sempre de uma superfície cortical, realizaram-se todo um conjunto levantamentos. As lascas resultantes apresentam uma relativa homogeneidade formal, embora apresentem diferenças em tipo de dimensões, opondo um talão cortical a um gume em arco de círculo.</w:t>
      </w:r>
    </w:p>
    <w:p w:rsidR="009C68B2" w:rsidRDefault="009C68B2" w:rsidP="009C68B2">
      <w:pPr>
        <w:rPr>
          <w:color w:val="FF0000"/>
        </w:rPr>
      </w:pPr>
    </w:p>
    <w:p w:rsidR="009C68B2" w:rsidRDefault="009C68B2" w:rsidP="009C68B2">
      <w:pPr>
        <w:rPr>
          <w:color w:val="FF0000"/>
        </w:rPr>
      </w:pPr>
      <w:r>
        <w:rPr>
          <w:noProof/>
          <w:color w:val="FF0000"/>
        </w:rPr>
        <w:drawing>
          <wp:inline distT="0" distB="0" distL="0" distR="0">
            <wp:extent cx="3257550" cy="4391025"/>
            <wp:effectExtent l="19050" t="0" r="0" b="0"/>
            <wp:docPr id="415" name="Imagem 36" descr="WA26%2034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26%2034bis"/>
                    <pic:cNvPicPr>
                      <a:picLocks noChangeAspect="1" noChangeArrowheads="1"/>
                    </pic:cNvPicPr>
                  </pic:nvPicPr>
                  <pic:blipFill>
                    <a:blip r:embed="rId153" cstate="print"/>
                    <a:srcRect/>
                    <a:stretch>
                      <a:fillRect/>
                    </a:stretch>
                  </pic:blipFill>
                  <pic:spPr bwMode="auto">
                    <a:xfrm>
                      <a:off x="0" y="0"/>
                      <a:ext cx="3257550" cy="4391025"/>
                    </a:xfrm>
                    <a:prstGeom prst="rect">
                      <a:avLst/>
                    </a:prstGeom>
                    <a:noFill/>
                    <a:ln w="9525">
                      <a:noFill/>
                      <a:miter lim="800000"/>
                      <a:headEnd/>
                      <a:tailEnd/>
                    </a:ln>
                  </pic:spPr>
                </pic:pic>
              </a:graphicData>
            </a:graphic>
          </wp:inline>
        </w:drawing>
      </w:r>
    </w:p>
    <w:p w:rsidR="009C68B2" w:rsidRDefault="00EA3774" w:rsidP="009C68B2">
      <w:pPr>
        <w:autoSpaceDE w:val="0"/>
        <w:autoSpaceDN w:val="0"/>
        <w:adjustRightInd w:val="0"/>
        <w:rPr>
          <w:color w:val="FF0000"/>
        </w:rPr>
      </w:pPr>
      <w:r>
        <w:rPr>
          <w:noProof/>
          <w:color w:val="FF0000"/>
          <w:lang w:eastAsia="en-US"/>
        </w:rPr>
        <w:pict>
          <v:shape id="_x0000_s1484" type="#_x0000_t202" style="position:absolute;margin-left:218.05pt;margin-top:-98.55pt;width:169.75pt;height:46.3pt;z-index:251762688;mso-width-percent:400;mso-height-percent:200;mso-width-percent:400;mso-height-percent:200;mso-width-relative:margin;mso-height-relative:margin" stroked="f">
            <v:textbox style="mso-next-textbox:#_x0000_s1484;mso-fit-shape-to-text:t">
              <w:txbxContent>
                <w:p w:rsidR="00B34B0F" w:rsidRPr="00DF6497" w:rsidRDefault="00B34B0F" w:rsidP="009C68B2">
                  <w:pPr>
                    <w:jc w:val="both"/>
                    <w:rPr>
                      <w:sz w:val="22"/>
                      <w:szCs w:val="22"/>
                    </w:rPr>
                  </w:pPr>
                  <w:r w:rsidRPr="00DF6497">
                    <w:rPr>
                      <w:sz w:val="22"/>
                      <w:szCs w:val="22"/>
                    </w:rPr>
                    <w:t>Figura 6.</w:t>
                  </w:r>
                  <w:r>
                    <w:rPr>
                      <w:sz w:val="22"/>
                      <w:szCs w:val="22"/>
                    </w:rPr>
                    <w:t>2.14</w:t>
                  </w:r>
                  <w:r w:rsidRPr="00DF6497">
                    <w:rPr>
                      <w:sz w:val="22"/>
                      <w:szCs w:val="22"/>
                    </w:rPr>
                    <w:t>- Esquema diacrític</w:t>
                  </w:r>
                  <w:r>
                    <w:rPr>
                      <w:sz w:val="22"/>
                      <w:szCs w:val="22"/>
                    </w:rPr>
                    <w:t>o</w:t>
                  </w:r>
                  <w:r w:rsidRPr="00DF6497">
                    <w:rPr>
                      <w:sz w:val="22"/>
                      <w:szCs w:val="22"/>
                    </w:rPr>
                    <w:t xml:space="preserve"> </w:t>
                  </w:r>
                  <w:r>
                    <w:rPr>
                      <w:sz w:val="22"/>
                      <w:szCs w:val="22"/>
                    </w:rPr>
                    <w:t>do núcleo WA26 34</w:t>
                  </w:r>
                  <w:r w:rsidRPr="00DF6497">
                    <w:rPr>
                      <w:sz w:val="22"/>
                      <w:szCs w:val="22"/>
                    </w:rPr>
                    <w:t>.</w:t>
                  </w:r>
                </w:p>
                <w:p w:rsidR="00B34B0F" w:rsidRDefault="00B34B0F" w:rsidP="009C68B2"/>
              </w:txbxContent>
            </v:textbox>
          </v:shape>
        </w:pict>
      </w:r>
    </w:p>
    <w:p w:rsidR="009C68B2" w:rsidRDefault="009C68B2" w:rsidP="009C68B2">
      <w:pPr>
        <w:autoSpaceDE w:val="0"/>
        <w:autoSpaceDN w:val="0"/>
        <w:adjustRightInd w:val="0"/>
        <w:rPr>
          <w:color w:val="FF0000"/>
        </w:rPr>
      </w:pPr>
    </w:p>
    <w:p w:rsidR="009C68B2" w:rsidRDefault="009C68B2"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D03F30" w:rsidRDefault="00D03F30" w:rsidP="009C68B2">
      <w:pPr>
        <w:autoSpaceDE w:val="0"/>
        <w:autoSpaceDN w:val="0"/>
        <w:adjustRightInd w:val="0"/>
        <w:rPr>
          <w:color w:val="FF0000"/>
        </w:rPr>
      </w:pPr>
    </w:p>
    <w:p w:rsidR="009C68B2" w:rsidRDefault="009C68B2" w:rsidP="009C68B2">
      <w:pPr>
        <w:autoSpaceDE w:val="0"/>
        <w:autoSpaceDN w:val="0"/>
        <w:adjustRightInd w:val="0"/>
        <w:rPr>
          <w:color w:val="FF0000"/>
        </w:rPr>
      </w:pPr>
    </w:p>
    <w:p w:rsidR="009C68B2" w:rsidRPr="00DC1F84" w:rsidRDefault="009C68B2" w:rsidP="009C68B2">
      <w:pPr>
        <w:spacing w:line="360" w:lineRule="auto"/>
        <w:jc w:val="both"/>
        <w:rPr>
          <w:b/>
        </w:rPr>
      </w:pPr>
      <w:r w:rsidRPr="00DC1F84">
        <w:rPr>
          <w:b/>
        </w:rPr>
        <w:lastRenderedPageBreak/>
        <w:t>6. 3. Tapada do Montinho</w:t>
      </w:r>
    </w:p>
    <w:p w:rsidR="009C68B2" w:rsidRPr="00DC1F84" w:rsidRDefault="009C68B2" w:rsidP="009C68B2">
      <w:pPr>
        <w:spacing w:line="360" w:lineRule="auto"/>
        <w:jc w:val="both"/>
        <w:rPr>
          <w:b/>
        </w:rPr>
      </w:pP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b/>
        </w:rPr>
      </w:pPr>
      <w:r w:rsidRPr="00DC1F84">
        <w:rPr>
          <w:b/>
        </w:rPr>
        <w:t xml:space="preserve">6.3.1- </w:t>
      </w:r>
      <w:r w:rsidRPr="00DC1F84">
        <w:t>Estratigrafia.</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r w:rsidRPr="00DC1F84">
        <w:t xml:space="preserve"> A intervenção realizada no sítio da Tapada do Montinho incidiu numa área da estação onde o nível arqueológico se encontrava perto da superfície. Esta particularidade foi positiva no que diz respeito ao acesso ao nível arqueológico mas negativa no sentido em que em certas zonas escavadas o topo do estrato arqueológico f</w:t>
      </w:r>
      <w:r>
        <w:t>oi afetado</w:t>
      </w:r>
      <w:r w:rsidRPr="00DC1F84">
        <w:t xml:space="preserve"> superficialmente por lavras mecânicas realizadas nos últimos anos. No entanto, a escavação permitiu a confirmação da homogeneidade</w:t>
      </w:r>
      <w:r>
        <w:t xml:space="preserve"> da</w:t>
      </w:r>
      <w:r w:rsidRPr="00DC1F84">
        <w:t xml:space="preserve"> estratigrafia da zona con</w:t>
      </w:r>
      <w:r>
        <w:t>fortando</w:t>
      </w:r>
      <w:r w:rsidRPr="00DC1F84">
        <w:t xml:space="preserve"> os resultados registados durante os primeiros trabalhos (Figura 6.3.1 e 6.3.2</w:t>
      </w:r>
      <w:r w:rsidRPr="00DC1F84">
        <w:rPr>
          <w:b/>
        </w:rPr>
        <w:t>)</w:t>
      </w:r>
      <w:r w:rsidRPr="00DC1F84">
        <w:t>. O corte estratigráfico regist</w:t>
      </w:r>
      <w:r>
        <w:t>ado no quadrado M41 (sondagem 2</w:t>
      </w:r>
      <w:r w:rsidRPr="00DC1F84">
        <w:t xml:space="preserve"> de 2008) apresentado de seguida</w:t>
      </w:r>
      <w:r>
        <w:t xml:space="preserve"> evidencia</w:t>
      </w:r>
      <w:r w:rsidRPr="00DC1F84">
        <w:t xml:space="preserve"> a realidade ide</w:t>
      </w:r>
      <w:r>
        <w:t>ntificada em toda a área e</w:t>
      </w:r>
      <w:r w:rsidRPr="00DC1F84">
        <w:t>scavada.</w:t>
      </w:r>
    </w:p>
    <w:p w:rsidR="009C68B2" w:rsidRPr="00DC1F84" w:rsidRDefault="00EA3774" w:rsidP="009C68B2">
      <w:pPr>
        <w:spacing w:line="360" w:lineRule="auto"/>
        <w:ind w:firstLine="708"/>
        <w:jc w:val="center"/>
      </w:pPr>
      <w:r w:rsidRPr="00EA3774">
        <w:rPr>
          <w:color w:val="FF0000"/>
        </w:rPr>
        <w:pict>
          <v:shape id="_x0000_s1544" type="#_x0000_t202" style="position:absolute;left:0;text-align:left;margin-left:83.8pt;margin-top:232.3pt;width:318.65pt;height:42.75pt;z-index:251825152;mso-width-relative:margin;mso-height-relative:margin" stroked="f">
            <v:textbox style="mso-next-textbox:#_x0000_s1544">
              <w:txbxContent>
                <w:p w:rsidR="00B34B0F" w:rsidRPr="00064CEC" w:rsidRDefault="00B34B0F" w:rsidP="009C68B2">
                  <w:r w:rsidRPr="0093570F">
                    <w:rPr>
                      <w:sz w:val="22"/>
                      <w:szCs w:val="22"/>
                    </w:rPr>
                    <w:t>Figura 6.3.1</w:t>
                  </w:r>
                  <w:r w:rsidRPr="001160B5">
                    <w:rPr>
                      <w:b/>
                      <w:sz w:val="22"/>
                      <w:szCs w:val="22"/>
                    </w:rPr>
                    <w:t xml:space="preserve">- </w:t>
                  </w:r>
                  <w:r w:rsidRPr="00064CEC">
                    <w:t>Distribuição vertical dos materiais</w:t>
                  </w:r>
                  <w:r>
                    <w:t xml:space="preserve"> (pontos vermelhos)</w:t>
                  </w:r>
                  <w:r w:rsidRPr="00064CEC">
                    <w:t xml:space="preserve"> </w:t>
                  </w:r>
                  <w:r>
                    <w:t>na quadrícula M41 (perfil oeste).</w:t>
                  </w:r>
                  <w:r w:rsidRPr="00064CEC">
                    <w:t xml:space="preserve"> </w:t>
                  </w:r>
                </w:p>
                <w:p w:rsidR="00B34B0F" w:rsidRDefault="00B34B0F" w:rsidP="009C68B2"/>
              </w:txbxContent>
            </v:textbox>
          </v:shape>
        </w:pict>
      </w:r>
      <w:r w:rsidR="009C68B2">
        <w:rPr>
          <w:noProof/>
          <w:color w:val="FF0000"/>
        </w:rPr>
        <w:drawing>
          <wp:inline distT="0" distB="0" distL="0" distR="0">
            <wp:extent cx="3990975" cy="3019425"/>
            <wp:effectExtent l="19050" t="0" r="9525" b="0"/>
            <wp:docPr id="416" name="Imagem 4" descr="M41c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41corte"/>
                    <pic:cNvPicPr>
                      <a:picLocks noChangeAspect="1" noChangeArrowheads="1"/>
                    </pic:cNvPicPr>
                  </pic:nvPicPr>
                  <pic:blipFill>
                    <a:blip r:embed="rId154" cstate="print"/>
                    <a:srcRect/>
                    <a:stretch>
                      <a:fillRect/>
                    </a:stretch>
                  </pic:blipFill>
                  <pic:spPr bwMode="auto">
                    <a:xfrm>
                      <a:off x="0" y="0"/>
                      <a:ext cx="3990975" cy="3019425"/>
                    </a:xfrm>
                    <a:prstGeom prst="rect">
                      <a:avLst/>
                    </a:prstGeom>
                    <a:noFill/>
                    <a:ln w="9525">
                      <a:noFill/>
                      <a:miter lim="800000"/>
                      <a:headEnd/>
                      <a:tailEnd/>
                    </a:ln>
                  </pic:spPr>
                </pic:pic>
              </a:graphicData>
            </a:graphic>
          </wp:inline>
        </w:drawing>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r w:rsidRPr="00DC1F84">
        <w:t>A estratigrafia desta sondagem é a seguinte:</w:t>
      </w:r>
    </w:p>
    <w:p w:rsidR="009C68B2" w:rsidRPr="00DC1F84" w:rsidRDefault="009C68B2" w:rsidP="009C68B2">
      <w:pPr>
        <w:spacing w:line="360" w:lineRule="auto"/>
        <w:ind w:firstLine="708"/>
        <w:jc w:val="both"/>
      </w:pPr>
      <w:r w:rsidRPr="00DC1F84">
        <w:t xml:space="preserve">A GFU 1 corresponde a uma camada arenosa de cor cinzenta, húmica, contendo material arqueológico e seixos angulosos. Esta unidade apresenta cerca de </w:t>
      </w:r>
      <w:smartTag w:uri="urn:schemas-microsoft-com:office:smarttags" w:element="metricconverter">
        <w:smartTagPr>
          <w:attr w:name="ProductID" w:val="25 cm"/>
        </w:smartTagPr>
        <w:r w:rsidRPr="00DC1F84">
          <w:t>25 cm</w:t>
        </w:r>
      </w:smartTag>
      <w:r w:rsidRPr="00DC1F84">
        <w:t xml:space="preserve"> de espessura, sendo o limite inferior bem definido, embora nos quadrados K/L/M/40 o topo da segunda GFU tenha sido atingido pelas lavras causando alguma perturbação.</w:t>
      </w:r>
    </w:p>
    <w:p w:rsidR="009C68B2" w:rsidRPr="00DC1F84" w:rsidRDefault="009C68B2" w:rsidP="009C68B2">
      <w:pPr>
        <w:spacing w:line="360" w:lineRule="auto"/>
        <w:ind w:firstLine="708"/>
        <w:jc w:val="both"/>
      </w:pPr>
      <w:r w:rsidRPr="00DC1F84">
        <w:lastRenderedPageBreak/>
        <w:t xml:space="preserve">A GFU 2, que embala a ocupação arqueológica define-se por uma camada arenosa de cor cinzenta clara com grande concentração de seixos angulosos de média dimensão (5/10 cm) </w:t>
      </w:r>
      <w:r>
        <w:t>e</w:t>
      </w:r>
      <w:r w:rsidRPr="00DC1F84">
        <w:t xml:space="preserve"> indústria lítica em quartzito. Tem cerca de </w:t>
      </w:r>
      <w:smartTag w:uri="urn:schemas-microsoft-com:office:smarttags" w:element="metricconverter">
        <w:smartTagPr>
          <w:attr w:name="ProductID" w:val="20 cm"/>
        </w:smartTagPr>
        <w:r w:rsidRPr="00DC1F84">
          <w:t>20 cm</w:t>
        </w:r>
      </w:smartTag>
      <w:r w:rsidRPr="00DC1F84">
        <w:t xml:space="preserve"> de espessura sendo o seu limite inferior, contato com a GFU 3, bem delimitado, relativamente homogéneo, sem grande alteração.</w:t>
      </w:r>
    </w:p>
    <w:p w:rsidR="009C68B2" w:rsidRPr="00DC1F84" w:rsidRDefault="009C68B2" w:rsidP="009C68B2">
      <w:pPr>
        <w:spacing w:line="360" w:lineRule="auto"/>
        <w:ind w:firstLine="708"/>
        <w:jc w:val="both"/>
      </w:pPr>
      <w:r>
        <w:t>A terceira unidade geo</w:t>
      </w:r>
      <w:r w:rsidRPr="00DC1F84">
        <w:t>arqueológica de campo é caracterizada por um sedimento arenoso de cor amarela clara embalando pequenos seixos rolados (1-</w:t>
      </w:r>
      <w:smartTag w:uri="urn:schemas-microsoft-com:office:smarttags" w:element="metricconverter">
        <w:smartTagPr>
          <w:attr w:name="ProductID" w:val="5 m"/>
        </w:smartTagPr>
        <w:r w:rsidRPr="00DC1F84">
          <w:t>5 m</w:t>
        </w:r>
      </w:smartTag>
      <w:r w:rsidRPr="00DC1F84">
        <w:t xml:space="preserve">), estéril do ponto de vista arqueológico. Tem cerca de </w:t>
      </w:r>
      <w:smartTag w:uri="urn:schemas-microsoft-com:office:smarttags" w:element="metricconverter">
        <w:smartTagPr>
          <w:attr w:name="ProductID" w:val="20 cm"/>
        </w:smartTagPr>
        <w:r w:rsidRPr="00DC1F84">
          <w:t>20 cm</w:t>
        </w:r>
      </w:smartTag>
      <w:r w:rsidRPr="00DC1F84">
        <w:t xml:space="preserve"> de espessura e </w:t>
      </w:r>
      <w:r>
        <w:t>os</w:t>
      </w:r>
      <w:r w:rsidRPr="00DC1F84">
        <w:t xml:space="preserve"> limite</w:t>
      </w:r>
      <w:r>
        <w:t>s</w:t>
      </w:r>
      <w:r w:rsidRPr="00DC1F84">
        <w:t xml:space="preserve"> inferior e superior bem definido</w:t>
      </w:r>
      <w:r>
        <w:t>s</w:t>
      </w:r>
      <w:r w:rsidRPr="00DC1F84">
        <w:t xml:space="preserve">. </w:t>
      </w:r>
    </w:p>
    <w:p w:rsidR="009C68B2" w:rsidRPr="00DC1F84" w:rsidRDefault="009C68B2" w:rsidP="009C68B2">
      <w:pPr>
        <w:spacing w:line="360" w:lineRule="auto"/>
        <w:ind w:firstLine="708"/>
        <w:jc w:val="both"/>
      </w:pPr>
      <w:r w:rsidRPr="00DC1F84">
        <w:t xml:space="preserve">A GFU 4, última unidade escavada nesta estação, corresponde a uma camada argilosa de cor alaranjada com nódulos de argila de cor vermelha. Apenas se escavou cerca de </w:t>
      </w:r>
      <w:smartTag w:uri="urn:schemas-microsoft-com:office:smarttags" w:element="metricconverter">
        <w:smartTagPr>
          <w:attr w:name="ProductID" w:val="5 cm"/>
        </w:smartTagPr>
        <w:r w:rsidRPr="00DC1F84">
          <w:t>5 cm</w:t>
        </w:r>
      </w:smartTag>
      <w:r w:rsidRPr="00DC1F84">
        <w:t xml:space="preserve"> neste nível não tendo sido possível determinar a sua espessura. Não se identificaram materiais arqueológicos nesta GFU.</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p>
    <w:p w:rsidR="009C68B2" w:rsidRPr="00DC1F84" w:rsidRDefault="009C68B2" w:rsidP="009C68B2">
      <w:pPr>
        <w:spacing w:line="360" w:lineRule="auto"/>
        <w:jc w:val="both"/>
        <w:rPr>
          <w:b/>
        </w:rPr>
      </w:pPr>
      <w:r w:rsidRPr="00DC1F84">
        <w:rPr>
          <w:b/>
        </w:rPr>
        <w:t xml:space="preserve">6.3.2 Datações </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rPr>
          <w:color w:val="FF0000"/>
        </w:rPr>
      </w:pPr>
      <w:r w:rsidRPr="00DC1F84">
        <w:t>Devido às condições desta jazida não foi possível conseguir datações para o estrato arqueológico através dos métodos correntes de datação por OSL. Por uma feliz coincidência</w:t>
      </w:r>
      <w:r>
        <w:t>, resultante dos contatos estabelecidos com o laboratório Risø da Dinarmarca,</w:t>
      </w:r>
      <w:r w:rsidRPr="00DC1F84">
        <w:t xml:space="preserve"> foi possível tentar uma nova abordagem através da datação dos seixos presentes nesse nível (</w:t>
      </w:r>
      <w:r w:rsidRPr="00DC1F84">
        <w:rPr>
          <w:rFonts w:eastAsia="Calibri"/>
        </w:rPr>
        <w:t xml:space="preserve">Sohbati </w:t>
      </w:r>
      <w:r w:rsidRPr="00DC1F84">
        <w:rPr>
          <w:rFonts w:eastAsia="Calibri"/>
          <w:i/>
        </w:rPr>
        <w:t>et al</w:t>
      </w:r>
      <w:r w:rsidRPr="00DC1F84">
        <w:rPr>
          <w:rFonts w:eastAsia="Calibri"/>
        </w:rPr>
        <w:t xml:space="preserve"> 2012)</w:t>
      </w:r>
      <w:r w:rsidRPr="00DC1F84">
        <w:t>. Este novo método conseguiu determinar dois episódios de exposição ao sol. O primeiro, que deverá corresponder à ocupação do Paleolítico médio, aconteceu há cerca de 45 Ka. Por volta de 20 Ka o topo do nível arqueológico foi exposto novamente ao sol durante um período que poderá ter variado entre alguns dias e alguns meses. A camada 3, situada imediatamente abaixo do nível paleolítico foi datada, pelo método de datação OSL em sedimentos, em 51±5 Ka (</w:t>
      </w:r>
      <w:r w:rsidRPr="00DC1F84">
        <w:rPr>
          <w:rFonts w:eastAsia="Calibri"/>
        </w:rPr>
        <w:t xml:space="preserve">Sohbati </w:t>
      </w:r>
      <w:r w:rsidRPr="00DC1F84">
        <w:rPr>
          <w:rFonts w:eastAsia="Calibri"/>
          <w:i/>
        </w:rPr>
        <w:t>et al</w:t>
      </w:r>
      <w:r w:rsidRPr="00DC1F84">
        <w:rPr>
          <w:rFonts w:eastAsia="Calibri"/>
        </w:rPr>
        <w:t xml:space="preserve"> 2012)</w:t>
      </w:r>
      <w:r w:rsidRPr="00DC1F84">
        <w:t>.</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p>
    <w:p w:rsidR="009C68B2" w:rsidRDefault="00EA3774" w:rsidP="009C68B2">
      <w:pPr>
        <w:spacing w:line="360" w:lineRule="auto"/>
        <w:ind w:firstLine="708"/>
        <w:jc w:val="both"/>
      </w:pPr>
      <w:r w:rsidRPr="00EA3774">
        <w:rPr>
          <w:color w:val="FF0000"/>
          <w:lang w:eastAsia="en-US"/>
        </w:rPr>
        <w:lastRenderedPageBreak/>
        <w:pict>
          <v:shape id="_x0000_s1541" type="#_x0000_t202" style="position:absolute;left:0;text-align:left;margin-left:214.9pt;margin-top:11.65pt;width:54.55pt;height:721.5pt;z-index:251822080;mso-width-relative:margin;mso-height-relative:margin" stroked="f">
            <v:textbox style="layout-flow:vertical;mso-layout-flow-alt:bottom-to-top;mso-next-textbox:#_x0000_s1541;mso-fit-shape-to-text:t">
              <w:txbxContent>
                <w:p w:rsidR="00B34B0F" w:rsidRPr="00E67F5F" w:rsidRDefault="00B34B0F" w:rsidP="009C68B2">
                  <w:pPr>
                    <w:rPr>
                      <w:sz w:val="22"/>
                      <w:szCs w:val="22"/>
                    </w:rPr>
                  </w:pPr>
                  <w:r>
                    <w:rPr>
                      <w:b/>
                      <w:sz w:val="22"/>
                      <w:szCs w:val="22"/>
                    </w:rPr>
                    <w:t>Figura</w:t>
                  </w:r>
                  <w:r w:rsidRPr="001160B5">
                    <w:rPr>
                      <w:b/>
                      <w:sz w:val="22"/>
                      <w:szCs w:val="22"/>
                    </w:rPr>
                    <w:t xml:space="preserve"> 6.</w:t>
                  </w:r>
                  <w:r>
                    <w:rPr>
                      <w:b/>
                      <w:sz w:val="22"/>
                      <w:szCs w:val="22"/>
                    </w:rPr>
                    <w:t>3.2</w:t>
                  </w:r>
                  <w:r w:rsidRPr="001160B5">
                    <w:rPr>
                      <w:b/>
                      <w:sz w:val="22"/>
                      <w:szCs w:val="22"/>
                    </w:rPr>
                    <w:t xml:space="preserve">- </w:t>
                  </w:r>
                  <w:r w:rsidRPr="00E67F5F">
                    <w:rPr>
                      <w:sz w:val="22"/>
                      <w:szCs w:val="22"/>
                    </w:rPr>
                    <w:t>Corte estrati</w:t>
                  </w:r>
                  <w:r>
                    <w:rPr>
                      <w:sz w:val="22"/>
                      <w:szCs w:val="22"/>
                    </w:rPr>
                    <w:t>gráfico norte da vala K40/O40. É</w:t>
                  </w:r>
                  <w:r w:rsidRPr="00E67F5F">
                    <w:rPr>
                      <w:sz w:val="22"/>
                      <w:szCs w:val="22"/>
                    </w:rPr>
                    <w:t xml:space="preserve"> visível a afectação realizada pelas lavras no topo da camada arqueológica</w:t>
                  </w:r>
                  <w:r>
                    <w:rPr>
                      <w:sz w:val="22"/>
                      <w:szCs w:val="22"/>
                    </w:rPr>
                    <w:t xml:space="preserve"> nos quadrados K40/39 ao M40/39</w:t>
                  </w:r>
                  <w:r w:rsidRPr="00E67F5F">
                    <w:rPr>
                      <w:sz w:val="22"/>
                      <w:szCs w:val="22"/>
                    </w:rPr>
                    <w:t>.</w:t>
                  </w:r>
                </w:p>
                <w:p w:rsidR="00B34B0F" w:rsidRDefault="00B34B0F" w:rsidP="009C68B2"/>
              </w:txbxContent>
            </v:textbox>
          </v:shape>
        </w:pict>
      </w:r>
      <w:r w:rsidR="009C68B2">
        <w:rPr>
          <w:noProof/>
          <w:color w:val="FF0000"/>
        </w:rPr>
        <w:drawing>
          <wp:inline distT="0" distB="0" distL="0" distR="0">
            <wp:extent cx="1986280" cy="9533890"/>
            <wp:effectExtent l="19050" t="0" r="0" b="0"/>
            <wp:docPr id="417" name="Imagem 0" descr="TPMCorte nor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TPMCorte norte.tif"/>
                    <pic:cNvPicPr>
                      <a:picLocks noChangeAspect="1" noChangeArrowheads="1"/>
                    </pic:cNvPicPr>
                  </pic:nvPicPr>
                  <pic:blipFill>
                    <a:blip r:embed="rId155" cstate="print"/>
                    <a:srcRect/>
                    <a:stretch>
                      <a:fillRect/>
                    </a:stretch>
                  </pic:blipFill>
                  <pic:spPr bwMode="auto">
                    <a:xfrm>
                      <a:off x="0" y="0"/>
                      <a:ext cx="1986280" cy="9533890"/>
                    </a:xfrm>
                    <a:prstGeom prst="rect">
                      <a:avLst/>
                    </a:prstGeom>
                    <a:noFill/>
                    <a:ln w="9525">
                      <a:noFill/>
                      <a:miter lim="800000"/>
                      <a:headEnd/>
                      <a:tailEnd/>
                    </a:ln>
                  </pic:spPr>
                </pic:pic>
              </a:graphicData>
            </a:graphic>
          </wp:inline>
        </w:drawing>
      </w:r>
    </w:p>
    <w:p w:rsidR="009C68B2" w:rsidRPr="00DC1F84" w:rsidRDefault="009C68B2" w:rsidP="009C68B2">
      <w:pPr>
        <w:spacing w:line="360" w:lineRule="auto"/>
        <w:jc w:val="both"/>
      </w:pPr>
      <w:r w:rsidRPr="00DC1F84">
        <w:rPr>
          <w:b/>
        </w:rPr>
        <w:lastRenderedPageBreak/>
        <w:t xml:space="preserve">6.3.3 – </w:t>
      </w:r>
      <w:r w:rsidRPr="00DC1F84">
        <w:t xml:space="preserve">Ornamentos, </w:t>
      </w:r>
      <w:r>
        <w:t>o</w:t>
      </w:r>
      <w:r w:rsidRPr="00DC1F84">
        <w:t>cre.</w:t>
      </w: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t>Além do conjunto lítico recolhido na ocupação do Paleolítico médio da Tapada do Montinho, identificaram-se mais duas realidades que conv</w:t>
      </w:r>
      <w:r>
        <w:t>é</w:t>
      </w:r>
      <w:r w:rsidRPr="00DC1F84">
        <w:t>m analisar. A primeira prende-se com a identificação, na crivagem do sedimento removido durante o processo de escavação, de um fragmento de f</w:t>
      </w:r>
      <w:r>
        <w:t>ili</w:t>
      </w:r>
      <w:r w:rsidRPr="00DC1F84">
        <w:t xml:space="preserve">to com uma forma peculiar. Esse fragmento de pedra apresenta uma morfologia em forma de lágrima (foto 6.3.1). A origem fluvial do suporte parece evidente, correspondendo a um pequeno seixo ovalado. No entanto, indicia ter sido truncado e polido intencionalmente, dando-lhe uma forma lacrimal, esta sim anómala </w:t>
      </w:r>
      <w:r>
        <w:t>se fosse</w:t>
      </w:r>
      <w:r w:rsidRPr="00DC1F84">
        <w:t xml:space="preserve"> fruto de erosão fluvial. Numa das faces apresenta uma pequena depressão na zona central. Embora tenha sido localizada no segundo nível artificial da camada arqueológica, a projecção espacial dos materiais impõe algum cuidado quanto à sua atribuição cronológica. Existindo alguma deslocação vertical e sabendo-se através do método de datação, que a camada arqueológica esteve exposta algum tempo durante o Paleolítico superior, a adscrição cronológica deste elemento não pode ser garantida. </w:t>
      </w:r>
    </w:p>
    <w:p w:rsidR="009C68B2" w:rsidRPr="00DC1F84" w:rsidRDefault="009C68B2" w:rsidP="009C68B2">
      <w:pPr>
        <w:spacing w:line="360" w:lineRule="auto"/>
        <w:jc w:val="both"/>
      </w:pPr>
      <w:r w:rsidRPr="00DC1F84">
        <w:t xml:space="preserve">   </w:t>
      </w:r>
      <w:r>
        <w:rPr>
          <w:noProof/>
        </w:rPr>
        <w:drawing>
          <wp:inline distT="0" distB="0" distL="0" distR="0">
            <wp:extent cx="2583180" cy="3877310"/>
            <wp:effectExtent l="19050" t="0" r="7620" b="0"/>
            <wp:docPr id="418" name="Imagem 86" descr="DSC0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SC01960"/>
                    <pic:cNvPicPr>
                      <a:picLocks noChangeAspect="1" noChangeArrowheads="1"/>
                    </pic:cNvPicPr>
                  </pic:nvPicPr>
                  <pic:blipFill>
                    <a:blip r:embed="rId156" cstate="print"/>
                    <a:srcRect/>
                    <a:stretch>
                      <a:fillRect/>
                    </a:stretch>
                  </pic:blipFill>
                  <pic:spPr bwMode="auto">
                    <a:xfrm>
                      <a:off x="0" y="0"/>
                      <a:ext cx="2583180" cy="3877310"/>
                    </a:xfrm>
                    <a:prstGeom prst="rect">
                      <a:avLst/>
                    </a:prstGeom>
                    <a:noFill/>
                    <a:ln w="9525">
                      <a:noFill/>
                      <a:miter lim="800000"/>
                      <a:headEnd/>
                      <a:tailEnd/>
                    </a:ln>
                  </pic:spPr>
                </pic:pic>
              </a:graphicData>
            </a:graphic>
          </wp:inline>
        </w:drawing>
      </w:r>
      <w:r>
        <w:rPr>
          <w:noProof/>
        </w:rPr>
        <w:drawing>
          <wp:inline distT="0" distB="0" distL="0" distR="0">
            <wp:extent cx="2578100" cy="3870325"/>
            <wp:effectExtent l="19050" t="0" r="0" b="0"/>
            <wp:docPr id="419" name="Imagem 87" descr="DSC0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1955"/>
                    <pic:cNvPicPr>
                      <a:picLocks noChangeAspect="1" noChangeArrowheads="1"/>
                    </pic:cNvPicPr>
                  </pic:nvPicPr>
                  <pic:blipFill>
                    <a:blip r:embed="rId157" cstate="print"/>
                    <a:srcRect/>
                    <a:stretch>
                      <a:fillRect/>
                    </a:stretch>
                  </pic:blipFill>
                  <pic:spPr bwMode="auto">
                    <a:xfrm>
                      <a:off x="0" y="0"/>
                      <a:ext cx="2578100" cy="387032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pPr>
      <w:r>
        <w:rPr>
          <w:lang w:eastAsia="en-US"/>
        </w:rPr>
        <w:pict>
          <v:shape id="_x0000_s1542" type="#_x0000_t202" style="position:absolute;left:0;text-align:left;margin-left:4.5pt;margin-top:-.05pt;width:406.25pt;height:33.65pt;z-index:251823104;mso-height-percent:200;mso-height-percent:200;mso-width-relative:margin;mso-height-relative:margin" stroked="f">
            <v:textbox style="mso-next-textbox:#_x0000_s1542;mso-fit-shape-to-text:t">
              <w:txbxContent>
                <w:p w:rsidR="00B34B0F" w:rsidRPr="00FE1DF4" w:rsidRDefault="00B34B0F" w:rsidP="009C68B2">
                  <w:pPr>
                    <w:rPr>
                      <w:sz w:val="22"/>
                      <w:szCs w:val="22"/>
                    </w:rPr>
                  </w:pPr>
                  <w:r w:rsidRPr="0093570F">
                    <w:rPr>
                      <w:sz w:val="22"/>
                      <w:szCs w:val="22"/>
                    </w:rPr>
                    <w:t>Foto 6.3.1</w:t>
                  </w:r>
                  <w:r w:rsidRPr="001160B5">
                    <w:rPr>
                      <w:b/>
                      <w:sz w:val="22"/>
                      <w:szCs w:val="22"/>
                    </w:rPr>
                    <w:t xml:space="preserve">- </w:t>
                  </w:r>
                  <w:r>
                    <w:rPr>
                      <w:sz w:val="22"/>
                      <w:szCs w:val="22"/>
                    </w:rPr>
                    <w:t>Fragmento de fili</w:t>
                  </w:r>
                  <w:r w:rsidRPr="00FE1DF4">
                    <w:rPr>
                      <w:sz w:val="22"/>
                      <w:szCs w:val="22"/>
                    </w:rPr>
                    <w:t>to em forma de lágrima (ornamento?).</w:t>
                  </w:r>
                </w:p>
                <w:p w:rsidR="00B34B0F" w:rsidRDefault="00B34B0F" w:rsidP="009C68B2"/>
              </w:txbxContent>
            </v:textbox>
          </v:shape>
        </w:pict>
      </w:r>
    </w:p>
    <w:p w:rsidR="009C68B2" w:rsidRPr="00DC1F84" w:rsidRDefault="009C68B2" w:rsidP="009C68B2">
      <w:pPr>
        <w:spacing w:line="360" w:lineRule="auto"/>
        <w:ind w:firstLine="708"/>
        <w:jc w:val="both"/>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lastRenderedPageBreak/>
        <w:t>Além deste objeto, recolheu-se outra peça inusual nesta estação. Trata-se de um fragmento de quartzito de pequenas dimensões com estreitamento no segundo terço distal (</w:t>
      </w:r>
      <w:r w:rsidRPr="00DC1F84">
        <w:rPr>
          <w:sz w:val="22"/>
          <w:szCs w:val="22"/>
        </w:rPr>
        <w:t>Foto 6.3.2)</w:t>
      </w:r>
      <w:r w:rsidRPr="00DC1F84">
        <w:t>. Este estreitamento é conseguido através de levantamentos esquirolares perpendiculares ao eixo da peça. Como no caso anterior uma adscrição cronológica e funcional é arriscada embora não tenha aparecido material lítico de tipologia pertencente ao Paleolítico superior.</w:t>
      </w:r>
    </w:p>
    <w:p w:rsidR="009C68B2" w:rsidRPr="00DC1F84" w:rsidRDefault="009C68B2" w:rsidP="009C68B2">
      <w:pPr>
        <w:spacing w:line="360" w:lineRule="auto"/>
        <w:jc w:val="both"/>
      </w:pPr>
    </w:p>
    <w:p w:rsidR="009C68B2" w:rsidRPr="00DC1F84" w:rsidRDefault="009C68B2" w:rsidP="009C68B2">
      <w:pPr>
        <w:spacing w:line="360" w:lineRule="auto"/>
        <w:jc w:val="both"/>
      </w:pPr>
      <w:r>
        <w:rPr>
          <w:noProof/>
        </w:rPr>
        <w:drawing>
          <wp:inline distT="0" distB="0" distL="0" distR="0">
            <wp:extent cx="5400675" cy="3829050"/>
            <wp:effectExtent l="19050" t="0" r="9525" b="0"/>
            <wp:docPr id="420" name="Imagem 5" descr="Ornaquartz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naquartzito"/>
                    <pic:cNvPicPr>
                      <a:picLocks noChangeAspect="1" noChangeArrowheads="1"/>
                    </pic:cNvPicPr>
                  </pic:nvPicPr>
                  <pic:blipFill>
                    <a:blip r:embed="rId158" cstate="print"/>
                    <a:srcRect/>
                    <a:stretch>
                      <a:fillRect/>
                    </a:stretch>
                  </pic:blipFill>
                  <pic:spPr bwMode="auto">
                    <a:xfrm>
                      <a:off x="0" y="0"/>
                      <a:ext cx="5400675" cy="3829050"/>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pPr>
      <w:r>
        <w:rPr>
          <w:lang w:eastAsia="en-US"/>
        </w:rPr>
        <w:pict>
          <v:shape id="_x0000_s1543" type="#_x0000_t202" style="position:absolute;left:0;text-align:left;margin-left:-4.25pt;margin-top:3.8pt;width:431.45pt;height:39pt;z-index:251824128;mso-width-relative:margin;mso-height-relative:margin" stroked="f">
            <v:textbox style="mso-next-textbox:#_x0000_s1543">
              <w:txbxContent>
                <w:p w:rsidR="00B34B0F" w:rsidRPr="00FE1DF4" w:rsidRDefault="00B34B0F" w:rsidP="009C68B2">
                  <w:pPr>
                    <w:rPr>
                      <w:sz w:val="22"/>
                      <w:szCs w:val="22"/>
                    </w:rPr>
                  </w:pPr>
                  <w:r w:rsidRPr="0093570F">
                    <w:rPr>
                      <w:sz w:val="22"/>
                      <w:szCs w:val="22"/>
                    </w:rPr>
                    <w:t>Foto 6.3.2-</w:t>
                  </w:r>
                  <w:r w:rsidRPr="001160B5">
                    <w:rPr>
                      <w:b/>
                      <w:sz w:val="22"/>
                      <w:szCs w:val="22"/>
                    </w:rPr>
                    <w:t xml:space="preserve"> </w:t>
                  </w:r>
                  <w:r w:rsidRPr="00FE1DF4">
                    <w:rPr>
                      <w:sz w:val="22"/>
                      <w:szCs w:val="22"/>
                    </w:rPr>
                    <w:t xml:space="preserve">Fragmento de quartzito com estreitamento no segundo terço distal realizado com recurso a levantamentos. </w:t>
                  </w:r>
                </w:p>
                <w:p w:rsidR="00B34B0F" w:rsidRDefault="00B34B0F" w:rsidP="009C68B2"/>
              </w:txbxContent>
            </v:textbox>
          </v:shape>
        </w:pict>
      </w:r>
    </w:p>
    <w:p w:rsidR="009C68B2" w:rsidRPr="00DC1F84" w:rsidRDefault="009C68B2" w:rsidP="009C68B2">
      <w:pPr>
        <w:spacing w:line="360" w:lineRule="auto"/>
        <w:ind w:hanging="426"/>
        <w:jc w:val="both"/>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t>Finalmente a presença de ocre nesta estação parece ser atestada por alguns exemplares de fragmentos de óxidos ferruginosos. Alguns desses fragmentos apresentam estigmas que indiciam trabalho antrópico. Um fragmento parece ter sofrido desgaste na extremidade esquerda</w:t>
      </w:r>
      <w:r w:rsidRPr="00DC1F84">
        <w:rPr>
          <w:b/>
        </w:rPr>
        <w:t xml:space="preserve"> </w:t>
      </w:r>
      <w:r w:rsidRPr="00DC1F84">
        <w:t xml:space="preserve">(Foto 6.3.3, nº 1). Outro fragmento (Foto 6.3.3, nº 2) parece ter sofrido desgaste nas duas extremidades. O último exemplar aparenta indícios de aquecimento na extremidade esquerda (Foto 6.3.3, nº 3). </w:t>
      </w:r>
    </w:p>
    <w:p w:rsidR="009C68B2" w:rsidRPr="00DC1F84" w:rsidRDefault="00EA3774" w:rsidP="009C68B2">
      <w:pPr>
        <w:spacing w:line="360" w:lineRule="auto"/>
        <w:jc w:val="both"/>
      </w:pPr>
      <w:r>
        <w:lastRenderedPageBreak/>
        <w:pict>
          <v:shape id="_x0000_s1545" type="#_x0000_t202" style="position:absolute;left:0;text-align:left;margin-left:-5.4pt;margin-top:176.65pt;width:447.25pt;height:45pt;z-index:251826176;mso-width-relative:margin;mso-height-relative:margin" stroked="f">
            <v:textbox style="mso-next-textbox:#_x0000_s1545">
              <w:txbxContent>
                <w:p w:rsidR="00B34B0F" w:rsidRPr="00FE1DF4" w:rsidRDefault="00B34B0F" w:rsidP="009C68B2">
                  <w:pPr>
                    <w:jc w:val="both"/>
                    <w:rPr>
                      <w:sz w:val="22"/>
                      <w:szCs w:val="22"/>
                    </w:rPr>
                  </w:pPr>
                  <w:r w:rsidRPr="0093570F">
                    <w:rPr>
                      <w:sz w:val="22"/>
                      <w:szCs w:val="22"/>
                    </w:rPr>
                    <w:t>Foto 6.3.3-</w:t>
                  </w:r>
                  <w:r w:rsidRPr="001160B5">
                    <w:rPr>
                      <w:b/>
                      <w:sz w:val="22"/>
                      <w:szCs w:val="22"/>
                    </w:rPr>
                    <w:t xml:space="preserve"> </w:t>
                  </w:r>
                  <w:r w:rsidRPr="00FE1DF4">
                    <w:rPr>
                      <w:sz w:val="22"/>
                      <w:szCs w:val="22"/>
                    </w:rPr>
                    <w:t xml:space="preserve">Fragmentos de óxidos de ferro recolhidos na estação da Tapada do Montinho. O fragmento número 2 parece ter sofrido desgaste nas duas extremidades. O fragmento 3 aparenta indícios de aquecimento na extremidade esquerda. </w:t>
                  </w:r>
                </w:p>
                <w:p w:rsidR="00B34B0F" w:rsidRDefault="00B34B0F" w:rsidP="009C68B2"/>
              </w:txbxContent>
            </v:textbox>
          </v:shape>
        </w:pict>
      </w:r>
      <w:r w:rsidR="009C68B2">
        <w:rPr>
          <w:noProof/>
        </w:rPr>
        <w:drawing>
          <wp:inline distT="0" distB="0" distL="0" distR="0">
            <wp:extent cx="5534025" cy="2219325"/>
            <wp:effectExtent l="19050" t="0" r="9525" b="0"/>
            <wp:docPr id="421" name="Imagem 6" descr="O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cre"/>
                    <pic:cNvPicPr>
                      <a:picLocks noChangeAspect="1" noChangeArrowheads="1"/>
                    </pic:cNvPicPr>
                  </pic:nvPicPr>
                  <pic:blipFill>
                    <a:blip r:embed="rId159" cstate="print"/>
                    <a:srcRect/>
                    <a:stretch>
                      <a:fillRect/>
                    </a:stretch>
                  </pic:blipFill>
                  <pic:spPr bwMode="auto">
                    <a:xfrm>
                      <a:off x="0" y="0"/>
                      <a:ext cx="5534025" cy="2219325"/>
                    </a:xfrm>
                    <a:prstGeom prst="rect">
                      <a:avLst/>
                    </a:prstGeom>
                    <a:noFill/>
                    <a:ln w="9525">
                      <a:noFill/>
                      <a:miter lim="800000"/>
                      <a:headEnd/>
                      <a:tailEnd/>
                    </a:ln>
                  </pic:spPr>
                </pic:pic>
              </a:graphicData>
            </a:graphic>
          </wp:inline>
        </w:drawing>
      </w:r>
    </w:p>
    <w:p w:rsidR="009C68B2" w:rsidRPr="00DC1F84" w:rsidRDefault="009C68B2" w:rsidP="009C68B2">
      <w:pPr>
        <w:spacing w:line="360" w:lineRule="auto"/>
        <w:ind w:hanging="426"/>
        <w:jc w:val="both"/>
      </w:pPr>
    </w:p>
    <w:p w:rsidR="009C68B2" w:rsidRPr="00DC1F84" w:rsidRDefault="009C68B2" w:rsidP="009C68B2">
      <w:pPr>
        <w:spacing w:line="360" w:lineRule="auto"/>
        <w:jc w:val="both"/>
        <w:rPr>
          <w:b/>
          <w:u w:val="single"/>
        </w:rPr>
      </w:pPr>
    </w:p>
    <w:p w:rsidR="009C68B2" w:rsidRPr="00DC1F84" w:rsidRDefault="009C68B2" w:rsidP="009C68B2">
      <w:pPr>
        <w:spacing w:line="360" w:lineRule="auto"/>
        <w:jc w:val="both"/>
        <w:rPr>
          <w:b/>
          <w:u w:val="single"/>
        </w:rPr>
      </w:pPr>
    </w:p>
    <w:p w:rsidR="009C68B2" w:rsidRPr="00DC1F84" w:rsidRDefault="009C68B2" w:rsidP="009C68B2">
      <w:pPr>
        <w:spacing w:line="360" w:lineRule="auto"/>
        <w:jc w:val="both"/>
        <w:rPr>
          <w:b/>
          <w:u w:val="single"/>
        </w:rPr>
      </w:pPr>
    </w:p>
    <w:p w:rsidR="009C68B2" w:rsidRPr="00DC1F84" w:rsidRDefault="009C68B2" w:rsidP="009C68B2">
      <w:pPr>
        <w:pStyle w:val="Avanodecorpodetexto"/>
        <w:spacing w:after="0" w:line="360" w:lineRule="auto"/>
        <w:ind w:left="0"/>
        <w:jc w:val="both"/>
        <w:rPr>
          <w:b/>
        </w:rPr>
      </w:pPr>
      <w:r w:rsidRPr="00DC1F84">
        <w:rPr>
          <w:b/>
        </w:rPr>
        <w:t>6.3.4. Indústria lítica</w:t>
      </w:r>
    </w:p>
    <w:p w:rsidR="009C68B2" w:rsidRPr="00DC1F84" w:rsidRDefault="009C68B2" w:rsidP="009C68B2">
      <w:pPr>
        <w:pStyle w:val="Avanodecorpodetexto"/>
        <w:spacing w:after="0" w:line="360" w:lineRule="auto"/>
        <w:ind w:left="0"/>
        <w:jc w:val="both"/>
        <w:rPr>
          <w:b/>
        </w:rPr>
      </w:pPr>
    </w:p>
    <w:p w:rsidR="009C68B2" w:rsidRPr="00DC1F84" w:rsidRDefault="009C68B2" w:rsidP="009C68B2">
      <w:pPr>
        <w:pStyle w:val="Avanodecorpodetexto"/>
        <w:spacing w:after="0" w:line="360" w:lineRule="auto"/>
        <w:ind w:left="0" w:firstLine="708"/>
        <w:jc w:val="both"/>
      </w:pPr>
      <w:r w:rsidRPr="00DC1F84">
        <w:t xml:space="preserve">A escavação da </w:t>
      </w:r>
      <w:r>
        <w:t>T</w:t>
      </w:r>
      <w:r w:rsidRPr="00DC1F84">
        <w:t xml:space="preserve">apada do Montinho resultou na exumação de um total de 678 peças. Desse conjunto realizou-se uma triagem, seleccionando as peças que mais dados poderiam trazer para uma melhor compreensão dos processos de produção da utensilagem lítica. Foram excluídos restos de talhe que, devido </w:t>
      </w:r>
      <w:r>
        <w:t>à</w:t>
      </w:r>
      <w:r w:rsidRPr="00DC1F84">
        <w:t>s suas característica</w:t>
      </w:r>
      <w:r>
        <w:t>s morfológicas, não permitiam o</w:t>
      </w:r>
      <w:r w:rsidRPr="00DC1F84">
        <w:t xml:space="preserve"> enquadramento numa cadeia operativa bem definida. Como resultado desse processo foi possível estabelecer uma razão entre o número de peças recolhidas e o número de peças estudadas e que se apresenta no seguinte quadro:</w:t>
      </w:r>
    </w:p>
    <w:p w:rsidR="009C68B2" w:rsidRPr="00DC1F84" w:rsidRDefault="009C68B2" w:rsidP="009C68B2">
      <w:pPr>
        <w:pStyle w:val="Avanodecorpodetexto"/>
        <w:spacing w:line="360" w:lineRule="auto"/>
        <w:ind w:left="0" w:firstLine="708"/>
        <w:jc w:val="both"/>
      </w:pPr>
    </w:p>
    <w:tbl>
      <w:tblPr>
        <w:tblStyle w:val="SombreadoClaro-Cor5"/>
        <w:tblW w:w="8674" w:type="dxa"/>
        <w:tblInd w:w="108" w:type="dxa"/>
        <w:tblLook w:val="04A0"/>
      </w:tblPr>
      <w:tblGrid>
        <w:gridCol w:w="2296"/>
        <w:gridCol w:w="2309"/>
        <w:gridCol w:w="2341"/>
        <w:gridCol w:w="1728"/>
      </w:tblGrid>
      <w:tr w:rsidR="009C68B2" w:rsidRPr="00DC1F84" w:rsidTr="00632F9C">
        <w:trPr>
          <w:cnfStyle w:val="1000000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Quadrado</w:t>
            </w:r>
          </w:p>
        </w:tc>
        <w:tc>
          <w:tcPr>
            <w:tcW w:w="2309" w:type="dxa"/>
          </w:tcPr>
          <w:p w:rsidR="009C68B2" w:rsidRPr="00A34F84" w:rsidRDefault="009C68B2" w:rsidP="00632F9C">
            <w:pPr>
              <w:pStyle w:val="Avanodecorpodetexto"/>
              <w:spacing w:line="360" w:lineRule="auto"/>
              <w:ind w:left="0"/>
              <w:jc w:val="both"/>
              <w:cnfStyle w:val="100000000000"/>
              <w:rPr>
                <w:color w:val="auto"/>
              </w:rPr>
            </w:pPr>
            <w:r w:rsidRPr="00A34F84">
              <w:rPr>
                <w:color w:val="auto"/>
              </w:rPr>
              <w:t>Número de registos</w:t>
            </w:r>
          </w:p>
        </w:tc>
        <w:tc>
          <w:tcPr>
            <w:tcW w:w="2341" w:type="dxa"/>
          </w:tcPr>
          <w:p w:rsidR="009C68B2" w:rsidRPr="00A34F84" w:rsidRDefault="009C68B2" w:rsidP="00632F9C">
            <w:pPr>
              <w:pStyle w:val="Avanodecorpodetexto"/>
              <w:spacing w:line="360" w:lineRule="auto"/>
              <w:ind w:left="0"/>
              <w:jc w:val="both"/>
              <w:cnfStyle w:val="100000000000"/>
              <w:rPr>
                <w:color w:val="auto"/>
              </w:rPr>
            </w:pPr>
            <w:r>
              <w:rPr>
                <w:color w:val="auto"/>
              </w:rPr>
              <w:t>N.</w:t>
            </w:r>
            <w:proofErr w:type="gramStart"/>
            <w:r>
              <w:rPr>
                <w:color w:val="auto"/>
              </w:rPr>
              <w:t xml:space="preserve">º  </w:t>
            </w:r>
            <w:r w:rsidRPr="00A34F84">
              <w:rPr>
                <w:color w:val="auto"/>
              </w:rPr>
              <w:t>peças</w:t>
            </w:r>
            <w:proofErr w:type="gramEnd"/>
            <w:r w:rsidRPr="00A34F84">
              <w:rPr>
                <w:color w:val="auto"/>
              </w:rPr>
              <w:t xml:space="preserve"> estudad</w:t>
            </w:r>
            <w:r>
              <w:rPr>
                <w:color w:val="auto"/>
              </w:rPr>
              <w:t>as</w:t>
            </w:r>
          </w:p>
          <w:p w:rsidR="009C68B2" w:rsidRPr="00A34F84" w:rsidRDefault="009C68B2" w:rsidP="00632F9C">
            <w:pPr>
              <w:pStyle w:val="Avanodecorpodetexto"/>
              <w:spacing w:line="360" w:lineRule="auto"/>
              <w:ind w:left="0"/>
              <w:jc w:val="both"/>
              <w:cnfStyle w:val="100000000000"/>
              <w:rPr>
                <w:color w:val="auto"/>
              </w:rPr>
            </w:pPr>
            <w:r w:rsidRPr="00A34F84">
              <w:rPr>
                <w:color w:val="auto"/>
              </w:rPr>
              <w:t>(peças patinadas)</w:t>
            </w:r>
          </w:p>
        </w:tc>
        <w:tc>
          <w:tcPr>
            <w:tcW w:w="1728" w:type="dxa"/>
          </w:tcPr>
          <w:p w:rsidR="009C68B2" w:rsidRPr="00A34F84" w:rsidRDefault="009C68B2" w:rsidP="00632F9C">
            <w:pPr>
              <w:pStyle w:val="Avanodecorpodetexto"/>
              <w:spacing w:line="360" w:lineRule="auto"/>
              <w:ind w:left="0"/>
              <w:jc w:val="both"/>
              <w:cnfStyle w:val="100000000000"/>
              <w:rPr>
                <w:color w:val="auto"/>
              </w:rPr>
            </w:pPr>
            <w:r w:rsidRPr="00A34F84">
              <w:rPr>
                <w:color w:val="auto"/>
              </w:rPr>
              <w:t>%</w:t>
            </w:r>
          </w:p>
        </w:tc>
      </w:tr>
      <w:tr w:rsidR="009C68B2" w:rsidRPr="00DC1F84" w:rsidTr="00632F9C">
        <w:trPr>
          <w:cnfStyle w:val="0000001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K40</w:t>
            </w:r>
          </w:p>
        </w:tc>
        <w:tc>
          <w:tcPr>
            <w:tcW w:w="2309"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79</w:t>
            </w:r>
          </w:p>
        </w:tc>
        <w:tc>
          <w:tcPr>
            <w:tcW w:w="2341"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30 + (5)</w:t>
            </w:r>
          </w:p>
        </w:tc>
        <w:tc>
          <w:tcPr>
            <w:tcW w:w="1728"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44,30</w:t>
            </w:r>
          </w:p>
        </w:tc>
      </w:tr>
      <w:tr w:rsidR="009C68B2" w:rsidRPr="00DC1F84" w:rsidTr="00632F9C">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L40</w:t>
            </w:r>
          </w:p>
        </w:tc>
        <w:tc>
          <w:tcPr>
            <w:tcW w:w="2309"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146</w:t>
            </w:r>
          </w:p>
        </w:tc>
        <w:tc>
          <w:tcPr>
            <w:tcW w:w="2341"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65+ (11)</w:t>
            </w:r>
          </w:p>
        </w:tc>
        <w:tc>
          <w:tcPr>
            <w:tcW w:w="1728"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52,05</w:t>
            </w:r>
          </w:p>
        </w:tc>
      </w:tr>
      <w:tr w:rsidR="009C68B2" w:rsidRPr="00DC1F84" w:rsidTr="00632F9C">
        <w:trPr>
          <w:cnfStyle w:val="0000001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M40</w:t>
            </w:r>
          </w:p>
        </w:tc>
        <w:tc>
          <w:tcPr>
            <w:tcW w:w="2309"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80</w:t>
            </w:r>
          </w:p>
        </w:tc>
        <w:tc>
          <w:tcPr>
            <w:tcW w:w="2341"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46+(5)</w:t>
            </w:r>
          </w:p>
        </w:tc>
        <w:tc>
          <w:tcPr>
            <w:tcW w:w="1728"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63,75</w:t>
            </w:r>
          </w:p>
        </w:tc>
      </w:tr>
      <w:tr w:rsidR="009C68B2" w:rsidRPr="00DC1F84" w:rsidTr="00632F9C">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N40</w:t>
            </w:r>
          </w:p>
        </w:tc>
        <w:tc>
          <w:tcPr>
            <w:tcW w:w="2309"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127</w:t>
            </w:r>
          </w:p>
        </w:tc>
        <w:tc>
          <w:tcPr>
            <w:tcW w:w="2341"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41+(0)</w:t>
            </w:r>
          </w:p>
        </w:tc>
        <w:tc>
          <w:tcPr>
            <w:tcW w:w="1728"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32,28</w:t>
            </w:r>
          </w:p>
        </w:tc>
      </w:tr>
      <w:tr w:rsidR="009C68B2" w:rsidRPr="00DC1F84" w:rsidTr="00632F9C">
        <w:trPr>
          <w:cnfStyle w:val="0000001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040</w:t>
            </w:r>
          </w:p>
        </w:tc>
        <w:tc>
          <w:tcPr>
            <w:tcW w:w="2309"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84</w:t>
            </w:r>
          </w:p>
        </w:tc>
        <w:tc>
          <w:tcPr>
            <w:tcW w:w="2341"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40+(5)</w:t>
            </w:r>
          </w:p>
        </w:tc>
        <w:tc>
          <w:tcPr>
            <w:tcW w:w="1728"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53,57</w:t>
            </w:r>
          </w:p>
        </w:tc>
      </w:tr>
      <w:tr w:rsidR="009C68B2" w:rsidRPr="00DC1F84" w:rsidTr="00632F9C">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M41</w:t>
            </w:r>
          </w:p>
        </w:tc>
        <w:tc>
          <w:tcPr>
            <w:tcW w:w="2309"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37</w:t>
            </w:r>
          </w:p>
        </w:tc>
        <w:tc>
          <w:tcPr>
            <w:tcW w:w="2341"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27+(9)</w:t>
            </w:r>
          </w:p>
        </w:tc>
        <w:tc>
          <w:tcPr>
            <w:tcW w:w="1728"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97,29</w:t>
            </w:r>
          </w:p>
        </w:tc>
      </w:tr>
      <w:tr w:rsidR="009C68B2" w:rsidRPr="00DC1F84" w:rsidTr="00632F9C">
        <w:trPr>
          <w:cnfStyle w:val="0000001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lastRenderedPageBreak/>
              <w:t>O41</w:t>
            </w:r>
          </w:p>
        </w:tc>
        <w:tc>
          <w:tcPr>
            <w:tcW w:w="2309"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75</w:t>
            </w:r>
          </w:p>
        </w:tc>
        <w:tc>
          <w:tcPr>
            <w:tcW w:w="2341"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29+(4)</w:t>
            </w:r>
          </w:p>
        </w:tc>
        <w:tc>
          <w:tcPr>
            <w:tcW w:w="1728"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44</w:t>
            </w:r>
          </w:p>
        </w:tc>
      </w:tr>
      <w:tr w:rsidR="009C68B2" w:rsidRPr="00DC1F84" w:rsidTr="00632F9C">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N37</w:t>
            </w:r>
          </w:p>
        </w:tc>
        <w:tc>
          <w:tcPr>
            <w:tcW w:w="2309"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50</w:t>
            </w:r>
          </w:p>
        </w:tc>
        <w:tc>
          <w:tcPr>
            <w:tcW w:w="2341"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37+(2)</w:t>
            </w:r>
          </w:p>
        </w:tc>
        <w:tc>
          <w:tcPr>
            <w:tcW w:w="1728" w:type="dxa"/>
          </w:tcPr>
          <w:p w:rsidR="009C68B2" w:rsidRPr="00A34F84" w:rsidRDefault="009C68B2" w:rsidP="00632F9C">
            <w:pPr>
              <w:pStyle w:val="Avanodecorpodetexto"/>
              <w:spacing w:line="360" w:lineRule="auto"/>
              <w:ind w:left="0"/>
              <w:jc w:val="both"/>
              <w:cnfStyle w:val="000000000000"/>
              <w:rPr>
                <w:color w:val="auto"/>
              </w:rPr>
            </w:pPr>
            <w:r w:rsidRPr="00A34F84">
              <w:rPr>
                <w:color w:val="auto"/>
              </w:rPr>
              <w:t>78</w:t>
            </w:r>
          </w:p>
        </w:tc>
      </w:tr>
      <w:tr w:rsidR="009C68B2" w:rsidRPr="00DC1F84" w:rsidTr="00632F9C">
        <w:trPr>
          <w:cnfStyle w:val="000000100000"/>
        </w:trPr>
        <w:tc>
          <w:tcPr>
            <w:cnfStyle w:val="001000000000"/>
            <w:tcW w:w="2296" w:type="dxa"/>
          </w:tcPr>
          <w:p w:rsidR="009C68B2" w:rsidRPr="00A34F84" w:rsidRDefault="009C68B2" w:rsidP="00632F9C">
            <w:pPr>
              <w:pStyle w:val="Avanodecorpodetexto"/>
              <w:spacing w:line="360" w:lineRule="auto"/>
              <w:ind w:left="0"/>
              <w:jc w:val="both"/>
              <w:rPr>
                <w:color w:val="auto"/>
              </w:rPr>
            </w:pPr>
            <w:r w:rsidRPr="00A34F84">
              <w:rPr>
                <w:color w:val="auto"/>
              </w:rPr>
              <w:t>Total</w:t>
            </w:r>
          </w:p>
        </w:tc>
        <w:tc>
          <w:tcPr>
            <w:tcW w:w="2309"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678</w:t>
            </w:r>
          </w:p>
        </w:tc>
        <w:tc>
          <w:tcPr>
            <w:tcW w:w="2341"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315+(41) = 356</w:t>
            </w:r>
          </w:p>
        </w:tc>
        <w:tc>
          <w:tcPr>
            <w:tcW w:w="1728" w:type="dxa"/>
          </w:tcPr>
          <w:p w:rsidR="009C68B2" w:rsidRPr="00A34F84" w:rsidRDefault="009C68B2" w:rsidP="00632F9C">
            <w:pPr>
              <w:pStyle w:val="Avanodecorpodetexto"/>
              <w:spacing w:line="360" w:lineRule="auto"/>
              <w:ind w:left="0"/>
              <w:jc w:val="both"/>
              <w:cnfStyle w:val="000000100000"/>
              <w:rPr>
                <w:color w:val="auto"/>
              </w:rPr>
            </w:pPr>
            <w:r w:rsidRPr="00A34F84">
              <w:rPr>
                <w:color w:val="auto"/>
              </w:rPr>
              <w:t>52,5</w:t>
            </w:r>
          </w:p>
        </w:tc>
      </w:tr>
    </w:tbl>
    <w:p w:rsidR="009C68B2" w:rsidRPr="00DC1F84" w:rsidRDefault="00EA3774" w:rsidP="009C68B2">
      <w:pPr>
        <w:pStyle w:val="Avanodecorpodetexto"/>
        <w:spacing w:line="360" w:lineRule="auto"/>
        <w:ind w:left="0" w:firstLine="708"/>
        <w:jc w:val="both"/>
      </w:pPr>
      <w:r>
        <w:rPr>
          <w:lang w:eastAsia="en-US"/>
        </w:rPr>
        <w:pict>
          <v:shape id="_x0000_s1540" type="#_x0000_t202" style="position:absolute;left:0;text-align:left;margin-left:-6.8pt;margin-top:6.05pt;width:438.5pt;height:21pt;z-index:251821056;mso-height-percent:200;mso-position-horizontal-relative:text;mso-position-vertical-relative:text;mso-height-percent:200;mso-width-relative:margin;mso-height-relative:margin" stroked="f">
            <v:textbox style="mso-next-textbox:#_x0000_s1540;mso-fit-shape-to-text:t">
              <w:txbxContent>
                <w:p w:rsidR="00B34B0F" w:rsidRPr="0093570F" w:rsidRDefault="00B34B0F" w:rsidP="009C68B2">
                  <w:r w:rsidRPr="0093570F">
                    <w:t>Tabela 6.3.1- Número de registos por quadrado e número de peças estudadas.</w:t>
                  </w:r>
                </w:p>
              </w:txbxContent>
            </v:textbox>
          </v:shape>
        </w:pict>
      </w:r>
    </w:p>
    <w:p w:rsidR="009C68B2" w:rsidRPr="00DC1F84" w:rsidRDefault="009C68B2" w:rsidP="009C68B2">
      <w:pPr>
        <w:pStyle w:val="Avanodecorpodetexto"/>
        <w:spacing w:line="360" w:lineRule="auto"/>
        <w:ind w:left="0" w:firstLine="708"/>
        <w:jc w:val="both"/>
      </w:pPr>
    </w:p>
    <w:p w:rsidR="009C68B2" w:rsidRPr="00DC1F84" w:rsidRDefault="009C68B2" w:rsidP="009C68B2">
      <w:pPr>
        <w:pStyle w:val="Avanodecorpodetexto"/>
        <w:spacing w:line="360" w:lineRule="auto"/>
        <w:ind w:left="0" w:firstLine="708"/>
        <w:jc w:val="both"/>
      </w:pPr>
      <w:r w:rsidRPr="00DC1F84">
        <w:t>A observação macroscópica de toda a colecção permitiu verificar</w:t>
      </w:r>
      <w:r>
        <w:t>,</w:t>
      </w:r>
      <w:r w:rsidRPr="00DC1F84">
        <w:t xml:space="preserve"> logo no início</w:t>
      </w:r>
      <w:r>
        <w:t>,</w:t>
      </w:r>
      <w:r w:rsidRPr="00DC1F84">
        <w:t xml:space="preserve"> a existência de um diferente grau de </w:t>
      </w:r>
      <w:proofErr w:type="gramStart"/>
      <w:r>
        <w:t>pa</w:t>
      </w:r>
      <w:r w:rsidRPr="00DC1F84">
        <w:t>tina</w:t>
      </w:r>
      <w:proofErr w:type="gramEnd"/>
      <w:r w:rsidRPr="00DC1F84">
        <w:t xml:space="preserve"> entre as peças analisadas. Algum do material (n=41, 12%) apresentava-se patinado enquanto a maior parte da colecção (n=315, 88%) estava num estado que se pode considerar fresco. </w: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b/>
          <w:u w:val="single"/>
        </w:rPr>
      </w:pPr>
    </w:p>
    <w:p w:rsidR="009C68B2" w:rsidRPr="00DC1F84" w:rsidRDefault="009C68B2" w:rsidP="009C68B2">
      <w:pPr>
        <w:spacing w:line="360" w:lineRule="auto"/>
        <w:jc w:val="both"/>
        <w:rPr>
          <w:b/>
        </w:rPr>
      </w:pPr>
      <w:r w:rsidRPr="00DC1F84">
        <w:rPr>
          <w:b/>
        </w:rPr>
        <w:t xml:space="preserve">6.3.4.1- </w:t>
      </w:r>
      <w:r w:rsidRPr="00DC1F84">
        <w:t>Série Patinada.</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6.3.4.1.1- Matéria-prima.</w:t>
      </w:r>
    </w:p>
    <w:p w:rsidR="009C68B2" w:rsidRPr="00DC1F84" w:rsidRDefault="009C68B2" w:rsidP="009C68B2">
      <w:pPr>
        <w:spacing w:line="360" w:lineRule="auto"/>
        <w:jc w:val="both"/>
      </w:pPr>
      <w:r w:rsidRPr="00DC1F84">
        <w:tab/>
      </w:r>
    </w:p>
    <w:p w:rsidR="009C68B2" w:rsidRPr="00DC1F84" w:rsidRDefault="009C68B2" w:rsidP="009C68B2">
      <w:pPr>
        <w:spacing w:line="360" w:lineRule="auto"/>
        <w:ind w:firstLine="708"/>
        <w:jc w:val="both"/>
        <w:rPr>
          <w:color w:val="000000"/>
        </w:rPr>
      </w:pPr>
      <w:r w:rsidRPr="00DC1F84">
        <w:t xml:space="preserve">No que a matéria-prima diz respeito, </w:t>
      </w:r>
      <w:r>
        <w:t>regista-se que</w:t>
      </w:r>
      <w:r w:rsidRPr="00DC1F84">
        <w:t xml:space="preserve"> </w:t>
      </w:r>
      <w:r w:rsidRPr="00DC1F84">
        <w:rPr>
          <w:color w:val="000000"/>
        </w:rPr>
        <w:t>a matéria-prima utilizada para a elaboração da série patinada foi exclusivamente o quartzito (</w:t>
      </w:r>
      <w:r w:rsidRPr="00DC1F84">
        <w:rPr>
          <w:sz w:val="22"/>
          <w:szCs w:val="22"/>
        </w:rPr>
        <w:t>Gráfico 6.3.1)</w:t>
      </w:r>
      <w:r w:rsidRPr="00DC1F84">
        <w:rPr>
          <w:color w:val="000000"/>
        </w:rPr>
        <w:t>.</w:t>
      </w:r>
    </w:p>
    <w:p w:rsidR="009C68B2" w:rsidRPr="00DC1F84" w:rsidRDefault="009C68B2" w:rsidP="009C68B2">
      <w:pPr>
        <w:autoSpaceDE w:val="0"/>
        <w:autoSpaceDN w:val="0"/>
        <w:adjustRightInd w:val="0"/>
        <w:spacing w:line="360" w:lineRule="auto"/>
        <w:jc w:val="both"/>
      </w:pPr>
      <w:r w:rsidRPr="00DC1F84">
        <w:tab/>
        <w:t xml:space="preserve">Embora a totalidade da matéria-prima utilizada na série patinada </w:t>
      </w:r>
      <w:r>
        <w:t>seja</w:t>
      </w:r>
      <w:r w:rsidRPr="00DC1F84">
        <w:t xml:space="preserve"> em quartzito, apenas 74% desse quartzito é proveniente das cristas que dominam geograficamente esta área. Os restantes 29 % são constituídos por quartzito de outras origens. </w:t>
      </w:r>
    </w:p>
    <w:p w:rsidR="009C68B2" w:rsidRPr="00DC1F84" w:rsidRDefault="00EA3774" w:rsidP="009C68B2">
      <w:pPr>
        <w:autoSpaceDE w:val="0"/>
        <w:autoSpaceDN w:val="0"/>
        <w:adjustRightInd w:val="0"/>
        <w:spacing w:line="360" w:lineRule="auto"/>
        <w:jc w:val="center"/>
      </w:pPr>
      <w:r w:rsidRPr="00EA3774">
        <w:rPr>
          <w:color w:val="FF0000"/>
          <w:lang w:eastAsia="en-US"/>
        </w:rPr>
        <w:pict>
          <v:shape id="_x0000_s1539" type="#_x0000_t202" style="position:absolute;left:0;text-align:left;margin-left:32.7pt;margin-top:193.75pt;width:361.1pt;height:37pt;z-index:251820032;mso-width-relative:margin;mso-height-relative:margin" stroked="f">
            <v:textbox style="mso-next-textbox:#_x0000_s1539">
              <w:txbxContent>
                <w:p w:rsidR="00B34B0F" w:rsidRPr="006268D8" w:rsidRDefault="00B34B0F" w:rsidP="009C68B2">
                  <w:pPr>
                    <w:jc w:val="both"/>
                    <w:rPr>
                      <w:sz w:val="22"/>
                      <w:szCs w:val="22"/>
                    </w:rPr>
                  </w:pPr>
                  <w:r w:rsidRPr="006268D8">
                    <w:rPr>
                      <w:sz w:val="22"/>
                      <w:szCs w:val="22"/>
                    </w:rPr>
                    <w:t>Gráfico 6.3.1- Origem da matéria-prima registada na serie patinada da Tapada do Montinho</w:t>
                  </w:r>
                  <w:r>
                    <w:rPr>
                      <w:sz w:val="22"/>
                      <w:szCs w:val="22"/>
                    </w:rPr>
                    <w:t>.</w:t>
                  </w:r>
                </w:p>
                <w:p w:rsidR="00B34B0F" w:rsidRDefault="00B34B0F" w:rsidP="009C68B2"/>
              </w:txbxContent>
            </v:textbox>
          </v:shape>
        </w:pict>
      </w:r>
      <w:r w:rsidR="009C68B2">
        <w:rPr>
          <w:noProof/>
        </w:rPr>
        <w:drawing>
          <wp:inline distT="0" distB="0" distL="0" distR="0">
            <wp:extent cx="4838700" cy="2733675"/>
            <wp:effectExtent l="0" t="0" r="0" b="0"/>
            <wp:docPr id="422" name="Objec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9C68B2" w:rsidRPr="00DC1F84" w:rsidRDefault="009C68B2" w:rsidP="009C68B2">
      <w:pPr>
        <w:autoSpaceDE w:val="0"/>
        <w:autoSpaceDN w:val="0"/>
        <w:adjustRightInd w:val="0"/>
        <w:spacing w:line="360" w:lineRule="auto"/>
        <w:jc w:val="both"/>
      </w:pPr>
      <w:r w:rsidRPr="00DC1F84">
        <w:lastRenderedPageBreak/>
        <w:t xml:space="preserve"> </w:t>
      </w:r>
      <w:r w:rsidRPr="00DC1F84">
        <w:tab/>
        <w:t>Em termos de suporte, foi impossível identificar o suporte utilizado na indústria patinada da Tapada do Montinho em 41% dos casos (</w:t>
      </w:r>
      <w:r w:rsidRPr="00DC1F84">
        <w:rPr>
          <w:sz w:val="22"/>
          <w:szCs w:val="22"/>
        </w:rPr>
        <w:t>Gráfico 6.3.2)</w:t>
      </w:r>
      <w:r w:rsidRPr="00DC1F84">
        <w:t xml:space="preserve">. Essa indefinição tem a ver com o facto de esta indústria ser constituída por utensílios, numa fase final da cadeia operativa. O número de peças onde ainda é visível córtex é, por essa razão, menor. Mesmo assim, verifica-se que recorreu-se mais a seixos do que </w:t>
      </w:r>
      <w:r>
        <w:t xml:space="preserve">a </w:t>
      </w:r>
      <w:r w:rsidRPr="00DC1F84">
        <w:t xml:space="preserve">placas quando se procurou matéria-prima para a elaboração de utensílios. </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pPr>
      <w:r>
        <w:rPr>
          <w:lang w:eastAsia="en-US"/>
        </w:rPr>
        <w:pict>
          <v:shape id="_x0000_s1494" type="#_x0000_t202" style="position:absolute;left:0;text-align:left;margin-left:28pt;margin-top:199.75pt;width:369.5pt;height:46.3pt;z-index:251773952;mso-height-percent:200;mso-height-percent:200;mso-width-relative:margin;mso-height-relative:margin" stroked="f">
            <v:textbox style="mso-next-textbox:#_x0000_s1494;mso-fit-shape-to-text:t">
              <w:txbxContent>
                <w:p w:rsidR="00B34B0F" w:rsidRPr="006268D8" w:rsidRDefault="00B34B0F" w:rsidP="009C68B2">
                  <w:pPr>
                    <w:jc w:val="both"/>
                    <w:rPr>
                      <w:sz w:val="22"/>
                      <w:szCs w:val="22"/>
                    </w:rPr>
                  </w:pPr>
                  <w:r w:rsidRPr="006268D8">
                    <w:rPr>
                      <w:sz w:val="22"/>
                      <w:szCs w:val="22"/>
                    </w:rPr>
                    <w:t xml:space="preserve">Gráfico 6.3.2- Suporte </w:t>
                  </w:r>
                  <w:r>
                    <w:rPr>
                      <w:sz w:val="22"/>
                      <w:szCs w:val="22"/>
                    </w:rPr>
                    <w:t>da matéria-prima registada na sé</w:t>
                  </w:r>
                  <w:r w:rsidRPr="006268D8">
                    <w:rPr>
                      <w:sz w:val="22"/>
                      <w:szCs w:val="22"/>
                    </w:rPr>
                    <w:t>rie patinada da Tapada do Montinho</w:t>
                  </w:r>
                  <w:r>
                    <w:rPr>
                      <w:sz w:val="22"/>
                      <w:szCs w:val="22"/>
                    </w:rPr>
                    <w:t>.</w:t>
                  </w:r>
                </w:p>
                <w:p w:rsidR="00B34B0F" w:rsidRDefault="00B34B0F" w:rsidP="009C68B2"/>
              </w:txbxContent>
            </v:textbox>
          </v:shape>
        </w:pict>
      </w:r>
      <w:r w:rsidR="009C68B2">
        <w:rPr>
          <w:noProof/>
        </w:rPr>
        <w:drawing>
          <wp:inline distT="0" distB="0" distL="0" distR="0">
            <wp:extent cx="4581525" cy="2590800"/>
            <wp:effectExtent l="0" t="0" r="0" b="0"/>
            <wp:docPr id="423" name="Objec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6.3.4.1.2- Percutor</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 xml:space="preserve">Quanto ao percutor utilizado nesta colecção, a observação dos estigmas de talhe indicia uma utilização a 100% de percutor mineral. </w:t>
      </w:r>
    </w:p>
    <w:p w:rsidR="009C68B2" w:rsidRPr="00DC1F84" w:rsidRDefault="009C68B2" w:rsidP="009C68B2">
      <w:pPr>
        <w:autoSpaceDE w:val="0"/>
        <w:autoSpaceDN w:val="0"/>
        <w:adjustRightInd w:val="0"/>
        <w:spacing w:line="360" w:lineRule="auto"/>
        <w:jc w:val="both"/>
        <w:rPr>
          <w:b/>
        </w:rPr>
      </w:pPr>
    </w:p>
    <w:p w:rsidR="009C68B2" w:rsidRPr="00DC1F84" w:rsidRDefault="009C68B2" w:rsidP="009C68B2">
      <w:pPr>
        <w:autoSpaceDE w:val="0"/>
        <w:autoSpaceDN w:val="0"/>
        <w:adjustRightInd w:val="0"/>
        <w:spacing w:line="360" w:lineRule="auto"/>
        <w:jc w:val="both"/>
        <w:rPr>
          <w:b/>
        </w:rPr>
      </w:pPr>
    </w:p>
    <w:p w:rsidR="009C68B2" w:rsidRPr="00DC1F84" w:rsidRDefault="009C68B2" w:rsidP="009C68B2">
      <w:pPr>
        <w:autoSpaceDE w:val="0"/>
        <w:autoSpaceDN w:val="0"/>
        <w:adjustRightInd w:val="0"/>
        <w:spacing w:line="360" w:lineRule="auto"/>
        <w:jc w:val="both"/>
      </w:pPr>
      <w:r w:rsidRPr="00DC1F84">
        <w:t>6.3.4.1.3- Caracterização morfológica da indústria</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6.3.4.1.3.1- Lascas</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 xml:space="preserve">Em relação às lascas recolhidas na escavação da Tapada do Montinho e que apresentaram patina, verifica-se que, embora </w:t>
      </w:r>
      <w:r>
        <w:t>possuem</w:t>
      </w:r>
      <w:r w:rsidRPr="00DC1F84">
        <w:t xml:space="preserve"> uma relação entre o comprimento e a largura constante, existe uma dispersão dos artefactos no gráfico</w:t>
      </w:r>
      <w:r w:rsidRPr="00DC1F84">
        <w:rPr>
          <w:sz w:val="22"/>
          <w:szCs w:val="22"/>
        </w:rPr>
        <w:t xml:space="preserve"> (Gráfico 6.3.3)</w:t>
      </w:r>
      <w:r w:rsidRPr="00DC1F84">
        <w:t xml:space="preserve">. Não </w:t>
      </w:r>
      <w:r w:rsidRPr="00DC1F84">
        <w:lastRenderedPageBreak/>
        <w:t>se identifica qualquer concentração que defina alguma tendência para dimensões preferidas neste conjunto.</w:t>
      </w:r>
    </w:p>
    <w:p w:rsidR="009C68B2" w:rsidRPr="00DC1F84" w:rsidRDefault="009C68B2" w:rsidP="009C68B2">
      <w:pPr>
        <w:autoSpaceDE w:val="0"/>
        <w:autoSpaceDN w:val="0"/>
        <w:adjustRightInd w:val="0"/>
        <w:spacing w:line="360" w:lineRule="auto"/>
        <w:ind w:firstLine="708"/>
        <w:jc w:val="both"/>
      </w:pPr>
    </w:p>
    <w:p w:rsidR="009C68B2" w:rsidRPr="00DC1F84" w:rsidRDefault="009C68B2" w:rsidP="009C68B2">
      <w:pPr>
        <w:autoSpaceDE w:val="0"/>
        <w:autoSpaceDN w:val="0"/>
        <w:adjustRightInd w:val="0"/>
        <w:spacing w:line="360" w:lineRule="auto"/>
        <w:ind w:firstLine="708"/>
        <w:jc w:val="center"/>
      </w:pPr>
      <w:r>
        <w:rPr>
          <w:noProof/>
        </w:rPr>
        <w:drawing>
          <wp:inline distT="0" distB="0" distL="0" distR="0">
            <wp:extent cx="4581525" cy="2590800"/>
            <wp:effectExtent l="0" t="0" r="0" b="0"/>
            <wp:docPr id="424" name="Objec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9C68B2" w:rsidRPr="00DC1F84" w:rsidRDefault="00EA3774" w:rsidP="009C68B2">
      <w:pPr>
        <w:autoSpaceDE w:val="0"/>
        <w:autoSpaceDN w:val="0"/>
        <w:adjustRightInd w:val="0"/>
        <w:spacing w:line="360" w:lineRule="auto"/>
        <w:jc w:val="both"/>
      </w:pPr>
      <w:r>
        <w:rPr>
          <w:lang w:eastAsia="en-US"/>
        </w:rPr>
        <w:pict>
          <v:shape id="_x0000_s1495" type="#_x0000_t202" style="position:absolute;left:0;text-align:left;margin-left:0;margin-top:.5pt;width:363pt;height:46.3pt;z-index:251774976;mso-height-percent:200;mso-position-horizontal:center;mso-height-percent:200;mso-width-relative:margin;mso-height-relative:margin" stroked="f">
            <v:textbox style="mso-next-textbox:#_x0000_s1495;mso-fit-shape-to-text:t">
              <w:txbxContent>
                <w:p w:rsidR="00B34B0F" w:rsidRPr="006268D8" w:rsidRDefault="00B34B0F" w:rsidP="009C68B2">
                  <w:pPr>
                    <w:jc w:val="both"/>
                    <w:rPr>
                      <w:sz w:val="22"/>
                      <w:szCs w:val="22"/>
                    </w:rPr>
                  </w:pPr>
                  <w:r w:rsidRPr="006268D8">
                    <w:rPr>
                      <w:sz w:val="22"/>
                      <w:szCs w:val="22"/>
                    </w:rPr>
                    <w:t xml:space="preserve">Gráfico 6.3.3- Relação comprimento/largura das lascas </w:t>
                  </w:r>
                  <w:r>
                    <w:rPr>
                      <w:sz w:val="22"/>
                      <w:szCs w:val="22"/>
                    </w:rPr>
                    <w:t>registada na sé</w:t>
                  </w:r>
                  <w:r w:rsidRPr="006268D8">
                    <w:rPr>
                      <w:sz w:val="22"/>
                      <w:szCs w:val="22"/>
                    </w:rPr>
                    <w:t>rie patinada da Tapada do Montinho</w:t>
                  </w:r>
                  <w:r>
                    <w:rPr>
                      <w:sz w:val="22"/>
                      <w:szCs w:val="22"/>
                    </w:rPr>
                    <w:t>.</w:t>
                  </w:r>
                </w:p>
                <w:p w:rsidR="00B34B0F" w:rsidRDefault="00B34B0F" w:rsidP="009C68B2"/>
              </w:txbxContent>
            </v:textbox>
          </v:shape>
        </w:pict>
      </w:r>
      <w:r w:rsidR="009C68B2" w:rsidRPr="00DC1F84">
        <w:tab/>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Quando se observa</w:t>
      </w:r>
      <w:r>
        <w:t>m</w:t>
      </w:r>
      <w:r w:rsidRPr="00DC1F84">
        <w:t xml:space="preserve"> os gráficos da relação largura/espessura e comprimento/espessura, deste mesmo conjunto, evidenciam-se as mesmas conclusões retiradas anteriormente</w:t>
      </w:r>
      <w:r w:rsidRPr="00DC1F84">
        <w:rPr>
          <w:sz w:val="22"/>
          <w:szCs w:val="22"/>
        </w:rPr>
        <w:t xml:space="preserve"> (Gráfico 6.3.4)</w:t>
      </w:r>
      <w:r w:rsidRPr="00DC1F84">
        <w:t xml:space="preserve">. Embora exista uma relação entre </w:t>
      </w:r>
      <w:r>
        <w:t>largura/espessura e comprimento</w:t>
      </w:r>
      <w:r w:rsidRPr="00DC1F84">
        <w:t>/espessura não se observa nenhuma concentração que indicie alguma preferência no tamanho dos suportes</w:t>
      </w:r>
      <w:r w:rsidRPr="00DC1F84">
        <w:rPr>
          <w:sz w:val="22"/>
          <w:szCs w:val="22"/>
        </w:rPr>
        <w:t xml:space="preserve"> (Gráfico 6.3.5)</w:t>
      </w:r>
      <w:r w:rsidRPr="00DC1F84">
        <w:t>.</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ind w:firstLine="708"/>
        <w:jc w:val="center"/>
      </w:pPr>
      <w:r>
        <w:rPr>
          <w:lang w:eastAsia="en-US"/>
        </w:rPr>
        <w:pict>
          <v:shape id="_x0000_s1496" type="#_x0000_t202" style="position:absolute;left:0;text-align:left;margin-left:69.45pt;margin-top:198.6pt;width:323.05pt;height:46.3pt;z-index:251776000;mso-height-percent:200;mso-height-percent:200;mso-width-relative:margin;mso-height-relative:margin" stroked="f">
            <v:textbox style="mso-next-textbox:#_x0000_s1496;mso-fit-shape-to-text:t">
              <w:txbxContent>
                <w:p w:rsidR="00B34B0F" w:rsidRPr="006268D8" w:rsidRDefault="00B34B0F" w:rsidP="009C68B2">
                  <w:pPr>
                    <w:jc w:val="both"/>
                    <w:rPr>
                      <w:sz w:val="22"/>
                      <w:szCs w:val="22"/>
                    </w:rPr>
                  </w:pPr>
                  <w:r w:rsidRPr="006268D8">
                    <w:rPr>
                      <w:sz w:val="22"/>
                      <w:szCs w:val="22"/>
                    </w:rPr>
                    <w:t>Gráfico 6.3.4- Relação largura/espe</w:t>
                  </w:r>
                  <w:r>
                    <w:rPr>
                      <w:sz w:val="22"/>
                      <w:szCs w:val="22"/>
                    </w:rPr>
                    <w:t>ssura das lascas registada na sé</w:t>
                  </w:r>
                  <w:r w:rsidRPr="006268D8">
                    <w:rPr>
                      <w:sz w:val="22"/>
                      <w:szCs w:val="22"/>
                    </w:rPr>
                    <w:t>rie patinada da Tapada do Montinho</w:t>
                  </w:r>
                  <w:r>
                    <w:rPr>
                      <w:sz w:val="22"/>
                      <w:szCs w:val="22"/>
                    </w:rPr>
                    <w:t>.</w:t>
                  </w:r>
                </w:p>
                <w:p w:rsidR="00B34B0F" w:rsidRDefault="00B34B0F" w:rsidP="009C68B2"/>
              </w:txbxContent>
            </v:textbox>
          </v:shape>
        </w:pict>
      </w:r>
      <w:r w:rsidR="009C68B2">
        <w:rPr>
          <w:noProof/>
        </w:rPr>
        <w:drawing>
          <wp:inline distT="0" distB="0" distL="0" distR="0">
            <wp:extent cx="4581525" cy="2590800"/>
            <wp:effectExtent l="0" t="0" r="0" b="0"/>
            <wp:docPr id="425" name="Objec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pPr>
      <w:r>
        <w:rPr>
          <w:lang w:eastAsia="en-US"/>
        </w:rPr>
        <w:pict>
          <v:shape id="_x0000_s1497" type="#_x0000_t202" style="position:absolute;left:0;text-align:left;margin-left:59.3pt;margin-top:193pt;width:339.4pt;height:46.3pt;z-index:251777024;mso-height-percent:200;mso-height-percent:200;mso-width-relative:margin;mso-height-relative:margin" stroked="f">
            <v:textbox style="mso-next-textbox:#_x0000_s1497;mso-fit-shape-to-text:t">
              <w:txbxContent>
                <w:p w:rsidR="00B34B0F" w:rsidRPr="006268D8" w:rsidRDefault="00B34B0F" w:rsidP="009C68B2">
                  <w:pPr>
                    <w:jc w:val="both"/>
                    <w:rPr>
                      <w:sz w:val="22"/>
                      <w:szCs w:val="22"/>
                    </w:rPr>
                  </w:pPr>
                  <w:r w:rsidRPr="006268D8">
                    <w:rPr>
                      <w:sz w:val="22"/>
                      <w:szCs w:val="22"/>
                    </w:rPr>
                    <w:t>Gráfico 6.3.5- Relação comprimento/espe</w:t>
                  </w:r>
                  <w:r>
                    <w:rPr>
                      <w:sz w:val="22"/>
                      <w:szCs w:val="22"/>
                    </w:rPr>
                    <w:t>ssura das lascas registada na sé</w:t>
                  </w:r>
                  <w:r w:rsidRPr="006268D8">
                    <w:rPr>
                      <w:sz w:val="22"/>
                      <w:szCs w:val="22"/>
                    </w:rPr>
                    <w:t>rie patinada da Tapada do Montinho.</w:t>
                  </w:r>
                </w:p>
                <w:p w:rsidR="00B34B0F" w:rsidRDefault="00B34B0F" w:rsidP="009C68B2"/>
              </w:txbxContent>
            </v:textbox>
          </v:shape>
        </w:pict>
      </w:r>
      <w:r w:rsidR="009C68B2" w:rsidRPr="00DC1F84">
        <w:t xml:space="preserve">           </w:t>
      </w:r>
      <w:r w:rsidR="009C68B2">
        <w:rPr>
          <w:noProof/>
        </w:rPr>
        <w:drawing>
          <wp:inline distT="0" distB="0" distL="0" distR="0">
            <wp:extent cx="4581525" cy="2590800"/>
            <wp:effectExtent l="0" t="0" r="0" b="0"/>
            <wp:docPr id="426" name="Objec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A observação dos negativos de levantamentos na face dorsal das lascas permitiu verificar que a maioria (61%) apenas apresenta dois a três levantamentos anteriores</w:t>
      </w:r>
      <w:r w:rsidRPr="00DC1F84">
        <w:rPr>
          <w:sz w:val="22"/>
          <w:szCs w:val="22"/>
        </w:rPr>
        <w:t xml:space="preserve"> (Gráfico 6.3.6)</w:t>
      </w:r>
      <w:r w:rsidRPr="00DC1F84">
        <w:t xml:space="preserve">. Se a esses se somarem as lascas com 4 negativos de levantamentos obtêm-se um total de 74%. </w:t>
      </w:r>
    </w:p>
    <w:p w:rsidR="009C68B2" w:rsidRPr="00DC1F84" w:rsidRDefault="009C68B2" w:rsidP="009C68B2">
      <w:pPr>
        <w:autoSpaceDE w:val="0"/>
        <w:autoSpaceDN w:val="0"/>
        <w:adjustRightInd w:val="0"/>
        <w:spacing w:line="360" w:lineRule="auto"/>
        <w:jc w:val="both"/>
      </w:pPr>
      <w:r>
        <w:rPr>
          <w:noProof/>
        </w:rPr>
        <w:drawing>
          <wp:inline distT="0" distB="0" distL="0" distR="0">
            <wp:extent cx="4581525" cy="2590800"/>
            <wp:effectExtent l="0" t="0" r="0" b="0"/>
            <wp:docPr id="427" name="Objec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9C68B2" w:rsidRPr="00DC1F84" w:rsidRDefault="00EA3774" w:rsidP="009C68B2">
      <w:pPr>
        <w:autoSpaceDE w:val="0"/>
        <w:autoSpaceDN w:val="0"/>
        <w:adjustRightInd w:val="0"/>
        <w:spacing w:line="360" w:lineRule="auto"/>
        <w:jc w:val="both"/>
      </w:pPr>
      <w:r>
        <w:rPr>
          <w:lang w:eastAsia="en-US"/>
        </w:rPr>
        <w:pict>
          <v:shape id="_x0000_s1498" type="#_x0000_t202" style="position:absolute;left:0;text-align:left;margin-left:0;margin-top:0;width:357.4pt;height:46.3pt;z-index:251778048;mso-height-percent:200;mso-position-horizontal:center;mso-height-percent:200;mso-width-relative:margin;mso-height-relative:margin" stroked="f">
            <v:textbox style="mso-next-textbox:#_x0000_s1498;mso-fit-shape-to-text:t">
              <w:txbxContent>
                <w:p w:rsidR="00B34B0F" w:rsidRPr="006268D8" w:rsidRDefault="00B34B0F" w:rsidP="009C68B2">
                  <w:pPr>
                    <w:jc w:val="both"/>
                    <w:rPr>
                      <w:sz w:val="22"/>
                      <w:szCs w:val="22"/>
                    </w:rPr>
                  </w:pPr>
                  <w:r w:rsidRPr="006268D8">
                    <w:rPr>
                      <w:sz w:val="22"/>
                      <w:szCs w:val="22"/>
                    </w:rPr>
                    <w:t>Gráfico 6.3.6- Número de negativos de levantamentos registados na face dorsal das lascas</w:t>
                  </w:r>
                  <w:r>
                    <w:rPr>
                      <w:sz w:val="22"/>
                      <w:szCs w:val="22"/>
                    </w:rPr>
                    <w:t xml:space="preserve"> na sé</w:t>
                  </w:r>
                  <w:r w:rsidRPr="006268D8">
                    <w:rPr>
                      <w:sz w:val="22"/>
                      <w:szCs w:val="22"/>
                    </w:rPr>
                    <w:t>rie patinada da Tapada do Montinho.</w:t>
                  </w:r>
                </w:p>
                <w:p w:rsidR="00B34B0F" w:rsidRDefault="00B34B0F" w:rsidP="009C68B2"/>
              </w:txbxContent>
            </v:textbox>
          </v:shape>
        </w:pi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No que diz respeito à orientação dos levantamentos verifica-se que existe uma divisão quase idêntica entre levantamentos com orientação paralela entre si e centrípeta</w:t>
      </w:r>
      <w:r w:rsidRPr="00DC1F84">
        <w:rPr>
          <w:sz w:val="22"/>
          <w:szCs w:val="22"/>
        </w:rPr>
        <w:t xml:space="preserve"> (Gráfico 6.3.7)</w:t>
      </w:r>
      <w:r w:rsidRPr="00DC1F84">
        <w:t>.</w:t>
      </w:r>
    </w:p>
    <w:p w:rsidR="009C68B2" w:rsidRPr="00DC1F84" w:rsidRDefault="009C68B2" w:rsidP="009C68B2">
      <w:pPr>
        <w:autoSpaceDE w:val="0"/>
        <w:autoSpaceDN w:val="0"/>
        <w:adjustRightInd w:val="0"/>
        <w:spacing w:line="360" w:lineRule="auto"/>
        <w:jc w:val="center"/>
      </w:pPr>
      <w:r>
        <w:rPr>
          <w:noProof/>
        </w:rPr>
        <w:drawing>
          <wp:inline distT="0" distB="0" distL="0" distR="0">
            <wp:extent cx="4667250" cy="2638425"/>
            <wp:effectExtent l="0" t="0" r="0" b="0"/>
            <wp:docPr id="428" name="Objec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9C68B2" w:rsidRPr="00DC1F84" w:rsidRDefault="00EA3774" w:rsidP="009C68B2">
      <w:pPr>
        <w:autoSpaceDE w:val="0"/>
        <w:autoSpaceDN w:val="0"/>
        <w:adjustRightInd w:val="0"/>
        <w:spacing w:line="360" w:lineRule="auto"/>
        <w:jc w:val="both"/>
      </w:pPr>
      <w:r>
        <w:rPr>
          <w:lang w:eastAsia="en-US"/>
        </w:rPr>
        <w:pict>
          <v:shape id="_x0000_s1499" type="#_x0000_t202" style="position:absolute;left:0;text-align:left;margin-left:0;margin-top:0;width:370.85pt;height:35.25pt;z-index:251779072;mso-position-horizontal:center;mso-width-relative:margin;mso-height-relative:margin" stroked="f">
            <v:textbox style="mso-next-textbox:#_x0000_s1499">
              <w:txbxContent>
                <w:p w:rsidR="00B34B0F" w:rsidRPr="006268D8" w:rsidRDefault="00B34B0F" w:rsidP="009C68B2">
                  <w:pPr>
                    <w:jc w:val="both"/>
                    <w:rPr>
                      <w:sz w:val="22"/>
                      <w:szCs w:val="22"/>
                    </w:rPr>
                  </w:pPr>
                  <w:r w:rsidRPr="006268D8">
                    <w:rPr>
                      <w:sz w:val="22"/>
                      <w:szCs w:val="22"/>
                    </w:rPr>
                    <w:t xml:space="preserve">Gráfico 6.3.7- Orientação negativos de levantamentos registados na face dorsal </w:t>
                  </w:r>
                  <w:r>
                    <w:rPr>
                      <w:sz w:val="22"/>
                      <w:szCs w:val="22"/>
                    </w:rPr>
                    <w:t>das lascas registada na sé</w:t>
                  </w:r>
                  <w:r w:rsidRPr="006268D8">
                    <w:rPr>
                      <w:sz w:val="22"/>
                      <w:szCs w:val="22"/>
                    </w:rPr>
                    <w:t>rie patinada da Tapada do Montinho.</w:t>
                  </w:r>
                </w:p>
                <w:p w:rsidR="00B34B0F" w:rsidRDefault="00B34B0F" w:rsidP="009C68B2"/>
              </w:txbxContent>
            </v:textbox>
          </v:shape>
        </w:pi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O perfil do talão observado na amostra patinada da Tapada do Montinho apresentou um equilíbrio entre as percentagens de perfis plano, côncavo, facetado e convexo (</w:t>
      </w:r>
      <w:r w:rsidRPr="00DC1F84">
        <w:rPr>
          <w:sz w:val="22"/>
          <w:szCs w:val="22"/>
        </w:rPr>
        <w:t>Gráfico 6.3.8)</w:t>
      </w:r>
      <w:r w:rsidRPr="00DC1F84">
        <w:t xml:space="preserve">. Os três primeiros tipos </w:t>
      </w:r>
      <w:r>
        <w:t xml:space="preserve">de talão representam </w:t>
      </w:r>
      <w:proofErr w:type="gramStart"/>
      <w:r>
        <w:t>cada um</w:t>
      </w:r>
      <w:proofErr w:type="gramEnd"/>
      <w:r w:rsidRPr="00DC1F84">
        <w:t xml:space="preserve"> </w:t>
      </w:r>
      <w:proofErr w:type="gramStart"/>
      <w:r w:rsidRPr="00DC1F84">
        <w:t>22</w:t>
      </w:r>
      <w:proofErr w:type="gramEnd"/>
      <w:r w:rsidRPr="00DC1F84">
        <w:t xml:space="preserve"> % do total. Apenas o talão convexo apresenta uma percentagem um pouco superior com 27 % do total da amostra.</w:t>
      </w:r>
    </w:p>
    <w:p w:rsidR="009C68B2" w:rsidRPr="00DC1F84" w:rsidRDefault="009C68B2" w:rsidP="009C68B2">
      <w:pPr>
        <w:autoSpaceDE w:val="0"/>
        <w:autoSpaceDN w:val="0"/>
        <w:adjustRightInd w:val="0"/>
        <w:spacing w:line="360" w:lineRule="auto"/>
        <w:jc w:val="center"/>
      </w:pPr>
      <w:r w:rsidRPr="00DC1F84">
        <w:t xml:space="preserve">   </w:t>
      </w:r>
      <w:r>
        <w:rPr>
          <w:noProof/>
        </w:rPr>
        <w:drawing>
          <wp:inline distT="0" distB="0" distL="0" distR="0">
            <wp:extent cx="4791075" cy="2705100"/>
            <wp:effectExtent l="0" t="0" r="0" b="0"/>
            <wp:docPr id="429" name="Objec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9C68B2" w:rsidRPr="00DC1F84" w:rsidRDefault="00EA3774" w:rsidP="009C68B2">
      <w:pPr>
        <w:autoSpaceDE w:val="0"/>
        <w:autoSpaceDN w:val="0"/>
        <w:adjustRightInd w:val="0"/>
        <w:spacing w:line="360" w:lineRule="auto"/>
        <w:jc w:val="both"/>
      </w:pPr>
      <w:r>
        <w:rPr>
          <w:lang w:eastAsia="en-US"/>
        </w:rPr>
        <w:pict>
          <v:shape id="_x0000_s1500" type="#_x0000_t202" style="position:absolute;left:0;text-align:left;margin-left:0;margin-top:0;width:363.3pt;height:46.3pt;z-index:251780096;mso-height-percent:200;mso-position-horizontal:center;mso-height-percent:200;mso-width-relative:margin;mso-height-relative:margin" stroked="f">
            <v:textbox style="mso-next-textbox:#_x0000_s1500;mso-fit-shape-to-text:t">
              <w:txbxContent>
                <w:p w:rsidR="00B34B0F" w:rsidRPr="006268D8" w:rsidRDefault="00B34B0F" w:rsidP="009C68B2">
                  <w:pPr>
                    <w:jc w:val="both"/>
                    <w:rPr>
                      <w:sz w:val="22"/>
                      <w:szCs w:val="22"/>
                    </w:rPr>
                  </w:pPr>
                  <w:r w:rsidRPr="006268D8">
                    <w:rPr>
                      <w:sz w:val="22"/>
                      <w:szCs w:val="22"/>
                    </w:rPr>
                    <w:t>Gráfico 6.3.8- Perfil do talão das lascas da</w:t>
                  </w:r>
                  <w:r>
                    <w:rPr>
                      <w:sz w:val="22"/>
                      <w:szCs w:val="22"/>
                    </w:rPr>
                    <w:t xml:space="preserve"> sé</w:t>
                  </w:r>
                  <w:r w:rsidRPr="006268D8">
                    <w:rPr>
                      <w:sz w:val="22"/>
                      <w:szCs w:val="22"/>
                    </w:rPr>
                    <w:t>rie patinada da Tapada do Montinho.</w:t>
                  </w:r>
                </w:p>
                <w:p w:rsidR="00B34B0F" w:rsidRDefault="00B34B0F" w:rsidP="009C68B2"/>
              </w:txbxContent>
            </v:textbox>
          </v:shape>
        </w:pi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No que à morfologia do talão diz respeito, verifica-se um predomínio do talão com morfologia trapezoidal que representa 49 % do total da amostra</w:t>
      </w:r>
      <w:r w:rsidRPr="00DC1F84">
        <w:rPr>
          <w:sz w:val="22"/>
          <w:szCs w:val="22"/>
        </w:rPr>
        <w:t xml:space="preserve"> (Gráfico 6.3.9)</w:t>
      </w:r>
      <w:r w:rsidRPr="00DC1F84">
        <w:t xml:space="preserve">. O talão com morfologia em “hífen” representa 27% do total da população seguido pelo talão de morfologia triangular com 19%. A presença de talões lineares é residual, representando apenas 5% do total da amostra. </w:t>
      </w:r>
    </w:p>
    <w:p w:rsidR="009C68B2" w:rsidRPr="00DC1F84" w:rsidRDefault="00EA3774" w:rsidP="009C68B2">
      <w:pPr>
        <w:autoSpaceDE w:val="0"/>
        <w:autoSpaceDN w:val="0"/>
        <w:adjustRightInd w:val="0"/>
        <w:spacing w:line="360" w:lineRule="auto"/>
        <w:jc w:val="center"/>
      </w:pPr>
      <w:r>
        <w:rPr>
          <w:lang w:eastAsia="en-US"/>
        </w:rPr>
        <w:pict>
          <v:shape id="_x0000_s1501" type="#_x0000_t202" style="position:absolute;left:0;text-align:left;margin-left:43.4pt;margin-top:203.65pt;width:367.05pt;height:46.3pt;z-index:251781120;mso-height-percent:200;mso-height-percent:200;mso-width-relative:margin;mso-height-relative:margin" stroked="f">
            <v:textbox style="mso-next-textbox:#_x0000_s1501;mso-fit-shape-to-text:t">
              <w:txbxContent>
                <w:p w:rsidR="00B34B0F" w:rsidRPr="006268D8" w:rsidRDefault="00B34B0F" w:rsidP="009C68B2">
                  <w:pPr>
                    <w:jc w:val="both"/>
                    <w:rPr>
                      <w:sz w:val="22"/>
                      <w:szCs w:val="22"/>
                    </w:rPr>
                  </w:pPr>
                  <w:r w:rsidRPr="006268D8">
                    <w:rPr>
                      <w:sz w:val="22"/>
                      <w:szCs w:val="22"/>
                    </w:rPr>
                    <w:t xml:space="preserve">Gráfico 6.3.9- </w:t>
                  </w:r>
                  <w:r>
                    <w:rPr>
                      <w:sz w:val="22"/>
                      <w:szCs w:val="22"/>
                    </w:rPr>
                    <w:t>Morfologia do talão registada na sé</w:t>
                  </w:r>
                  <w:r w:rsidRPr="006268D8">
                    <w:rPr>
                      <w:sz w:val="22"/>
                      <w:szCs w:val="22"/>
                    </w:rPr>
                    <w:t>rie patinada da Tapada do Montinho.</w:t>
                  </w:r>
                </w:p>
                <w:p w:rsidR="00B34B0F" w:rsidRDefault="00B34B0F" w:rsidP="009C68B2"/>
              </w:txbxContent>
            </v:textbox>
          </v:shape>
        </w:pict>
      </w:r>
      <w:r w:rsidR="009C68B2">
        <w:rPr>
          <w:noProof/>
        </w:rPr>
        <w:drawing>
          <wp:inline distT="0" distB="0" distL="0" distR="0">
            <wp:extent cx="4581525" cy="2590800"/>
            <wp:effectExtent l="0" t="0" r="0" b="0"/>
            <wp:docPr id="430" name="Objec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 xml:space="preserve">No que diz respeito ao comprimento, largura e </w:t>
      </w:r>
      <w:proofErr w:type="gramStart"/>
      <w:r w:rsidRPr="00DC1F84">
        <w:t>espessura máximas</w:t>
      </w:r>
      <w:proofErr w:type="gramEnd"/>
      <w:r w:rsidRPr="00DC1F84">
        <w:t xml:space="preserve"> do talão observa-se uma dispersão dos artefactos</w:t>
      </w:r>
      <w:r>
        <w:t>,</w:t>
      </w:r>
      <w:r w:rsidRPr="00DC1F84">
        <w:t xml:space="preserve"> no gráfico</w:t>
      </w:r>
      <w:r>
        <w:t>,</w:t>
      </w:r>
      <w:r w:rsidRPr="00DC1F84">
        <w:t xml:space="preserve"> sem ser perceptível qualquer concentração que defina alguma tendência</w:t>
      </w:r>
      <w:r>
        <w:t xml:space="preserve"> relativa a</w:t>
      </w:r>
      <w:r w:rsidRPr="00DC1F84">
        <w:t xml:space="preserve"> dimensões preferidas neste conjunto</w:t>
      </w:r>
      <w:r w:rsidRPr="00DC1F84">
        <w:rPr>
          <w:sz w:val="22"/>
          <w:szCs w:val="22"/>
        </w:rPr>
        <w:t xml:space="preserve"> (Gráfico 6.3.10)</w:t>
      </w:r>
      <w:r w:rsidRPr="00DC1F84">
        <w:t>.</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pPr>
      <w:r>
        <w:rPr>
          <w:lang w:eastAsia="en-US"/>
        </w:rPr>
        <w:pict>
          <v:shape id="_x0000_s1502" type="#_x0000_t202" style="position:absolute;left:0;text-align:left;margin-left:34.85pt;margin-top:199.6pt;width:355.15pt;height:46.3pt;z-index:251782144;mso-height-percent:200;mso-height-percent:200;mso-width-relative:margin;mso-height-relative:margin" stroked="f">
            <v:textbox style="mso-next-textbox:#_x0000_s1502;mso-fit-shape-to-text:t">
              <w:txbxContent>
                <w:p w:rsidR="00B34B0F" w:rsidRPr="006268D8" w:rsidRDefault="00B34B0F" w:rsidP="009C68B2">
                  <w:pPr>
                    <w:jc w:val="both"/>
                    <w:rPr>
                      <w:sz w:val="22"/>
                      <w:szCs w:val="22"/>
                    </w:rPr>
                  </w:pPr>
                  <w:r w:rsidRPr="006268D8">
                    <w:rPr>
                      <w:sz w:val="22"/>
                      <w:szCs w:val="22"/>
                    </w:rPr>
                    <w:t>Gráfico 6.3.10- Relação comprimento/largura dos talões</w:t>
                  </w:r>
                  <w:r>
                    <w:rPr>
                      <w:sz w:val="22"/>
                      <w:szCs w:val="22"/>
                    </w:rPr>
                    <w:t xml:space="preserve"> registada na sé</w:t>
                  </w:r>
                  <w:r w:rsidRPr="006268D8">
                    <w:rPr>
                      <w:sz w:val="22"/>
                      <w:szCs w:val="22"/>
                    </w:rPr>
                    <w:t>rie patinada da Tapada do Montinho.</w:t>
                  </w:r>
                </w:p>
                <w:p w:rsidR="00B34B0F" w:rsidRDefault="00B34B0F" w:rsidP="009C68B2"/>
              </w:txbxContent>
            </v:textbox>
          </v:shape>
        </w:pict>
      </w:r>
      <w:r w:rsidR="009C68B2" w:rsidRPr="00DC1F84">
        <w:t xml:space="preserve">     </w:t>
      </w:r>
      <w:r w:rsidR="009C68B2">
        <w:rPr>
          <w:noProof/>
        </w:rPr>
        <w:drawing>
          <wp:inline distT="0" distB="0" distL="0" distR="0">
            <wp:extent cx="4581525" cy="2590800"/>
            <wp:effectExtent l="0" t="0" r="0" b="0"/>
            <wp:docPr id="431" name="Objec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9C68B2" w:rsidRPr="00DC1F84" w:rsidRDefault="009C68B2" w:rsidP="009C68B2">
      <w:pPr>
        <w:autoSpaceDE w:val="0"/>
        <w:autoSpaceDN w:val="0"/>
        <w:adjustRightInd w:val="0"/>
        <w:spacing w:line="360" w:lineRule="auto"/>
        <w:jc w:val="both"/>
      </w:pPr>
      <w:r w:rsidRPr="00DC1F84">
        <w:lastRenderedPageBreak/>
        <w:t>6.3.1.3.2- Núcleos</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ab/>
        <w:t>O n</w:t>
      </w:r>
      <w:r>
        <w:t>úmero de núcleos atribuídos à sé</w:t>
      </w:r>
      <w:r w:rsidRPr="00DC1F84">
        <w:t xml:space="preserve">rie patinada é reduzido, tendo sido apenas identificados 4 núcleos patinados. Por essa razão, qualquer ilação que se retire da observação destas peças é somente indicadora, não se podendo </w:t>
      </w:r>
      <w:r>
        <w:t>reconhecer n</w:t>
      </w:r>
      <w:r w:rsidRPr="00DC1F84">
        <w:t>este grupo qualquer ilação estatística nem de correlações mais profundas.</w:t>
      </w:r>
    </w:p>
    <w:p w:rsidR="009C68B2" w:rsidRPr="00DC1F84" w:rsidRDefault="009C68B2" w:rsidP="009C68B2">
      <w:pPr>
        <w:autoSpaceDE w:val="0"/>
        <w:autoSpaceDN w:val="0"/>
        <w:adjustRightInd w:val="0"/>
        <w:spacing w:line="360" w:lineRule="auto"/>
        <w:jc w:val="both"/>
      </w:pPr>
      <w:r w:rsidRPr="00DC1F84">
        <w:tab/>
        <w:t>Porém da ob</w:t>
      </w:r>
      <w:r>
        <w:t>servação da relação comprimento/</w:t>
      </w:r>
      <w:r w:rsidRPr="00DC1F84">
        <w:t>largura destes núcleos é possível observar um grupo de três nú</w:t>
      </w:r>
      <w:r>
        <w:t>cleos que apresentam aproximada</w:t>
      </w:r>
      <w:r w:rsidRPr="00DC1F84">
        <w:t>mente a mesma dimensão, variando entre os 65e os 80mm de comprimento por 27 a 30 mm de largura. O restante núcleo caracteriza-se por ser de dimensões menores, cerca de 40 mm de comprimento por 24mm de largura</w:t>
      </w:r>
      <w:r w:rsidRPr="00DC1F84">
        <w:rPr>
          <w:sz w:val="22"/>
          <w:szCs w:val="22"/>
        </w:rPr>
        <w:t xml:space="preserve"> (Gráfico 6.3.11)</w:t>
      </w:r>
      <w:r w:rsidRPr="00DC1F84">
        <w:t>.</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pPr>
      <w:r>
        <w:rPr>
          <w:lang w:eastAsia="en-US"/>
        </w:rPr>
        <w:pict>
          <v:shape id="_x0000_s1503" type="#_x0000_t202" style="position:absolute;left:0;text-align:left;margin-left:27.45pt;margin-top:233.2pt;width:387.75pt;height:46.3pt;z-index:251783168;mso-height-percent:200;mso-height-percent:200;mso-width-relative:margin;mso-height-relative:margin" stroked="f">
            <v:textbox style="mso-next-textbox:#_x0000_s1503;mso-fit-shape-to-text:t">
              <w:txbxContent>
                <w:p w:rsidR="00B34B0F" w:rsidRPr="006268D8" w:rsidRDefault="00B34B0F" w:rsidP="009C68B2">
                  <w:pPr>
                    <w:jc w:val="both"/>
                    <w:rPr>
                      <w:sz w:val="22"/>
                      <w:szCs w:val="22"/>
                    </w:rPr>
                  </w:pPr>
                  <w:r w:rsidRPr="006268D8">
                    <w:rPr>
                      <w:sz w:val="22"/>
                      <w:szCs w:val="22"/>
                    </w:rPr>
                    <w:t>Gráfico 6.3.11- Relação comprimento/largura dos núcleos da</w:t>
                  </w:r>
                  <w:r>
                    <w:rPr>
                      <w:sz w:val="22"/>
                      <w:szCs w:val="22"/>
                    </w:rPr>
                    <w:t xml:space="preserve"> sé</w:t>
                  </w:r>
                  <w:r w:rsidRPr="006268D8">
                    <w:rPr>
                      <w:sz w:val="22"/>
                      <w:szCs w:val="22"/>
                    </w:rPr>
                    <w:t>rie patinada da Tapada do Montinho.</w:t>
                  </w:r>
                </w:p>
                <w:p w:rsidR="00B34B0F" w:rsidRDefault="00B34B0F" w:rsidP="009C68B2"/>
              </w:txbxContent>
            </v:textbox>
          </v:shape>
        </w:pict>
      </w:r>
      <w:r w:rsidR="009C68B2" w:rsidRPr="00DC1F84">
        <w:t xml:space="preserve">  </w:t>
      </w:r>
      <w:r w:rsidR="009C68B2">
        <w:rPr>
          <w:noProof/>
        </w:rPr>
        <w:drawing>
          <wp:inline distT="0" distB="0" distL="0" distR="0">
            <wp:extent cx="5133975" cy="2905125"/>
            <wp:effectExtent l="0" t="0" r="0" b="0"/>
            <wp:docPr id="432" name="Objec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No que à relação largura/espessura diz respeito mantém-se as observações registadas anteriormente, aparecendo o mesmo conjunto de três núcleos com relações muito próximas e um quarto apresentando dimensões menores</w:t>
      </w:r>
      <w:r w:rsidRPr="00DC1F84">
        <w:rPr>
          <w:sz w:val="22"/>
          <w:szCs w:val="22"/>
        </w:rPr>
        <w:t xml:space="preserve"> (Gráfico 6.3.12)</w:t>
      </w:r>
      <w:r w:rsidRPr="00DC1F84">
        <w:t xml:space="preserve">. </w:t>
      </w:r>
    </w:p>
    <w:p w:rsidR="009C68B2" w:rsidRPr="00DC1F84" w:rsidRDefault="00EA3774" w:rsidP="009C68B2">
      <w:pPr>
        <w:autoSpaceDE w:val="0"/>
        <w:autoSpaceDN w:val="0"/>
        <w:adjustRightInd w:val="0"/>
        <w:spacing w:line="360" w:lineRule="auto"/>
        <w:jc w:val="center"/>
      </w:pPr>
      <w:r>
        <w:rPr>
          <w:lang w:eastAsia="en-US"/>
        </w:rPr>
        <w:lastRenderedPageBreak/>
        <w:pict>
          <v:shape id="_x0000_s1504" type="#_x0000_t202" style="position:absolute;left:0;text-align:left;margin-left:48.05pt;margin-top:197.65pt;width:357.85pt;height:46.3pt;z-index:251784192;mso-height-percent:200;mso-height-percent:200;mso-width-relative:margin;mso-height-relative:margin" stroked="f">
            <v:textbox style="mso-next-textbox:#_x0000_s1504;mso-fit-shape-to-text:t">
              <w:txbxContent>
                <w:p w:rsidR="00B34B0F" w:rsidRPr="006268D8" w:rsidRDefault="00B34B0F" w:rsidP="009C68B2">
                  <w:pPr>
                    <w:jc w:val="both"/>
                    <w:rPr>
                      <w:sz w:val="22"/>
                      <w:szCs w:val="22"/>
                    </w:rPr>
                  </w:pPr>
                  <w:r w:rsidRPr="006268D8">
                    <w:rPr>
                      <w:sz w:val="22"/>
                      <w:szCs w:val="22"/>
                    </w:rPr>
                    <w:t>Gráfico 6.3.12- Relação largura/espessura dos núcleos da</w:t>
                  </w:r>
                  <w:r>
                    <w:rPr>
                      <w:sz w:val="22"/>
                      <w:szCs w:val="22"/>
                    </w:rPr>
                    <w:t xml:space="preserve"> sé</w:t>
                  </w:r>
                  <w:r w:rsidRPr="006268D8">
                    <w:rPr>
                      <w:sz w:val="22"/>
                      <w:szCs w:val="22"/>
                    </w:rPr>
                    <w:t>rie patinada da Tapada do Montinho.</w:t>
                  </w:r>
                </w:p>
                <w:p w:rsidR="00B34B0F" w:rsidRDefault="00B34B0F" w:rsidP="009C68B2"/>
              </w:txbxContent>
            </v:textbox>
          </v:shape>
        </w:pict>
      </w:r>
      <w:r w:rsidR="009C68B2" w:rsidRPr="00DC1F84">
        <w:t xml:space="preserve">     </w:t>
      </w:r>
      <w:r w:rsidR="009C68B2">
        <w:rPr>
          <w:noProof/>
        </w:rPr>
        <w:drawing>
          <wp:inline distT="0" distB="0" distL="0" distR="0">
            <wp:extent cx="4581525" cy="2590800"/>
            <wp:effectExtent l="0" t="0" r="0" b="0"/>
            <wp:docPr id="433" name="Objec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Tudo o que se disse para as duas relações anteriores continua a se</w:t>
      </w:r>
      <w:r>
        <w:t>r verdade para o que se observa</w:t>
      </w:r>
      <w:r w:rsidRPr="00DC1F84">
        <w:t xml:space="preserve"> </w:t>
      </w:r>
      <w:r>
        <w:t>no gráfico</w:t>
      </w:r>
      <w:r w:rsidRPr="00DC1F84">
        <w:t xml:space="preserve"> que conjuga o comprimento e a espessura dos núcleos. Continua a evidenciar-se um conjunto de três núcleos próximos e de um outro de menores dimensões</w:t>
      </w:r>
      <w:r w:rsidRPr="00DC1F84">
        <w:rPr>
          <w:sz w:val="22"/>
          <w:szCs w:val="22"/>
        </w:rPr>
        <w:t xml:space="preserve"> (Gráfico 6.3.13)</w:t>
      </w:r>
      <w:r w:rsidRPr="00DC1F84">
        <w:t>.</w:t>
      </w:r>
    </w:p>
    <w:p w:rsidR="009C68B2" w:rsidRPr="00DC1F84" w:rsidRDefault="00EA3774" w:rsidP="009C68B2">
      <w:pPr>
        <w:autoSpaceDE w:val="0"/>
        <w:autoSpaceDN w:val="0"/>
        <w:adjustRightInd w:val="0"/>
        <w:spacing w:line="360" w:lineRule="auto"/>
        <w:jc w:val="both"/>
      </w:pPr>
      <w:r>
        <w:rPr>
          <w:lang w:eastAsia="en-US"/>
        </w:rPr>
        <w:pict>
          <v:shape id="_x0000_s1505" type="#_x0000_t202" style="position:absolute;left:0;text-align:left;margin-left:28.5pt;margin-top:218.1pt;width:359pt;height:41.5pt;z-index:251785216;mso-width-relative:margin;mso-height-relative:margin" stroked="f">
            <v:textbox style="mso-next-textbox:#_x0000_s1505">
              <w:txbxContent>
                <w:p w:rsidR="00B34B0F" w:rsidRPr="007D75BA" w:rsidRDefault="00B34B0F" w:rsidP="009C68B2">
                  <w:pPr>
                    <w:jc w:val="both"/>
                    <w:rPr>
                      <w:sz w:val="22"/>
                      <w:szCs w:val="22"/>
                    </w:rPr>
                  </w:pPr>
                  <w:r w:rsidRPr="007D75BA">
                    <w:rPr>
                      <w:sz w:val="22"/>
                      <w:szCs w:val="22"/>
                    </w:rPr>
                    <w:t>Gráfico 6.3.13- Relação comprimento/espessura</w:t>
                  </w:r>
                  <w:r>
                    <w:rPr>
                      <w:sz w:val="22"/>
                      <w:szCs w:val="22"/>
                    </w:rPr>
                    <w:t xml:space="preserve"> das lascas registada na sé</w:t>
                  </w:r>
                  <w:r w:rsidRPr="007D75BA">
                    <w:rPr>
                      <w:sz w:val="22"/>
                      <w:szCs w:val="22"/>
                    </w:rPr>
                    <w:t>rie patinada da Tapada do Montinho</w:t>
                  </w:r>
                  <w:r>
                    <w:rPr>
                      <w:sz w:val="22"/>
                      <w:szCs w:val="22"/>
                    </w:rPr>
                    <w:t>.</w:t>
                  </w:r>
                </w:p>
                <w:p w:rsidR="00B34B0F" w:rsidRDefault="00B34B0F" w:rsidP="009C68B2"/>
              </w:txbxContent>
            </v:textbox>
          </v:shape>
        </w:pict>
      </w:r>
      <w:r w:rsidR="009C68B2" w:rsidRPr="00DC1F84">
        <w:t xml:space="preserve">      </w:t>
      </w:r>
      <w:r w:rsidR="009C68B2">
        <w:rPr>
          <w:noProof/>
        </w:rPr>
        <w:drawing>
          <wp:inline distT="0" distB="0" distL="0" distR="0">
            <wp:extent cx="4943475" cy="2800350"/>
            <wp:effectExtent l="0" t="0" r="0" b="0"/>
            <wp:docPr id="434" name="Objec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lastRenderedPageBreak/>
        <w:t>6.3.1.4-Caracterização tecnológica</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6.3.4.1.4.- Indústria lítica</w:t>
      </w:r>
    </w:p>
    <w:p w:rsidR="009C68B2" w:rsidRPr="00DC1F84" w:rsidRDefault="009C68B2" w:rsidP="009C68B2">
      <w:pPr>
        <w:autoSpaceDE w:val="0"/>
        <w:autoSpaceDN w:val="0"/>
        <w:adjustRightInd w:val="0"/>
        <w:spacing w:line="360" w:lineRule="auto"/>
        <w:jc w:val="both"/>
      </w:pPr>
      <w:r w:rsidRPr="00DC1F84">
        <w:tab/>
      </w:r>
    </w:p>
    <w:p w:rsidR="009C68B2" w:rsidRPr="00DC1F84" w:rsidRDefault="009C68B2" w:rsidP="009C68B2">
      <w:pPr>
        <w:autoSpaceDE w:val="0"/>
        <w:autoSpaceDN w:val="0"/>
        <w:adjustRightInd w:val="0"/>
        <w:spacing w:line="360" w:lineRule="auto"/>
        <w:jc w:val="both"/>
      </w:pPr>
      <w:r w:rsidRPr="00DC1F84">
        <w:t xml:space="preserve"> </w:t>
      </w:r>
      <w:r w:rsidRPr="00DC1F84">
        <w:tab/>
      </w:r>
      <w:r>
        <w:t>A indústria lítica da sé</w:t>
      </w:r>
      <w:r w:rsidRPr="00DC1F84">
        <w:t xml:space="preserve">rie patinada recolhida na Tapada do Montinho encontra-se em posição secundária, o que afecta a representatividade deste conjunto. No entanto, a observação dos artefactos recolhidos, alguns dos quais representados na fig. 6.3.3, permitem algumas considerações. </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Pr>
          <w:noProof/>
          <w:color w:val="FF0000"/>
        </w:rPr>
        <w:drawing>
          <wp:inline distT="0" distB="0" distL="0" distR="0">
            <wp:extent cx="5400675" cy="3810000"/>
            <wp:effectExtent l="19050" t="0" r="9525" b="0"/>
            <wp:docPr id="435" name="Imagem 20" descr="TP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PM 4"/>
                    <pic:cNvPicPr>
                      <a:picLocks noChangeAspect="1" noChangeArrowheads="1"/>
                    </pic:cNvPicPr>
                  </pic:nvPicPr>
                  <pic:blipFill>
                    <a:blip r:embed="rId173" cstate="print"/>
                    <a:srcRect/>
                    <a:stretch>
                      <a:fillRect/>
                    </a:stretch>
                  </pic:blipFill>
                  <pic:spPr bwMode="auto">
                    <a:xfrm>
                      <a:off x="0" y="0"/>
                      <a:ext cx="5400675" cy="3810000"/>
                    </a:xfrm>
                    <a:prstGeom prst="rect">
                      <a:avLst/>
                    </a:prstGeom>
                    <a:noFill/>
                    <a:ln w="9525">
                      <a:noFill/>
                      <a:miter lim="800000"/>
                      <a:headEnd/>
                      <a:tailEnd/>
                    </a:ln>
                  </pic:spPr>
                </pic:pic>
              </a:graphicData>
            </a:graphic>
          </wp:inline>
        </w:drawing>
      </w:r>
    </w:p>
    <w:p w:rsidR="009C68B2" w:rsidRPr="00DC1F84" w:rsidRDefault="00EA3774" w:rsidP="009C68B2">
      <w:pPr>
        <w:autoSpaceDE w:val="0"/>
        <w:autoSpaceDN w:val="0"/>
        <w:adjustRightInd w:val="0"/>
        <w:spacing w:line="360" w:lineRule="auto"/>
        <w:jc w:val="both"/>
      </w:pPr>
      <w:r>
        <w:rPr>
          <w:lang w:eastAsia="en-US"/>
        </w:rPr>
        <w:pict>
          <v:shape id="_x0000_s1511" type="#_x0000_t202" style="position:absolute;left:0;text-align:left;margin-left:1.2pt;margin-top:6.15pt;width:418.5pt;height:48.4pt;z-index:251791360;mso-width-relative:margin;mso-height-relative:margin" stroked="f">
            <v:textbox style="mso-next-textbox:#_x0000_s1511">
              <w:txbxContent>
                <w:p w:rsidR="00B34B0F" w:rsidRPr="007D75BA" w:rsidRDefault="00B34B0F" w:rsidP="009C68B2">
                  <w:pPr>
                    <w:jc w:val="both"/>
                    <w:rPr>
                      <w:sz w:val="22"/>
                      <w:szCs w:val="22"/>
                    </w:rPr>
                  </w:pPr>
                  <w:r w:rsidRPr="007D75BA">
                    <w:rPr>
                      <w:sz w:val="22"/>
                      <w:szCs w:val="22"/>
                    </w:rPr>
                    <w:t>Figura 6.3.</w:t>
                  </w:r>
                  <w:r>
                    <w:rPr>
                      <w:sz w:val="22"/>
                      <w:szCs w:val="22"/>
                    </w:rPr>
                    <w:t>3</w:t>
                  </w:r>
                  <w:r w:rsidRPr="007D75BA">
                    <w:rPr>
                      <w:sz w:val="22"/>
                      <w:szCs w:val="22"/>
                    </w:rPr>
                    <w:t>- Indústria patinada da Tapada do Montinho: 1- raspadeira frontal com quatro entalhes laterais opostos; 2 e 3- raspadeiras convergentes; 4:</w:t>
                  </w:r>
                  <w:r>
                    <w:rPr>
                      <w:sz w:val="22"/>
                      <w:szCs w:val="22"/>
                    </w:rPr>
                    <w:t xml:space="preserve"> núcleo centrípeto sobre lasca</w:t>
                  </w:r>
                  <w:r w:rsidRPr="007D75BA">
                    <w:rPr>
                      <w:sz w:val="22"/>
                      <w:szCs w:val="22"/>
                    </w:rPr>
                    <w:t xml:space="preserve">; 5- Raspadeira lateral com entalhe; 6- lasca. </w:t>
                  </w:r>
                </w:p>
                <w:p w:rsidR="00B34B0F" w:rsidRDefault="00B34B0F" w:rsidP="009C68B2"/>
              </w:txbxContent>
            </v:textbox>
          </v:shape>
        </w:pi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 xml:space="preserve">Esta indústria corresponde a uma indústria sobre lascas, conseguida com recurso a diferentes tipos de talhe mas onde predomina o talhe </w:t>
      </w:r>
      <w:r w:rsidRPr="00A22077">
        <w:rPr>
          <w:i/>
        </w:rPr>
        <w:t>Levallois</w:t>
      </w:r>
      <w:r w:rsidRPr="00DC1F84">
        <w:t xml:space="preserve">. A maioria destas lascas é utilizada em bruto, logo após a debitagem. Outras são alvo de retoque, principalmente com o objectivo de criação de entalhes (fig. 6.3.3, n.º 2, 3 e 5). Num caso (fig. 6.3.3, n.º 1) verifica-se a existência de quatro entalhes, opostos dois a dois, localizados no primeiro terço proximal da lasca alongada que serve de suporte. Pela </w:t>
      </w:r>
      <w:r w:rsidRPr="00DC1F84">
        <w:lastRenderedPageBreak/>
        <w:t xml:space="preserve">observação macroscópica da peça, a superfície utilizada deverá corresponder ao último terço distal. A presença destes quatro entalhes na peça, a sua localização e a </w:t>
      </w:r>
      <w:r>
        <w:t>posição</w:t>
      </w:r>
      <w:r w:rsidRPr="00DC1F84">
        <w:t xml:space="preserve"> da parte utilizada do utensílio pare</w:t>
      </w:r>
      <w:r>
        <w:t>ce</w:t>
      </w:r>
      <w:r w:rsidRPr="00DC1F84">
        <w:t xml:space="preserve">m indiciar que esta lasca terá feito parte de uma ferramenta compósita, da qual deveria também fazer parte um cabo em matéria perecível. Os entalhes permitiriam dar alguma consistência à junção das duas partes do utensílio, recorrendo a um qualquer tipo de atilho, cuja proveniência só poderá ser alvo de especulação mas que poderia ser tendão, couro ou qualquer fibra vegetal. </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6.3.1.4.2- Análise diacrítica dos núcleos</w:t>
      </w:r>
    </w:p>
    <w:p w:rsidR="009C68B2" w:rsidRPr="00DC1F84" w:rsidRDefault="009C68B2" w:rsidP="009C68B2">
      <w:pPr>
        <w:spacing w:line="360" w:lineRule="auto"/>
        <w:jc w:val="both"/>
        <w:rPr>
          <w:color w:val="FF0000"/>
        </w:rPr>
      </w:pPr>
    </w:p>
    <w:p w:rsidR="009C68B2" w:rsidRPr="00DC1F84" w:rsidRDefault="009C68B2" w:rsidP="009C68B2">
      <w:pPr>
        <w:spacing w:line="360" w:lineRule="auto"/>
        <w:ind w:firstLine="708"/>
        <w:jc w:val="both"/>
      </w:pPr>
      <w:r w:rsidRPr="00DC1F84">
        <w:t>Na série patinada da Tapada do Montinho foram identificados apenas quatro núcleos. Em termos de negativos de levantamentos os núcleos diferem apresentando três, quatro, oito e 19 levantamentos. Os núcleos mais trabalhados são um núcleo centrípeto recorrente em quartzito e um núcleo sobre lasca centrípeto (fig. 6.3.3, n.º 4; fig. 6.3.4). De seguida apresenta-se a análise diacrítica do núcleo sobre lasca.</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EA3774" w:rsidP="009C68B2">
      <w:pPr>
        <w:spacing w:line="360" w:lineRule="auto"/>
        <w:jc w:val="both"/>
        <w:rPr>
          <w:b/>
          <w:color w:val="000000"/>
          <w:u w:val="single"/>
        </w:rPr>
      </w:pPr>
      <w:r w:rsidRPr="00EA3774">
        <w:rPr>
          <w:color w:val="000000"/>
          <w:lang w:eastAsia="en-US"/>
        </w:rPr>
        <w:pict>
          <v:shape id="_x0000_s1530" type="#_x0000_t202" style="position:absolute;left:0;text-align:left;margin-left:236.6pt;margin-top:234.9pt;width:169.6pt;height:46.3pt;z-index:251810816;mso-width-percent:400;mso-height-percent:200;mso-width-percent:400;mso-height-percent:200;mso-width-relative:margin;mso-height-relative:margin" stroked="f">
            <v:textbox style="mso-next-textbox:#_x0000_s1530;mso-fit-shape-to-text:t">
              <w:txbxContent>
                <w:p w:rsidR="00B34B0F" w:rsidRPr="00DF6497" w:rsidRDefault="00B34B0F" w:rsidP="009C68B2">
                  <w:pPr>
                    <w:jc w:val="both"/>
                    <w:rPr>
                      <w:sz w:val="22"/>
                      <w:szCs w:val="22"/>
                    </w:rPr>
                  </w:pPr>
                  <w:r w:rsidRPr="00DF6497">
                    <w:rPr>
                      <w:sz w:val="22"/>
                      <w:szCs w:val="22"/>
                    </w:rPr>
                    <w:t>Figura 6.</w:t>
                  </w:r>
                  <w:r>
                    <w:rPr>
                      <w:sz w:val="22"/>
                      <w:szCs w:val="22"/>
                    </w:rPr>
                    <w:t>3.4- Esquema diacrítico</w:t>
                  </w:r>
                  <w:r w:rsidRPr="00DF6497">
                    <w:rPr>
                      <w:sz w:val="22"/>
                      <w:szCs w:val="22"/>
                    </w:rPr>
                    <w:t xml:space="preserve"> </w:t>
                  </w:r>
                  <w:r>
                    <w:rPr>
                      <w:sz w:val="22"/>
                      <w:szCs w:val="22"/>
                    </w:rPr>
                    <w:t xml:space="preserve">do núcleo centrípeto </w:t>
                  </w:r>
                  <w:r w:rsidRPr="00DF6497">
                    <w:rPr>
                      <w:sz w:val="22"/>
                      <w:szCs w:val="22"/>
                    </w:rPr>
                    <w:t>L</w:t>
                  </w:r>
                  <w:r>
                    <w:rPr>
                      <w:sz w:val="22"/>
                      <w:szCs w:val="22"/>
                    </w:rPr>
                    <w:t>40</w:t>
                  </w:r>
                  <w:r w:rsidRPr="00DF6497">
                    <w:rPr>
                      <w:sz w:val="22"/>
                      <w:szCs w:val="22"/>
                    </w:rPr>
                    <w:t xml:space="preserve"> </w:t>
                  </w:r>
                  <w:r>
                    <w:rPr>
                      <w:sz w:val="22"/>
                      <w:szCs w:val="22"/>
                    </w:rPr>
                    <w:t>64</w:t>
                  </w:r>
                  <w:r w:rsidRPr="00DF6497">
                    <w:rPr>
                      <w:sz w:val="22"/>
                      <w:szCs w:val="22"/>
                    </w:rPr>
                    <w:t>.</w:t>
                  </w:r>
                  <w:r>
                    <w:rPr>
                      <w:b/>
                      <w:sz w:val="22"/>
                      <w:szCs w:val="22"/>
                    </w:rPr>
                    <w:t xml:space="preserve"> </w:t>
                  </w:r>
                </w:p>
                <w:p w:rsidR="00B34B0F" w:rsidRPr="00BA36F1" w:rsidRDefault="00B34B0F" w:rsidP="009C68B2"/>
              </w:txbxContent>
            </v:textbox>
          </v:shape>
        </w:pict>
      </w:r>
      <w:r w:rsidR="009C68B2">
        <w:rPr>
          <w:noProof/>
          <w:color w:val="000000"/>
        </w:rPr>
        <w:drawing>
          <wp:inline distT="0" distB="0" distL="0" distR="0">
            <wp:extent cx="3067050" cy="3638550"/>
            <wp:effectExtent l="19050" t="0" r="0" b="0"/>
            <wp:docPr id="436" name="Imagem 21" descr="L40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40 64"/>
                    <pic:cNvPicPr>
                      <a:picLocks noChangeAspect="1" noChangeArrowheads="1"/>
                    </pic:cNvPicPr>
                  </pic:nvPicPr>
                  <pic:blipFill>
                    <a:blip r:embed="rId174" cstate="print"/>
                    <a:srcRect/>
                    <a:stretch>
                      <a:fillRect/>
                    </a:stretch>
                  </pic:blipFill>
                  <pic:spPr bwMode="auto">
                    <a:xfrm>
                      <a:off x="0" y="0"/>
                      <a:ext cx="3067050" cy="3638550"/>
                    </a:xfrm>
                    <a:prstGeom prst="rect">
                      <a:avLst/>
                    </a:prstGeom>
                    <a:noFill/>
                    <a:ln w="9525">
                      <a:noFill/>
                      <a:miter lim="800000"/>
                      <a:headEnd/>
                      <a:tailEnd/>
                    </a:ln>
                  </pic:spPr>
                </pic:pic>
              </a:graphicData>
            </a:graphic>
          </wp:inline>
        </w:drawing>
      </w:r>
    </w:p>
    <w:p w:rsidR="009C68B2" w:rsidRPr="00DC1F84" w:rsidRDefault="009C68B2" w:rsidP="009C68B2">
      <w:pPr>
        <w:spacing w:line="360" w:lineRule="auto"/>
        <w:jc w:val="both"/>
        <w:rPr>
          <w:b/>
          <w:color w:val="000000"/>
          <w:u w:val="single"/>
        </w:rPr>
      </w:pPr>
    </w:p>
    <w:p w:rsidR="009C68B2" w:rsidRPr="00DC1F84" w:rsidRDefault="009C68B2" w:rsidP="009C68B2">
      <w:pPr>
        <w:autoSpaceDE w:val="0"/>
        <w:autoSpaceDN w:val="0"/>
        <w:adjustRightInd w:val="0"/>
        <w:spacing w:line="360" w:lineRule="auto"/>
        <w:ind w:firstLine="708"/>
        <w:jc w:val="both"/>
      </w:pPr>
      <w:r w:rsidRPr="00DC1F84">
        <w:lastRenderedPageBreak/>
        <w:t>O núcleo sobre lasca recolhido na Tapada do Montinho foi analisado de forma a se compreender o seu esquema operatório. A matéria-prima utilizada foi um bloco paralelepipédico de quartzito. A origem deste núcleo corresponde a uma lasca espessa. O talhe desenvolve-se na face dorsal desta lasca d</w:t>
      </w:r>
      <w:r>
        <w:t>o</w:t>
      </w:r>
      <w:r w:rsidRPr="00DC1F84">
        <w:t xml:space="preserve"> qual existe ainda um testemunho (fig. 6.3.2, levantamento n.º 1). Os dois levantamentos identificados na face ventral são mais recentes. O talhe a que se recorreu neste núcleo é centrípeto sendo retirados levantamentos em todo o </w:t>
      </w:r>
      <w:r>
        <w:t>seu perímetro. À</w:t>
      </w:r>
      <w:r w:rsidRPr="00DC1F84">
        <w:t xml:space="preserve"> medida que a cadeia operatória se desenvolve os levantamentos vão ficando mais curtos. Por essa razão, as lascas vão perdendo tamanho, sendo os suportes resultantes dos últimos levantamentos de pequena dimensão. </w:t>
      </w:r>
    </w:p>
    <w:p w:rsidR="009C68B2" w:rsidRPr="00DC1F84" w:rsidRDefault="009C68B2" w:rsidP="009C68B2">
      <w:pPr>
        <w:spacing w:line="360" w:lineRule="auto"/>
        <w:jc w:val="both"/>
        <w:rPr>
          <w:b/>
          <w:color w:val="000000"/>
          <w:u w:val="single"/>
        </w:rPr>
      </w:pPr>
    </w:p>
    <w:p w:rsidR="009C68B2" w:rsidRPr="00DC1F84" w:rsidRDefault="009C68B2" w:rsidP="009C68B2">
      <w:pPr>
        <w:spacing w:line="360" w:lineRule="auto"/>
        <w:jc w:val="both"/>
        <w:rPr>
          <w:b/>
          <w:color w:val="000000"/>
          <w:u w:val="single"/>
        </w:rPr>
      </w:pPr>
    </w:p>
    <w:p w:rsidR="009C68B2" w:rsidRPr="00DC1F84" w:rsidRDefault="009C68B2" w:rsidP="009C68B2">
      <w:pPr>
        <w:spacing w:line="360" w:lineRule="auto"/>
        <w:jc w:val="both"/>
        <w:rPr>
          <w:b/>
          <w:color w:val="000000"/>
        </w:rPr>
      </w:pPr>
      <w:r w:rsidRPr="00DC1F84">
        <w:rPr>
          <w:b/>
          <w:color w:val="000000"/>
        </w:rPr>
        <w:t xml:space="preserve">6.3.4.2- </w:t>
      </w:r>
      <w:r w:rsidRPr="00DC1F84">
        <w:rPr>
          <w:color w:val="000000"/>
        </w:rPr>
        <w:t>Série fresca</w:t>
      </w:r>
      <w:r>
        <w:rPr>
          <w:color w:val="000000"/>
        </w:rPr>
        <w:t>.</w:t>
      </w:r>
    </w:p>
    <w:p w:rsidR="009C68B2" w:rsidRPr="00DC1F84" w:rsidRDefault="009C68B2" w:rsidP="009C68B2">
      <w:pPr>
        <w:spacing w:line="360" w:lineRule="auto"/>
        <w:jc w:val="both"/>
        <w:rPr>
          <w:color w:val="FF0000"/>
        </w:rPr>
      </w:pPr>
    </w:p>
    <w:p w:rsidR="009C68B2" w:rsidRPr="00DC1F84" w:rsidRDefault="009C68B2" w:rsidP="009C68B2">
      <w:pPr>
        <w:autoSpaceDE w:val="0"/>
        <w:autoSpaceDN w:val="0"/>
        <w:adjustRightInd w:val="0"/>
        <w:spacing w:line="360" w:lineRule="auto"/>
        <w:jc w:val="both"/>
      </w:pPr>
      <w:r w:rsidRPr="00DC1F84">
        <w:t>6.3.</w:t>
      </w:r>
      <w:r>
        <w:t>4.</w:t>
      </w:r>
      <w:r w:rsidRPr="00DC1F84">
        <w:t>2.1- Matéria-prima</w:t>
      </w:r>
      <w:r>
        <w:t>.</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r w:rsidRPr="00DC1F84">
        <w:t>Em termos de matéria-prima predomina o quartzito (82%) seguido do sílex (11%) e quartzo (6%)</w:t>
      </w:r>
      <w:r>
        <w:t xml:space="preserve"> (</w:t>
      </w:r>
      <w:r w:rsidRPr="006268D8">
        <w:rPr>
          <w:sz w:val="22"/>
          <w:szCs w:val="22"/>
        </w:rPr>
        <w:t>Gráfico 6.3.14</w:t>
      </w:r>
      <w:r>
        <w:rPr>
          <w:sz w:val="22"/>
          <w:szCs w:val="22"/>
        </w:rPr>
        <w:t>)</w:t>
      </w:r>
      <w:r w:rsidRPr="00DC1F84">
        <w:t xml:space="preserve">. O arenito também marca presença mas aparece muito residualmente (1%). A qualidade do quartzito autóctone, de grão fino, justifica o predomínio deste tipo de matéria-prima nesta série uma vez que permite a aplicação de várias técnicas de </w:t>
      </w:r>
      <w:r>
        <w:t xml:space="preserve">talhe nomeadamente a </w:t>
      </w:r>
      <w:r w:rsidRPr="00A22077">
        <w:rPr>
          <w:i/>
        </w:rPr>
        <w:t>Levallois</w:t>
      </w:r>
      <w:r>
        <w:t>.</w:t>
      </w:r>
    </w:p>
    <w:p w:rsidR="009C68B2" w:rsidRPr="00DC1F84" w:rsidRDefault="009C68B2" w:rsidP="009C68B2">
      <w:pPr>
        <w:spacing w:line="360" w:lineRule="auto"/>
        <w:jc w:val="both"/>
        <w:rPr>
          <w:color w:val="FF0000"/>
        </w:rPr>
      </w:pPr>
    </w:p>
    <w:p w:rsidR="009C68B2" w:rsidRPr="00DC1F84" w:rsidRDefault="00EA3774" w:rsidP="009C68B2">
      <w:pPr>
        <w:spacing w:line="360" w:lineRule="auto"/>
        <w:ind w:left="360"/>
        <w:jc w:val="center"/>
        <w:rPr>
          <w:color w:val="FF0000"/>
        </w:rPr>
      </w:pPr>
      <w:r w:rsidRPr="00EA3774">
        <w:rPr>
          <w:lang w:eastAsia="en-US"/>
        </w:rPr>
        <w:pict>
          <v:shape id="_x0000_s1506" type="#_x0000_t202" style="position:absolute;left:0;text-align:left;margin-left:35.65pt;margin-top:194.6pt;width:367.75pt;height:46.3pt;z-index:251786240;mso-height-percent:200;mso-height-percent:200;mso-width-relative:margin;mso-height-relative:margin" stroked="f">
            <v:textbox style="mso-next-textbox:#_x0000_s1506;mso-fit-shape-to-text:t">
              <w:txbxContent>
                <w:p w:rsidR="00B34B0F" w:rsidRPr="006268D8" w:rsidRDefault="00B34B0F" w:rsidP="009C68B2">
                  <w:pPr>
                    <w:jc w:val="both"/>
                    <w:rPr>
                      <w:sz w:val="22"/>
                      <w:szCs w:val="22"/>
                    </w:rPr>
                  </w:pPr>
                  <w:r w:rsidRPr="006268D8">
                    <w:rPr>
                      <w:sz w:val="22"/>
                      <w:szCs w:val="22"/>
                    </w:rPr>
                    <w:t>Gráfico 6.3.14- Origem da matéria-prima presente</w:t>
                  </w:r>
                  <w:r>
                    <w:rPr>
                      <w:sz w:val="22"/>
                      <w:szCs w:val="22"/>
                    </w:rPr>
                    <w:t xml:space="preserve"> na sé</w:t>
                  </w:r>
                  <w:r w:rsidRPr="006268D8">
                    <w:rPr>
                      <w:sz w:val="22"/>
                      <w:szCs w:val="22"/>
                    </w:rPr>
                    <w:t>rie fresca da Tapada do Montinho.</w:t>
                  </w:r>
                </w:p>
                <w:p w:rsidR="00B34B0F" w:rsidRDefault="00B34B0F" w:rsidP="009C68B2"/>
              </w:txbxContent>
            </v:textbox>
          </v:shape>
        </w:pict>
      </w:r>
      <w:r w:rsidR="009C68B2" w:rsidRPr="00DC1F84">
        <w:rPr>
          <w:color w:val="FF0000"/>
        </w:rPr>
        <w:object w:dxaOrig="7618" w:dyaOrig="4506">
          <v:shape id="_x0000_i1063" type="#_x0000_t75" style="width:332.35pt;height:196.75pt" o:ole="">
            <v:imagedata r:id="rId175" o:title=""/>
          </v:shape>
          <o:OLEObject Type="Embed" ProgID="Excel.Sheet.12" ShapeID="_x0000_i1063" DrawAspect="Content" ObjectID="_1556969343" r:id="rId176"/>
        </w:object>
      </w:r>
    </w:p>
    <w:p w:rsidR="009C68B2" w:rsidRPr="00DC1F84" w:rsidRDefault="009C68B2" w:rsidP="009C68B2">
      <w:pPr>
        <w:spacing w:line="360" w:lineRule="auto"/>
        <w:jc w:val="both"/>
      </w:pPr>
    </w:p>
    <w:p w:rsidR="009C68B2" w:rsidRPr="00DC1F84" w:rsidRDefault="009C68B2" w:rsidP="009C68B2">
      <w:pPr>
        <w:spacing w:line="360" w:lineRule="auto"/>
        <w:jc w:val="both"/>
        <w:rPr>
          <w:color w:val="FF0000"/>
        </w:rPr>
      </w:pPr>
    </w:p>
    <w:p w:rsidR="009C68B2" w:rsidRPr="00DC1F84" w:rsidRDefault="009C68B2" w:rsidP="009C68B2">
      <w:pPr>
        <w:spacing w:line="360" w:lineRule="auto"/>
        <w:ind w:firstLine="360"/>
        <w:jc w:val="both"/>
      </w:pPr>
      <w:r w:rsidRPr="00DC1F84">
        <w:lastRenderedPageBreak/>
        <w:t>No que diz respeito à proveniência da matéria-prima observada na série fresca da Tapada do Montinho, verifica-se que a origem local predomina com um total de 70% do material talhado a ser proveniente das cristas quartzíticas das Portas de Ródão</w:t>
      </w:r>
      <w:r>
        <w:t xml:space="preserve"> (</w:t>
      </w:r>
      <w:r w:rsidRPr="006268D8">
        <w:rPr>
          <w:sz w:val="22"/>
          <w:szCs w:val="22"/>
        </w:rPr>
        <w:t>Gráfico 6.3.15</w:t>
      </w:r>
      <w:r>
        <w:rPr>
          <w:sz w:val="22"/>
          <w:szCs w:val="22"/>
        </w:rPr>
        <w:t>)</w:t>
      </w:r>
      <w:r w:rsidRPr="00DC1F84">
        <w:t>. A matéria-prima com origem externa representa cerca de 29% do total. Para algum material (residual- 1%) não foi possível definir a origem da matéria-prima.</w:t>
      </w:r>
    </w:p>
    <w:p w:rsidR="009C68B2" w:rsidRPr="00DC1F84" w:rsidRDefault="009C68B2" w:rsidP="009C68B2">
      <w:pPr>
        <w:spacing w:line="360" w:lineRule="auto"/>
        <w:rPr>
          <w:color w:val="FF0000"/>
        </w:rPr>
      </w:pPr>
      <w:r>
        <w:rPr>
          <w:color w:val="FF0000"/>
        </w:rPr>
        <w:t xml:space="preserve">               </w:t>
      </w:r>
      <w:r w:rsidRPr="00DC1F84">
        <w:rPr>
          <w:color w:val="FF0000"/>
        </w:rPr>
        <w:object w:dxaOrig="7677" w:dyaOrig="5296">
          <v:shape id="_x0000_i1064" type="#_x0000_t75" style="width:295.55pt;height:204.3pt" o:ole="">
            <v:imagedata r:id="rId177" o:title=""/>
          </v:shape>
          <o:OLEObject Type="Embed" ProgID="Excel.Sheet.12" ShapeID="_x0000_i1064" DrawAspect="Content" ObjectID="_1556969344" r:id="rId178"/>
        </w:object>
      </w:r>
    </w:p>
    <w:p w:rsidR="009C68B2" w:rsidRPr="00DC1F84" w:rsidRDefault="00EA3774" w:rsidP="009C68B2">
      <w:pPr>
        <w:spacing w:line="360" w:lineRule="auto"/>
        <w:jc w:val="both"/>
        <w:rPr>
          <w:color w:val="FF0000"/>
        </w:rPr>
      </w:pPr>
      <w:r>
        <w:rPr>
          <w:color w:val="FF0000"/>
          <w:lang w:eastAsia="en-US"/>
        </w:rPr>
        <w:pict>
          <v:shape id="_x0000_s1507" type="#_x0000_t202" style="position:absolute;left:0;text-align:left;margin-left:35.7pt;margin-top:.7pt;width:359pt;height:46.3pt;z-index:251787264;mso-height-percent:200;mso-height-percent:200;mso-width-relative:margin;mso-height-relative:margin" stroked="f">
            <v:textbox style="mso-next-textbox:#_x0000_s1507;mso-fit-shape-to-text:t">
              <w:txbxContent>
                <w:p w:rsidR="00B34B0F" w:rsidRPr="006268D8" w:rsidRDefault="00B34B0F" w:rsidP="009C68B2">
                  <w:pPr>
                    <w:jc w:val="both"/>
                    <w:rPr>
                      <w:sz w:val="22"/>
                      <w:szCs w:val="22"/>
                    </w:rPr>
                  </w:pPr>
                  <w:r w:rsidRPr="006268D8">
                    <w:rPr>
                      <w:sz w:val="22"/>
                      <w:szCs w:val="22"/>
                    </w:rPr>
                    <w:t>Gráfico 6.3.15- Proveniência</w:t>
                  </w:r>
                  <w:r>
                    <w:rPr>
                      <w:sz w:val="22"/>
                      <w:szCs w:val="22"/>
                    </w:rPr>
                    <w:t xml:space="preserve"> da matéria-prima presente na sé</w:t>
                  </w:r>
                  <w:r w:rsidRPr="006268D8">
                    <w:rPr>
                      <w:sz w:val="22"/>
                      <w:szCs w:val="22"/>
                    </w:rPr>
                    <w:t>rie fresca da Tapada do Montinho.</w:t>
                  </w:r>
                </w:p>
                <w:p w:rsidR="00B34B0F" w:rsidRDefault="00B34B0F" w:rsidP="009C68B2">
                  <w:pPr>
                    <w:jc w:val="both"/>
                  </w:pPr>
                </w:p>
              </w:txbxContent>
            </v:textbox>
          </v:shape>
        </w:pi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360"/>
        <w:jc w:val="both"/>
      </w:pPr>
      <w:r w:rsidRPr="00DC1F84">
        <w:t xml:space="preserve">A identificação do suporte utilizado na obtenção das lascas presentes na série fresca da Tapada do Montinho foi mais problemática, cristalizada na elevada percentagem de “indeterminados” que aparecem </w:t>
      </w:r>
      <w:r>
        <w:t>referenciados (</w:t>
      </w:r>
      <w:r w:rsidRPr="006268D8">
        <w:rPr>
          <w:sz w:val="22"/>
          <w:szCs w:val="22"/>
        </w:rPr>
        <w:t>Gráfico 6.3.16</w:t>
      </w:r>
      <w:r>
        <w:rPr>
          <w:sz w:val="22"/>
          <w:szCs w:val="22"/>
        </w:rPr>
        <w:t>)</w:t>
      </w:r>
      <w:r w:rsidRPr="00DC1F84">
        <w:t xml:space="preserve">. De facto, neste conjunto não foi possível determinar o tipo de suporte de 59% das peças analisadas. Nas restantes peças foi possível verificar que o seixo foi preferido em 28% dos casos e o bloco em 13% da população. </w:t>
      </w:r>
    </w:p>
    <w:p w:rsidR="009C68B2" w:rsidRPr="00DC1F84" w:rsidRDefault="00EA3774" w:rsidP="009C68B2">
      <w:pPr>
        <w:autoSpaceDE w:val="0"/>
        <w:autoSpaceDN w:val="0"/>
        <w:adjustRightInd w:val="0"/>
        <w:spacing w:line="360" w:lineRule="auto"/>
        <w:jc w:val="center"/>
      </w:pPr>
      <w:r>
        <w:rPr>
          <w:lang w:eastAsia="en-US"/>
        </w:rPr>
        <w:pict>
          <v:shape id="_x0000_s1508" type="#_x0000_t202" style="position:absolute;left:0;text-align:left;margin-left:29.45pt;margin-top:173.65pt;width:370.85pt;height:46.3pt;z-index:251788288;mso-height-percent:200;mso-height-percent:200;mso-width-relative:margin;mso-height-relative:margin" stroked="f">
            <v:textbox style="mso-next-textbox:#_x0000_s1508;mso-fit-shape-to-text:t">
              <w:txbxContent>
                <w:p w:rsidR="00B34B0F" w:rsidRPr="006268D8" w:rsidRDefault="00B34B0F" w:rsidP="009C68B2">
                  <w:pPr>
                    <w:jc w:val="both"/>
                    <w:rPr>
                      <w:sz w:val="22"/>
                      <w:szCs w:val="22"/>
                    </w:rPr>
                  </w:pPr>
                  <w:r w:rsidRPr="006268D8">
                    <w:rPr>
                      <w:sz w:val="22"/>
                      <w:szCs w:val="22"/>
                    </w:rPr>
                    <w:t>Gráfico 6.3.16- Tipo de suporte utilizado</w:t>
                  </w:r>
                  <w:r>
                    <w:rPr>
                      <w:sz w:val="22"/>
                      <w:szCs w:val="22"/>
                    </w:rPr>
                    <w:t xml:space="preserve"> na sé</w:t>
                  </w:r>
                  <w:r w:rsidRPr="006268D8">
                    <w:rPr>
                      <w:sz w:val="22"/>
                      <w:szCs w:val="22"/>
                    </w:rPr>
                    <w:t>rie fresca da Tapada do Montinho.</w:t>
                  </w:r>
                </w:p>
                <w:p w:rsidR="00B34B0F" w:rsidRDefault="00B34B0F" w:rsidP="009C68B2">
                  <w:pPr>
                    <w:jc w:val="center"/>
                  </w:pPr>
                </w:p>
              </w:txbxContent>
            </v:textbox>
          </v:shape>
        </w:pict>
      </w:r>
      <w:r w:rsidR="009C68B2" w:rsidRPr="00DC1F84">
        <w:object w:dxaOrig="7212" w:dyaOrig="4085">
          <v:shape id="_x0000_i1065" type="#_x0000_t75" style="width:340.75pt;height:193.4pt" o:ole="">
            <v:imagedata r:id="rId179" o:title=""/>
          </v:shape>
          <o:OLEObject Type="Embed" ProgID="Excel.Sheet.12" ShapeID="_x0000_i1065" DrawAspect="Content" ObjectID="_1556969345" r:id="rId180"/>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w:t>
      </w:r>
      <w:r>
        <w:t>4.2</w:t>
      </w:r>
      <w:r w:rsidRPr="00DC1F84">
        <w:t>.2- Percutor</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Como nesta estação as condições geoquímicas pós-deposicionais apenas permitiram que se conservasse o material de origem mineral, os únicos percutores identificados nesta colecção são minerais</w:t>
      </w:r>
      <w:r>
        <w:t xml:space="preserve"> (</w:t>
      </w:r>
      <w:r w:rsidRPr="006268D8">
        <w:rPr>
          <w:sz w:val="22"/>
          <w:szCs w:val="22"/>
        </w:rPr>
        <w:t>Gráfico 6.3.17</w:t>
      </w:r>
      <w:r>
        <w:rPr>
          <w:sz w:val="22"/>
          <w:szCs w:val="22"/>
        </w:rPr>
        <w:t>)</w:t>
      </w:r>
      <w:r w:rsidRPr="00DC1F84">
        <w:t xml:space="preserve">. Da observação macroscópica do material presente nesta série verifica-se que se privilegiou o uso deste tipo de percutor, sendo utilizado em cerca de 92% da população. Nos 8% que correspondem ao factor “indeterminado” poderá existir algum caso de utilização de percutor orgânico mas cuja identificação foi inconclusiva.   </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rPr>
          <w:b/>
        </w:rPr>
      </w:pPr>
      <w:r>
        <w:rPr>
          <w:b/>
          <w:lang w:eastAsia="en-US"/>
        </w:rPr>
        <w:pict>
          <v:shape id="_x0000_s1509" type="#_x0000_t202" style="position:absolute;left:0;text-align:left;margin-left:29.75pt;margin-top:197.95pt;width:376.15pt;height:46.3pt;z-index:251789312;mso-height-percent:200;mso-height-percent:200;mso-width-relative:margin;mso-height-relative:margin" stroked="f">
            <v:textbox style="mso-next-textbox:#_x0000_s1509;mso-fit-shape-to-text:t">
              <w:txbxContent>
                <w:p w:rsidR="00B34B0F" w:rsidRPr="006268D8" w:rsidRDefault="00B34B0F" w:rsidP="009C68B2">
                  <w:pPr>
                    <w:jc w:val="both"/>
                    <w:rPr>
                      <w:sz w:val="22"/>
                      <w:szCs w:val="22"/>
                    </w:rPr>
                  </w:pPr>
                  <w:r w:rsidRPr="006268D8">
                    <w:rPr>
                      <w:sz w:val="22"/>
                      <w:szCs w:val="22"/>
                    </w:rPr>
                    <w:t xml:space="preserve">Gráfico 6.3.17- </w:t>
                  </w:r>
                  <w:r>
                    <w:rPr>
                      <w:sz w:val="22"/>
                      <w:szCs w:val="22"/>
                    </w:rPr>
                    <w:t>Tipo de percutor utilizado na sé</w:t>
                  </w:r>
                  <w:r w:rsidRPr="006268D8">
                    <w:rPr>
                      <w:sz w:val="22"/>
                      <w:szCs w:val="22"/>
                    </w:rPr>
                    <w:t>rie patinada da Tapada do Montinho.</w:t>
                  </w:r>
                </w:p>
                <w:p w:rsidR="00B34B0F" w:rsidRDefault="00B34B0F" w:rsidP="009C68B2"/>
              </w:txbxContent>
            </v:textbox>
          </v:shape>
        </w:pict>
      </w:r>
      <w:r w:rsidR="009C68B2" w:rsidRPr="00DC1F84">
        <w:rPr>
          <w:b/>
        </w:rPr>
        <w:object w:dxaOrig="7212" w:dyaOrig="4085">
          <v:shape id="_x0000_i1066" type="#_x0000_t75" style="width:5in;height:204.3pt" o:ole="">
            <v:imagedata r:id="rId181" o:title=""/>
          </v:shape>
          <o:OLEObject Type="Embed" ProgID="Excel.Sheet.12" ShapeID="_x0000_i1066" DrawAspect="Content" ObjectID="_1556969346" r:id="rId182"/>
        </w:object>
      </w:r>
    </w:p>
    <w:p w:rsidR="009C68B2" w:rsidRPr="00DC1F84" w:rsidRDefault="009C68B2" w:rsidP="009C68B2">
      <w:pPr>
        <w:autoSpaceDE w:val="0"/>
        <w:autoSpaceDN w:val="0"/>
        <w:adjustRightInd w:val="0"/>
        <w:spacing w:line="360" w:lineRule="auto"/>
        <w:jc w:val="both"/>
        <w:rPr>
          <w:b/>
        </w:rPr>
      </w:pPr>
    </w:p>
    <w:p w:rsidR="009C68B2" w:rsidRPr="00DC1F84"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r w:rsidRPr="00DC1F84">
        <w:t>Os três percutores recolhidos durante a escavação correspondem a três seixos de origem fluvial, em quartzito</w:t>
      </w:r>
      <w:r>
        <w:t xml:space="preserve"> (foto 6.3.4)</w:t>
      </w:r>
      <w:r w:rsidRPr="00DC1F84">
        <w:t xml:space="preserve">. Apresentam estigmas resultando de percussões repetidas nos vértices. As suas dimensões são heterogéneas mas permitem uma primeira abordagem à morfologia dos percutores (Tabela 6.3.2). </w:t>
      </w:r>
    </w:p>
    <w:p w:rsidR="009C68B2" w:rsidRPr="00DC1F84" w:rsidRDefault="009C68B2" w:rsidP="009C68B2">
      <w:pPr>
        <w:autoSpaceDE w:val="0"/>
        <w:autoSpaceDN w:val="0"/>
        <w:adjustRightInd w:val="0"/>
        <w:spacing w:line="360" w:lineRule="auto"/>
        <w:ind w:firstLine="708"/>
        <w:jc w:val="both"/>
      </w:pPr>
    </w:p>
    <w:tbl>
      <w:tblPr>
        <w:tblStyle w:val="SombreadoClaro-Cor5"/>
        <w:tblW w:w="8505" w:type="dxa"/>
        <w:tblInd w:w="108" w:type="dxa"/>
        <w:tblLook w:val="04A0"/>
      </w:tblPr>
      <w:tblGrid>
        <w:gridCol w:w="1550"/>
        <w:gridCol w:w="1365"/>
        <w:gridCol w:w="1656"/>
        <w:gridCol w:w="1356"/>
        <w:gridCol w:w="1397"/>
        <w:gridCol w:w="1181"/>
      </w:tblGrid>
      <w:tr w:rsidR="009C68B2" w:rsidRPr="00DC1F84" w:rsidTr="00632F9C">
        <w:trPr>
          <w:cnfStyle w:val="100000000000"/>
        </w:trPr>
        <w:tc>
          <w:tcPr>
            <w:cnfStyle w:val="001000000000"/>
            <w:tcW w:w="1550" w:type="dxa"/>
          </w:tcPr>
          <w:p w:rsidR="009C68B2" w:rsidRPr="00A34F84" w:rsidRDefault="009C68B2" w:rsidP="00632F9C">
            <w:pPr>
              <w:autoSpaceDE w:val="0"/>
              <w:autoSpaceDN w:val="0"/>
              <w:adjustRightInd w:val="0"/>
              <w:spacing w:line="360" w:lineRule="auto"/>
              <w:jc w:val="both"/>
              <w:rPr>
                <w:color w:val="auto"/>
              </w:rPr>
            </w:pPr>
            <w:r w:rsidRPr="00A34F84">
              <w:rPr>
                <w:color w:val="auto"/>
              </w:rPr>
              <w:t>Identificação</w:t>
            </w:r>
          </w:p>
        </w:tc>
        <w:tc>
          <w:tcPr>
            <w:tcW w:w="1365" w:type="dxa"/>
          </w:tcPr>
          <w:p w:rsidR="009C68B2" w:rsidRPr="00A34F84" w:rsidRDefault="009C68B2" w:rsidP="00632F9C">
            <w:pPr>
              <w:autoSpaceDE w:val="0"/>
              <w:autoSpaceDN w:val="0"/>
              <w:adjustRightInd w:val="0"/>
              <w:spacing w:line="360" w:lineRule="auto"/>
              <w:jc w:val="both"/>
              <w:cnfStyle w:val="100000000000"/>
              <w:rPr>
                <w:color w:val="auto"/>
              </w:rPr>
            </w:pPr>
            <w:r w:rsidRPr="00A34F84">
              <w:rPr>
                <w:color w:val="auto"/>
              </w:rPr>
              <w:t>M.-prima</w:t>
            </w:r>
          </w:p>
        </w:tc>
        <w:tc>
          <w:tcPr>
            <w:tcW w:w="1656" w:type="dxa"/>
          </w:tcPr>
          <w:p w:rsidR="009C68B2" w:rsidRPr="00A34F84" w:rsidRDefault="009C68B2" w:rsidP="00632F9C">
            <w:pPr>
              <w:autoSpaceDE w:val="0"/>
              <w:autoSpaceDN w:val="0"/>
              <w:adjustRightInd w:val="0"/>
              <w:spacing w:line="360" w:lineRule="auto"/>
              <w:jc w:val="both"/>
              <w:cnfStyle w:val="100000000000"/>
              <w:rPr>
                <w:color w:val="auto"/>
              </w:rPr>
            </w:pPr>
            <w:r w:rsidRPr="00A34F84">
              <w:rPr>
                <w:color w:val="auto"/>
              </w:rPr>
              <w:t>Comprimento</w:t>
            </w:r>
          </w:p>
        </w:tc>
        <w:tc>
          <w:tcPr>
            <w:tcW w:w="1356" w:type="dxa"/>
          </w:tcPr>
          <w:p w:rsidR="009C68B2" w:rsidRPr="00A34F84" w:rsidRDefault="009C68B2" w:rsidP="00632F9C">
            <w:pPr>
              <w:autoSpaceDE w:val="0"/>
              <w:autoSpaceDN w:val="0"/>
              <w:adjustRightInd w:val="0"/>
              <w:spacing w:line="360" w:lineRule="auto"/>
              <w:jc w:val="both"/>
              <w:cnfStyle w:val="100000000000"/>
              <w:rPr>
                <w:color w:val="auto"/>
              </w:rPr>
            </w:pPr>
            <w:r w:rsidRPr="00A34F84">
              <w:rPr>
                <w:color w:val="auto"/>
              </w:rPr>
              <w:t>Largura</w:t>
            </w:r>
          </w:p>
        </w:tc>
        <w:tc>
          <w:tcPr>
            <w:tcW w:w="1397" w:type="dxa"/>
          </w:tcPr>
          <w:p w:rsidR="009C68B2" w:rsidRPr="00A34F84" w:rsidRDefault="009C68B2" w:rsidP="00632F9C">
            <w:pPr>
              <w:autoSpaceDE w:val="0"/>
              <w:autoSpaceDN w:val="0"/>
              <w:adjustRightInd w:val="0"/>
              <w:spacing w:line="360" w:lineRule="auto"/>
              <w:jc w:val="both"/>
              <w:cnfStyle w:val="100000000000"/>
              <w:rPr>
                <w:color w:val="auto"/>
              </w:rPr>
            </w:pPr>
            <w:r w:rsidRPr="00A34F84">
              <w:rPr>
                <w:color w:val="auto"/>
              </w:rPr>
              <w:t>Espessura</w:t>
            </w:r>
          </w:p>
        </w:tc>
        <w:tc>
          <w:tcPr>
            <w:tcW w:w="1181" w:type="dxa"/>
          </w:tcPr>
          <w:p w:rsidR="009C68B2" w:rsidRPr="00A34F84" w:rsidRDefault="009C68B2" w:rsidP="00632F9C">
            <w:pPr>
              <w:autoSpaceDE w:val="0"/>
              <w:autoSpaceDN w:val="0"/>
              <w:adjustRightInd w:val="0"/>
              <w:spacing w:line="360" w:lineRule="auto"/>
              <w:jc w:val="both"/>
              <w:cnfStyle w:val="100000000000"/>
              <w:rPr>
                <w:color w:val="auto"/>
              </w:rPr>
            </w:pPr>
            <w:r w:rsidRPr="00A34F84">
              <w:rPr>
                <w:color w:val="auto"/>
              </w:rPr>
              <w:t>Peso</w:t>
            </w:r>
          </w:p>
        </w:tc>
      </w:tr>
      <w:tr w:rsidR="009C68B2" w:rsidRPr="00DC1F84" w:rsidTr="00632F9C">
        <w:trPr>
          <w:cnfStyle w:val="000000100000"/>
        </w:trPr>
        <w:tc>
          <w:tcPr>
            <w:cnfStyle w:val="001000000000"/>
            <w:tcW w:w="1550" w:type="dxa"/>
          </w:tcPr>
          <w:p w:rsidR="009C68B2" w:rsidRPr="00A34F84" w:rsidRDefault="009C68B2" w:rsidP="00632F9C">
            <w:pPr>
              <w:autoSpaceDE w:val="0"/>
              <w:autoSpaceDN w:val="0"/>
              <w:adjustRightInd w:val="0"/>
              <w:spacing w:line="360" w:lineRule="auto"/>
              <w:jc w:val="both"/>
              <w:rPr>
                <w:color w:val="auto"/>
              </w:rPr>
            </w:pPr>
            <w:r w:rsidRPr="00A34F84">
              <w:rPr>
                <w:color w:val="auto"/>
              </w:rPr>
              <w:t>N37 15</w:t>
            </w:r>
          </w:p>
        </w:tc>
        <w:tc>
          <w:tcPr>
            <w:tcW w:w="1365"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Quartzito</w:t>
            </w:r>
          </w:p>
        </w:tc>
        <w:tc>
          <w:tcPr>
            <w:tcW w:w="1656"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48,96</w:t>
            </w:r>
          </w:p>
        </w:tc>
        <w:tc>
          <w:tcPr>
            <w:tcW w:w="1356"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40,75</w:t>
            </w:r>
          </w:p>
        </w:tc>
        <w:tc>
          <w:tcPr>
            <w:tcW w:w="1397"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35,93</w:t>
            </w:r>
          </w:p>
        </w:tc>
        <w:tc>
          <w:tcPr>
            <w:tcW w:w="1181"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 xml:space="preserve">96 </w:t>
            </w:r>
            <w:proofErr w:type="gramStart"/>
            <w:r w:rsidRPr="00A34F84">
              <w:rPr>
                <w:color w:val="auto"/>
              </w:rPr>
              <w:t>g</w:t>
            </w:r>
            <w:proofErr w:type="gramEnd"/>
          </w:p>
        </w:tc>
      </w:tr>
      <w:tr w:rsidR="009C68B2" w:rsidRPr="00DC1F84" w:rsidTr="00632F9C">
        <w:tc>
          <w:tcPr>
            <w:cnfStyle w:val="001000000000"/>
            <w:tcW w:w="1550" w:type="dxa"/>
          </w:tcPr>
          <w:p w:rsidR="009C68B2" w:rsidRPr="00A34F84" w:rsidRDefault="009C68B2" w:rsidP="00632F9C">
            <w:pPr>
              <w:autoSpaceDE w:val="0"/>
              <w:autoSpaceDN w:val="0"/>
              <w:adjustRightInd w:val="0"/>
              <w:spacing w:line="360" w:lineRule="auto"/>
              <w:jc w:val="both"/>
              <w:rPr>
                <w:color w:val="auto"/>
              </w:rPr>
            </w:pPr>
            <w:r w:rsidRPr="00A34F84">
              <w:rPr>
                <w:color w:val="auto"/>
              </w:rPr>
              <w:t>O41 13</w:t>
            </w:r>
          </w:p>
        </w:tc>
        <w:tc>
          <w:tcPr>
            <w:tcW w:w="1365" w:type="dxa"/>
          </w:tcPr>
          <w:p w:rsidR="009C68B2" w:rsidRPr="00A34F84" w:rsidRDefault="009C68B2" w:rsidP="00632F9C">
            <w:pPr>
              <w:autoSpaceDE w:val="0"/>
              <w:autoSpaceDN w:val="0"/>
              <w:adjustRightInd w:val="0"/>
              <w:spacing w:line="360" w:lineRule="auto"/>
              <w:jc w:val="both"/>
              <w:cnfStyle w:val="000000000000"/>
              <w:rPr>
                <w:color w:val="auto"/>
              </w:rPr>
            </w:pPr>
            <w:r w:rsidRPr="00A34F84">
              <w:rPr>
                <w:color w:val="auto"/>
              </w:rPr>
              <w:t>Quartzito</w:t>
            </w:r>
          </w:p>
        </w:tc>
        <w:tc>
          <w:tcPr>
            <w:tcW w:w="1656" w:type="dxa"/>
          </w:tcPr>
          <w:p w:rsidR="009C68B2" w:rsidRPr="00A34F84" w:rsidRDefault="009C68B2" w:rsidP="00632F9C">
            <w:pPr>
              <w:autoSpaceDE w:val="0"/>
              <w:autoSpaceDN w:val="0"/>
              <w:adjustRightInd w:val="0"/>
              <w:spacing w:line="360" w:lineRule="auto"/>
              <w:jc w:val="both"/>
              <w:cnfStyle w:val="000000000000"/>
              <w:rPr>
                <w:color w:val="auto"/>
              </w:rPr>
            </w:pPr>
            <w:r w:rsidRPr="00A34F84">
              <w:rPr>
                <w:color w:val="auto"/>
              </w:rPr>
              <w:t>57,89</w:t>
            </w:r>
          </w:p>
        </w:tc>
        <w:tc>
          <w:tcPr>
            <w:tcW w:w="1356" w:type="dxa"/>
          </w:tcPr>
          <w:p w:rsidR="009C68B2" w:rsidRPr="00A34F84" w:rsidRDefault="009C68B2" w:rsidP="00632F9C">
            <w:pPr>
              <w:autoSpaceDE w:val="0"/>
              <w:autoSpaceDN w:val="0"/>
              <w:adjustRightInd w:val="0"/>
              <w:spacing w:line="360" w:lineRule="auto"/>
              <w:jc w:val="both"/>
              <w:cnfStyle w:val="000000000000"/>
              <w:rPr>
                <w:color w:val="auto"/>
              </w:rPr>
            </w:pPr>
            <w:r w:rsidRPr="00A34F84">
              <w:rPr>
                <w:color w:val="auto"/>
              </w:rPr>
              <w:t>51,34</w:t>
            </w:r>
          </w:p>
        </w:tc>
        <w:tc>
          <w:tcPr>
            <w:tcW w:w="1397" w:type="dxa"/>
          </w:tcPr>
          <w:p w:rsidR="009C68B2" w:rsidRPr="00A34F84" w:rsidRDefault="009C68B2" w:rsidP="00632F9C">
            <w:pPr>
              <w:autoSpaceDE w:val="0"/>
              <w:autoSpaceDN w:val="0"/>
              <w:adjustRightInd w:val="0"/>
              <w:spacing w:line="360" w:lineRule="auto"/>
              <w:jc w:val="both"/>
              <w:cnfStyle w:val="000000000000"/>
              <w:rPr>
                <w:color w:val="auto"/>
              </w:rPr>
            </w:pPr>
            <w:r w:rsidRPr="00A34F84">
              <w:rPr>
                <w:color w:val="auto"/>
              </w:rPr>
              <w:t>29,67</w:t>
            </w:r>
          </w:p>
        </w:tc>
        <w:tc>
          <w:tcPr>
            <w:tcW w:w="1181" w:type="dxa"/>
          </w:tcPr>
          <w:p w:rsidR="009C68B2" w:rsidRPr="00A34F84" w:rsidRDefault="009C68B2" w:rsidP="00632F9C">
            <w:pPr>
              <w:autoSpaceDE w:val="0"/>
              <w:autoSpaceDN w:val="0"/>
              <w:adjustRightInd w:val="0"/>
              <w:spacing w:line="360" w:lineRule="auto"/>
              <w:jc w:val="both"/>
              <w:cnfStyle w:val="000000000000"/>
              <w:rPr>
                <w:color w:val="auto"/>
              </w:rPr>
            </w:pPr>
            <w:r w:rsidRPr="00A34F84">
              <w:rPr>
                <w:color w:val="auto"/>
              </w:rPr>
              <w:t>122g</w:t>
            </w:r>
          </w:p>
        </w:tc>
      </w:tr>
      <w:tr w:rsidR="009C68B2" w:rsidRPr="00DC1F84" w:rsidTr="00632F9C">
        <w:trPr>
          <w:cnfStyle w:val="000000100000"/>
        </w:trPr>
        <w:tc>
          <w:tcPr>
            <w:cnfStyle w:val="001000000000"/>
            <w:tcW w:w="1550" w:type="dxa"/>
          </w:tcPr>
          <w:p w:rsidR="009C68B2" w:rsidRPr="00A34F84" w:rsidRDefault="009C68B2" w:rsidP="00632F9C">
            <w:pPr>
              <w:autoSpaceDE w:val="0"/>
              <w:autoSpaceDN w:val="0"/>
              <w:adjustRightInd w:val="0"/>
              <w:spacing w:line="360" w:lineRule="auto"/>
              <w:jc w:val="both"/>
              <w:rPr>
                <w:color w:val="auto"/>
              </w:rPr>
            </w:pPr>
            <w:r w:rsidRPr="00A34F84">
              <w:rPr>
                <w:color w:val="auto"/>
              </w:rPr>
              <w:t>O40 29</w:t>
            </w:r>
          </w:p>
        </w:tc>
        <w:tc>
          <w:tcPr>
            <w:tcW w:w="1365"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Quartzito</w:t>
            </w:r>
          </w:p>
        </w:tc>
        <w:tc>
          <w:tcPr>
            <w:tcW w:w="1656"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94,57</w:t>
            </w:r>
          </w:p>
        </w:tc>
        <w:tc>
          <w:tcPr>
            <w:tcW w:w="1356"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63,18</w:t>
            </w:r>
          </w:p>
        </w:tc>
        <w:tc>
          <w:tcPr>
            <w:tcW w:w="1397"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38,52</w:t>
            </w:r>
          </w:p>
        </w:tc>
        <w:tc>
          <w:tcPr>
            <w:tcW w:w="1181" w:type="dxa"/>
          </w:tcPr>
          <w:p w:rsidR="009C68B2" w:rsidRPr="00A34F84" w:rsidRDefault="009C68B2" w:rsidP="00632F9C">
            <w:pPr>
              <w:autoSpaceDE w:val="0"/>
              <w:autoSpaceDN w:val="0"/>
              <w:adjustRightInd w:val="0"/>
              <w:spacing w:line="360" w:lineRule="auto"/>
              <w:jc w:val="both"/>
              <w:cnfStyle w:val="000000100000"/>
              <w:rPr>
                <w:color w:val="auto"/>
              </w:rPr>
            </w:pPr>
            <w:r w:rsidRPr="00A34F84">
              <w:rPr>
                <w:color w:val="auto"/>
              </w:rPr>
              <w:t>316g</w:t>
            </w:r>
          </w:p>
        </w:tc>
      </w:tr>
    </w:tbl>
    <w:p w:rsidR="009C68B2" w:rsidRPr="00DC1F84" w:rsidRDefault="00EA3774" w:rsidP="009C68B2">
      <w:pPr>
        <w:autoSpaceDE w:val="0"/>
        <w:autoSpaceDN w:val="0"/>
        <w:adjustRightInd w:val="0"/>
        <w:spacing w:line="360" w:lineRule="auto"/>
        <w:jc w:val="both"/>
        <w:rPr>
          <w:b/>
        </w:rPr>
      </w:pPr>
      <w:r>
        <w:rPr>
          <w:b/>
          <w:lang w:eastAsia="en-US"/>
        </w:rPr>
        <w:pict>
          <v:shape id="_x0000_s1513" type="#_x0000_t202" style="position:absolute;left:0;text-align:left;margin-left:-4.85pt;margin-top:1.1pt;width:431.9pt;height:34.8pt;z-index:251793408;mso-height-percent:200;mso-position-horizontal-relative:text;mso-position-vertical-relative:text;mso-height-percent:200;mso-width-relative:margin;mso-height-relative:margin" stroked="f">
            <v:textbox style="mso-next-textbox:#_x0000_s1513;mso-fit-shape-to-text:t">
              <w:txbxContent>
                <w:p w:rsidR="00B34B0F" w:rsidRPr="00CE4EBA" w:rsidRDefault="00B34B0F" w:rsidP="009C68B2">
                  <w:r w:rsidRPr="00CE4EBA">
                    <w:t>Tabela 6.3.2- Dados morfológicos dos percutores recolhidos na Tapada do Montinho.</w:t>
                  </w:r>
                </w:p>
                <w:p w:rsidR="00B34B0F" w:rsidRDefault="00B34B0F" w:rsidP="009C68B2"/>
              </w:txbxContent>
            </v:textbox>
          </v:shape>
        </w:pict>
      </w:r>
    </w:p>
    <w:p w:rsidR="009C68B2" w:rsidRPr="00DC1F84" w:rsidRDefault="009C68B2" w:rsidP="009C68B2">
      <w:pPr>
        <w:autoSpaceDE w:val="0"/>
        <w:autoSpaceDN w:val="0"/>
        <w:adjustRightInd w:val="0"/>
        <w:spacing w:line="360" w:lineRule="auto"/>
        <w:jc w:val="both"/>
        <w:rPr>
          <w:b/>
        </w:rPr>
      </w:pPr>
    </w:p>
    <w:p w:rsidR="009C68B2" w:rsidRPr="00DC1F84" w:rsidRDefault="00EA3774" w:rsidP="009C68B2">
      <w:pPr>
        <w:autoSpaceDE w:val="0"/>
        <w:autoSpaceDN w:val="0"/>
        <w:adjustRightInd w:val="0"/>
        <w:spacing w:line="360" w:lineRule="auto"/>
        <w:jc w:val="both"/>
        <w:rPr>
          <w:b/>
          <w:color w:val="FF0000"/>
        </w:rPr>
      </w:pPr>
      <w:r>
        <w:rPr>
          <w:b/>
          <w:color w:val="FF0000"/>
          <w:lang w:eastAsia="en-US"/>
        </w:rPr>
        <w:pict>
          <v:shape id="_x0000_s1529" type="#_x0000_t202" style="position:absolute;left:0;text-align:left;margin-left:-4.85pt;margin-top:232.75pt;width:429.05pt;height:36.9pt;z-index:251809792;mso-width-relative:margin;mso-height-relative:margin" stroked="f">
            <v:textbox style="mso-next-textbox:#_x0000_s1529">
              <w:txbxContent>
                <w:p w:rsidR="00B34B0F" w:rsidRPr="009D2A7D" w:rsidRDefault="00B34B0F" w:rsidP="009C68B2">
                  <w:pPr>
                    <w:rPr>
                      <w:sz w:val="22"/>
                      <w:szCs w:val="22"/>
                    </w:rPr>
                  </w:pPr>
                  <w:r w:rsidRPr="009D2A7D">
                    <w:rPr>
                      <w:sz w:val="22"/>
                      <w:szCs w:val="22"/>
                    </w:rPr>
                    <w:t>Foto 6.3.4- Vista geral dos três percutores recolhidos na s</w:t>
                  </w:r>
                  <w:r>
                    <w:rPr>
                      <w:sz w:val="22"/>
                      <w:szCs w:val="22"/>
                    </w:rPr>
                    <w:t>é</w:t>
                  </w:r>
                  <w:r w:rsidRPr="009D2A7D">
                    <w:rPr>
                      <w:sz w:val="22"/>
                      <w:szCs w:val="22"/>
                    </w:rPr>
                    <w:t>rie fresca da Tapada do Montinho</w:t>
                  </w:r>
                </w:p>
                <w:p w:rsidR="00B34B0F" w:rsidRDefault="00B34B0F" w:rsidP="009C68B2"/>
              </w:txbxContent>
            </v:textbox>
          </v:shape>
        </w:pict>
      </w:r>
      <w:r w:rsidR="009C68B2">
        <w:rPr>
          <w:b/>
          <w:noProof/>
          <w:color w:val="FF0000"/>
        </w:rPr>
        <w:drawing>
          <wp:inline distT="0" distB="0" distL="0" distR="0">
            <wp:extent cx="5400675" cy="2971800"/>
            <wp:effectExtent l="19050" t="0" r="9525" b="0"/>
            <wp:docPr id="437" name="Imagem 26" descr="PercutoresT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ercutoresTPM"/>
                    <pic:cNvPicPr>
                      <a:picLocks noChangeAspect="1" noChangeArrowheads="1"/>
                    </pic:cNvPicPr>
                  </pic:nvPicPr>
                  <pic:blipFill>
                    <a:blip r:embed="rId183" cstate="print"/>
                    <a:srcRect/>
                    <a:stretch>
                      <a:fillRect/>
                    </a:stretch>
                  </pic:blipFill>
                  <pic:spPr bwMode="auto">
                    <a:xfrm>
                      <a:off x="0" y="0"/>
                      <a:ext cx="5400675" cy="2971800"/>
                    </a:xfrm>
                    <a:prstGeom prst="rect">
                      <a:avLst/>
                    </a:prstGeom>
                    <a:noFill/>
                    <a:ln w="9525">
                      <a:noFill/>
                      <a:miter lim="800000"/>
                      <a:headEnd/>
                      <a:tailEnd/>
                    </a:ln>
                  </pic:spPr>
                </pic:pic>
              </a:graphicData>
            </a:graphic>
          </wp:inline>
        </w:drawing>
      </w:r>
    </w:p>
    <w:p w:rsidR="009C68B2" w:rsidRDefault="009C68B2" w:rsidP="009C68B2">
      <w:pPr>
        <w:autoSpaceDE w:val="0"/>
        <w:autoSpaceDN w:val="0"/>
        <w:adjustRightInd w:val="0"/>
        <w:spacing w:line="360" w:lineRule="auto"/>
        <w:jc w:val="both"/>
        <w:rPr>
          <w:b/>
        </w:rPr>
      </w:pPr>
    </w:p>
    <w:p w:rsidR="009C68B2" w:rsidRDefault="009C68B2" w:rsidP="009C68B2">
      <w:pPr>
        <w:autoSpaceDE w:val="0"/>
        <w:autoSpaceDN w:val="0"/>
        <w:adjustRightInd w:val="0"/>
        <w:spacing w:line="360" w:lineRule="auto"/>
        <w:jc w:val="both"/>
        <w:rPr>
          <w:b/>
        </w:rPr>
      </w:pPr>
    </w:p>
    <w:p w:rsidR="009C68B2" w:rsidRPr="00DC1F84" w:rsidRDefault="009C68B2" w:rsidP="009C68B2">
      <w:pPr>
        <w:autoSpaceDE w:val="0"/>
        <w:autoSpaceDN w:val="0"/>
        <w:adjustRightInd w:val="0"/>
        <w:spacing w:line="360" w:lineRule="auto"/>
        <w:jc w:val="both"/>
        <w:rPr>
          <w:b/>
        </w:rPr>
      </w:pPr>
    </w:p>
    <w:p w:rsidR="009C68B2" w:rsidRPr="00FC3C8C" w:rsidRDefault="009C68B2" w:rsidP="009C68B2">
      <w:pPr>
        <w:autoSpaceDE w:val="0"/>
        <w:autoSpaceDN w:val="0"/>
        <w:adjustRightInd w:val="0"/>
        <w:spacing w:line="360" w:lineRule="auto"/>
        <w:jc w:val="both"/>
      </w:pPr>
      <w:r w:rsidRPr="00FC3C8C">
        <w:t>6.3.4.</w:t>
      </w:r>
      <w:r>
        <w:t>2</w:t>
      </w:r>
      <w:r w:rsidRPr="00FC3C8C">
        <w:t>.</w:t>
      </w:r>
      <w:r>
        <w:t>3</w:t>
      </w:r>
      <w:r w:rsidRPr="00FC3C8C">
        <w:t>- Caracterização morfológica da indústria</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Como já foi referido anteriormente, a indústria lítica recolhida na estação dos Pegos do Tejo 2 corresponde a uma indústria cujo objectivo era a produção de lascas. Essas lascas seriam, posteriormente, alvo de processos de retoque ou usadas em bruto. De facto, dentro da população estudada, o subconjunto das lascas é o mais representado, correspondendo a 84 % da população (N=265)</w:t>
      </w:r>
      <w:r w:rsidRPr="00C51126">
        <w:rPr>
          <w:sz w:val="22"/>
          <w:szCs w:val="22"/>
        </w:rPr>
        <w:t xml:space="preserve"> </w:t>
      </w:r>
      <w:r>
        <w:rPr>
          <w:sz w:val="22"/>
          <w:szCs w:val="22"/>
        </w:rPr>
        <w:t>(</w:t>
      </w:r>
      <w:r w:rsidRPr="006268D8">
        <w:rPr>
          <w:sz w:val="22"/>
          <w:szCs w:val="22"/>
        </w:rPr>
        <w:t>Gráfico 6.3.18</w:t>
      </w:r>
      <w:r>
        <w:rPr>
          <w:sz w:val="22"/>
          <w:szCs w:val="22"/>
        </w:rPr>
        <w:t>)</w:t>
      </w:r>
      <w:r w:rsidRPr="00DC1F84">
        <w:t xml:space="preserve">. </w:t>
      </w:r>
    </w:p>
    <w:p w:rsidR="009C68B2" w:rsidRPr="00DC1F84" w:rsidRDefault="00EA3774" w:rsidP="009C68B2">
      <w:pPr>
        <w:autoSpaceDE w:val="0"/>
        <w:autoSpaceDN w:val="0"/>
        <w:adjustRightInd w:val="0"/>
        <w:spacing w:line="360" w:lineRule="auto"/>
        <w:jc w:val="center"/>
      </w:pPr>
      <w:r>
        <w:rPr>
          <w:lang w:eastAsia="en-US"/>
        </w:rPr>
        <w:pict>
          <v:shape id="_x0000_s1512" type="#_x0000_t202" style="position:absolute;left:0;text-align:left;margin-left:25.65pt;margin-top:190.15pt;width:373.9pt;height:35.15pt;z-index:251792384;mso-width-relative:margin;mso-height-relative:margin" stroked="f">
            <v:textbox style="mso-next-textbox:#_x0000_s1512">
              <w:txbxContent>
                <w:p w:rsidR="00B34B0F" w:rsidRPr="006268D8" w:rsidRDefault="00B34B0F" w:rsidP="009C68B2">
                  <w:pPr>
                    <w:jc w:val="both"/>
                    <w:rPr>
                      <w:sz w:val="22"/>
                      <w:szCs w:val="22"/>
                    </w:rPr>
                  </w:pPr>
                  <w:r w:rsidRPr="006268D8">
                    <w:rPr>
                      <w:sz w:val="22"/>
                      <w:szCs w:val="22"/>
                    </w:rPr>
                    <w:t>Gráfico 6.3.18- Percentagem, por categ</w:t>
                  </w:r>
                  <w:r>
                    <w:rPr>
                      <w:sz w:val="22"/>
                      <w:szCs w:val="22"/>
                    </w:rPr>
                    <w:t>orias, da indústria lítica da sé</w:t>
                  </w:r>
                  <w:r w:rsidRPr="006268D8">
                    <w:rPr>
                      <w:sz w:val="22"/>
                      <w:szCs w:val="22"/>
                    </w:rPr>
                    <w:t>rie fresca da Tapada do Montinho.</w:t>
                  </w:r>
                </w:p>
                <w:p w:rsidR="00B34B0F" w:rsidRDefault="00B34B0F" w:rsidP="009C68B2"/>
              </w:txbxContent>
            </v:textbox>
          </v:shape>
        </w:pict>
      </w:r>
      <w:r w:rsidR="009C68B2" w:rsidRPr="00DC1F84">
        <w:object w:dxaOrig="7212" w:dyaOrig="4085">
          <v:shape id="_x0000_i1067" type="#_x0000_t75" style="width:5in;height:204.3pt" o:ole="">
            <v:imagedata r:id="rId184" o:title=""/>
          </v:shape>
          <o:OLEObject Type="Embed" ProgID="Excel.Sheet.12" ShapeID="_x0000_i1067" DrawAspect="Content" ObjectID="_1556969347" r:id="rId185"/>
        </w:object>
      </w:r>
    </w:p>
    <w:p w:rsidR="009C68B2"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A este subconjunto das lascas, por afinidades morfológicas, pode ser somad</w:t>
      </w:r>
      <w:r>
        <w:t>o o outro subconjunto das esquí</w:t>
      </w:r>
      <w:r w:rsidRPr="00DC1F84">
        <w:t>rolas, que corresp</w:t>
      </w:r>
      <w:r>
        <w:t>ondem a 9% (N=29) do total da sé</w:t>
      </w:r>
      <w:r w:rsidRPr="00DC1F84">
        <w:t>rie. A única dife</w:t>
      </w:r>
      <w:r>
        <w:t>rença entre as lascas e as esquí</w:t>
      </w:r>
      <w:r w:rsidRPr="00DC1F84">
        <w:t xml:space="preserve">rolas corresponde a uma diferença de dimensão. Optou-se por diferenciar os suportes com menos de 15 mm dos restantes, </w:t>
      </w:r>
      <w:r>
        <w:t>dando-lhe a denominação de esquí</w:t>
      </w:r>
      <w:r w:rsidRPr="00DC1F84">
        <w:t xml:space="preserve">rolas. Os núcleos e os percutores representam a restante colecção, somando, respectivamente, 6% e 1% do total (N=17 e N=3, respectivamente).  </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w:t>
      </w:r>
      <w:r>
        <w:t>4</w:t>
      </w:r>
      <w:r w:rsidRPr="00DC1F84">
        <w:t>.</w:t>
      </w:r>
      <w:r>
        <w:t>2.</w:t>
      </w:r>
      <w:r w:rsidRPr="00DC1F84">
        <w:t>3.1-Lascas</w:t>
      </w:r>
      <w:r>
        <w:t>.</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Em termos morfológicos, os suportes obtidos através das várias cadeias operatórias identificadas neste sítio, as</w:t>
      </w:r>
      <w:r>
        <w:t>sunto que se desenvolverá mais à</w:t>
      </w:r>
      <w:r w:rsidRPr="00DC1F84">
        <w:t xml:space="preserve"> frente, divergem. Embora se continue a </w:t>
      </w:r>
      <w:r>
        <w:t>constatar</w:t>
      </w:r>
      <w:r w:rsidRPr="00DC1F84">
        <w:t xml:space="preserve"> uma tendência para que os suportes apresentem um comprimento registado inferior, igual ou ligeiramente superior à largura, verifica-se a presença de suportes que diferem deste padrão. Aparecem suportes cujas dimensões se aproximam da definição correntemente aceite para suportes laminares</w:t>
      </w:r>
      <w:r>
        <w:t xml:space="preserve"> </w:t>
      </w:r>
      <w:r>
        <w:rPr>
          <w:sz w:val="22"/>
          <w:szCs w:val="22"/>
        </w:rPr>
        <w:t>(</w:t>
      </w:r>
      <w:r w:rsidRPr="006268D8">
        <w:rPr>
          <w:sz w:val="22"/>
          <w:szCs w:val="22"/>
        </w:rPr>
        <w:t>Gráfico 6.3.19</w:t>
      </w:r>
      <w:r>
        <w:rPr>
          <w:sz w:val="22"/>
          <w:szCs w:val="22"/>
        </w:rPr>
        <w:t>)</w:t>
      </w:r>
      <w:r w:rsidRPr="00DC1F84">
        <w:t xml:space="preserve">. </w:t>
      </w:r>
    </w:p>
    <w:p w:rsidR="009C68B2" w:rsidRPr="00DC1F84" w:rsidRDefault="00EA3774" w:rsidP="009C68B2">
      <w:pPr>
        <w:autoSpaceDE w:val="0"/>
        <w:autoSpaceDN w:val="0"/>
        <w:adjustRightInd w:val="0"/>
        <w:spacing w:line="360" w:lineRule="auto"/>
        <w:jc w:val="both"/>
      </w:pPr>
      <w:r>
        <w:rPr>
          <w:lang w:eastAsia="en-US"/>
        </w:rPr>
        <w:pict>
          <v:shape id="_x0000_s1510" type="#_x0000_t202" style="position:absolute;left:0;text-align:left;margin-left:2.7pt;margin-top:274.15pt;width:397.7pt;height:39.55pt;z-index:251790336;mso-width-relative:margin;mso-height-relative:margin" stroked="f">
            <v:textbox style="mso-next-textbox:#_x0000_s1510">
              <w:txbxContent>
                <w:p w:rsidR="00B34B0F" w:rsidRPr="006268D8" w:rsidRDefault="00B34B0F" w:rsidP="009C68B2">
                  <w:pPr>
                    <w:rPr>
                      <w:sz w:val="22"/>
                      <w:szCs w:val="22"/>
                    </w:rPr>
                  </w:pPr>
                  <w:r w:rsidRPr="006268D8">
                    <w:rPr>
                      <w:sz w:val="22"/>
                      <w:szCs w:val="22"/>
                    </w:rPr>
                    <w:t>Gráfico 6.3.19- Relação comprimento/la</w:t>
                  </w:r>
                  <w:r>
                    <w:rPr>
                      <w:sz w:val="22"/>
                      <w:szCs w:val="22"/>
                    </w:rPr>
                    <w:t>rgura das lascas registada na sé</w:t>
                  </w:r>
                  <w:r w:rsidRPr="006268D8">
                    <w:rPr>
                      <w:sz w:val="22"/>
                      <w:szCs w:val="22"/>
                    </w:rPr>
                    <w:t xml:space="preserve">rie </w:t>
                  </w:r>
                  <w:r>
                    <w:rPr>
                      <w:sz w:val="22"/>
                      <w:szCs w:val="22"/>
                    </w:rPr>
                    <w:t>fresca</w:t>
                  </w:r>
                  <w:r w:rsidRPr="006268D8">
                    <w:rPr>
                      <w:sz w:val="22"/>
                      <w:szCs w:val="22"/>
                    </w:rPr>
                    <w:t xml:space="preserve"> da Tapada do Montinho.</w:t>
                  </w:r>
                </w:p>
                <w:p w:rsidR="00B34B0F" w:rsidRDefault="00B34B0F" w:rsidP="009C68B2"/>
              </w:txbxContent>
            </v:textbox>
          </v:shape>
        </w:pict>
      </w:r>
      <w:r w:rsidR="009C68B2" w:rsidRPr="00DC1F84">
        <w:object w:dxaOrig="10818" w:dyaOrig="6998">
          <v:shape id="_x0000_i1068" type="#_x0000_t75" style="width:422.8pt;height:276.3pt" o:ole="">
            <v:imagedata r:id="rId186" o:title=""/>
          </v:shape>
          <o:OLEObject Type="Embed" ProgID="Excel.Sheet.12" ShapeID="_x0000_i1068" DrawAspect="Content" ObjectID="_1556969348" r:id="rId187"/>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 xml:space="preserve">No entanto, esse tipo de suporte representa ainda uma minoria. Em termos de dimensões, um grande número das lascas estudadas encaixa num padrão que se desenvolve entre os 30 mm de comprimento por 30 mm de largura. A média do comprimento das lascas da série fresca da Tapada do Montinho é 53,16 mm, sendo </w:t>
      </w:r>
      <w:r>
        <w:t xml:space="preserve">o </w:t>
      </w:r>
      <w:r w:rsidRPr="00DC1F84">
        <w:t>comprimento máximo registado de 66,73 mm e o mínimo de 7,31 mm. Em termos de largura, a</w:t>
      </w:r>
      <w:r>
        <w:t xml:space="preserve"> média do total das lascas da sé</w:t>
      </w:r>
      <w:r w:rsidRPr="00DC1F84">
        <w:t xml:space="preserve">rie fresca é de 19,87 mm. A lasca com maior largura registada apresenta um valor de 33,39 mm e a de menor largura 1,31mm. </w:t>
      </w:r>
    </w:p>
    <w:p w:rsidR="009C68B2" w:rsidRPr="00DC1F84" w:rsidRDefault="009C68B2" w:rsidP="009C68B2">
      <w:pPr>
        <w:autoSpaceDE w:val="0"/>
        <w:autoSpaceDN w:val="0"/>
        <w:adjustRightInd w:val="0"/>
        <w:spacing w:line="360" w:lineRule="auto"/>
        <w:ind w:firstLine="708"/>
        <w:jc w:val="both"/>
      </w:pPr>
      <w:r w:rsidRPr="00DC1F84">
        <w:t>No que diz respeito à relação entre o comprimento/espessura e largura espessura, verifica-se que os suportes continuam a ser relativamente espessos</w:t>
      </w:r>
      <w:r w:rsidRPr="00FC3C8C">
        <w:rPr>
          <w:sz w:val="22"/>
          <w:szCs w:val="22"/>
        </w:rPr>
        <w:t xml:space="preserve"> </w:t>
      </w:r>
      <w:r>
        <w:rPr>
          <w:sz w:val="22"/>
          <w:szCs w:val="22"/>
        </w:rPr>
        <w:t>(</w:t>
      </w:r>
      <w:r w:rsidRPr="006268D8">
        <w:rPr>
          <w:sz w:val="22"/>
          <w:szCs w:val="22"/>
        </w:rPr>
        <w:t>Gráfico 6.3.20</w:t>
      </w:r>
      <w:r>
        <w:rPr>
          <w:sz w:val="22"/>
          <w:szCs w:val="22"/>
        </w:rPr>
        <w:t xml:space="preserve">, </w:t>
      </w:r>
      <w:r w:rsidRPr="006268D8">
        <w:rPr>
          <w:sz w:val="22"/>
          <w:szCs w:val="22"/>
        </w:rPr>
        <w:t>Gráfico 6.3.2</w:t>
      </w:r>
      <w:r>
        <w:rPr>
          <w:sz w:val="22"/>
          <w:szCs w:val="22"/>
        </w:rPr>
        <w:t>1)</w:t>
      </w:r>
      <w:r w:rsidRPr="00DC1F84">
        <w:t>. As lascas da série fresca recolhidas na estação da Tapada do Montinho apresentam uma espessura média de 12.08 mm. Em termos de variação, a espessura das peças analisadas v</w:t>
      </w:r>
      <w:r>
        <w:t>ai</w:t>
      </w:r>
      <w:r w:rsidRPr="00DC1F84">
        <w:t xml:space="preserve"> de 5,04 mm a 62.05 mm.</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both"/>
      </w:pPr>
      <w:r>
        <w:rPr>
          <w:lang w:eastAsia="en-US"/>
        </w:rPr>
        <w:pict>
          <v:shape id="_x0000_s1514" type="#_x0000_t202" style="position:absolute;left:0;text-align:left;margin-left:4.75pt;margin-top:275.65pt;width:415.3pt;height:37.15pt;z-index:251794432;mso-width-relative:margin;mso-height-relative:margin" stroked="f">
            <v:textbox style="mso-next-textbox:#_x0000_s1514">
              <w:txbxContent>
                <w:p w:rsidR="00B34B0F" w:rsidRPr="006268D8" w:rsidRDefault="00B34B0F" w:rsidP="009C68B2">
                  <w:pPr>
                    <w:rPr>
                      <w:sz w:val="22"/>
                      <w:szCs w:val="22"/>
                    </w:rPr>
                  </w:pPr>
                  <w:r w:rsidRPr="006268D8">
                    <w:rPr>
                      <w:sz w:val="22"/>
                      <w:szCs w:val="22"/>
                    </w:rPr>
                    <w:t>Gráfico 6.3.20- Relação comprimento/espessura</w:t>
                  </w:r>
                  <w:r>
                    <w:rPr>
                      <w:sz w:val="22"/>
                      <w:szCs w:val="22"/>
                    </w:rPr>
                    <w:t xml:space="preserve"> das lascas registada na sé</w:t>
                  </w:r>
                  <w:r w:rsidRPr="006268D8">
                    <w:rPr>
                      <w:sz w:val="22"/>
                      <w:szCs w:val="22"/>
                    </w:rPr>
                    <w:t xml:space="preserve">rie </w:t>
                  </w:r>
                  <w:r>
                    <w:t>fresca</w:t>
                  </w:r>
                  <w:r w:rsidRPr="006268D8">
                    <w:rPr>
                      <w:sz w:val="22"/>
                      <w:szCs w:val="22"/>
                    </w:rPr>
                    <w:t xml:space="preserve"> da Tapada do Montinho.</w:t>
                  </w:r>
                </w:p>
                <w:p w:rsidR="00B34B0F" w:rsidRDefault="00B34B0F" w:rsidP="009C68B2"/>
              </w:txbxContent>
            </v:textbox>
          </v:shape>
        </w:pict>
      </w:r>
      <w:r w:rsidR="009C68B2" w:rsidRPr="00DC1F84">
        <w:object w:dxaOrig="10818" w:dyaOrig="6998">
          <v:shape id="_x0000_i1069" type="#_x0000_t75" style="width:427pt;height:276.3pt" o:ole="">
            <v:imagedata r:id="rId188" o:title=""/>
          </v:shape>
          <o:OLEObject Type="Embed" ProgID="Excel.Sheet.12" ShapeID="_x0000_i1069" DrawAspect="Content" ObjectID="_1556969349" r:id="rId189"/>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both"/>
      </w:pPr>
      <w:r>
        <w:rPr>
          <w:lang w:eastAsia="en-US"/>
        </w:rPr>
        <w:lastRenderedPageBreak/>
        <w:pict>
          <v:shape id="_x0000_s1515" type="#_x0000_t202" style="position:absolute;left:0;text-align:left;margin-left:9.1pt;margin-top:290.1pt;width:424.95pt;height:47.45pt;z-index:251795456;mso-height-percent:200;mso-height-percent:200;mso-width-relative:margin;mso-height-relative:margin" stroked="f">
            <v:textbox style="mso-next-textbox:#_x0000_s1515;mso-fit-shape-to-text:t">
              <w:txbxContent>
                <w:p w:rsidR="00B34B0F" w:rsidRPr="006268D8" w:rsidRDefault="00B34B0F" w:rsidP="009C68B2">
                  <w:pPr>
                    <w:rPr>
                      <w:sz w:val="22"/>
                      <w:szCs w:val="22"/>
                    </w:rPr>
                  </w:pPr>
                  <w:r w:rsidRPr="006268D8">
                    <w:rPr>
                      <w:sz w:val="22"/>
                      <w:szCs w:val="22"/>
                    </w:rPr>
                    <w:t xml:space="preserve">Gráfico 6.3.21- Relação </w:t>
                  </w:r>
                  <w:r>
                    <w:rPr>
                      <w:sz w:val="22"/>
                      <w:szCs w:val="22"/>
                    </w:rPr>
                    <w:t>espessura</w:t>
                  </w:r>
                  <w:r w:rsidRPr="006268D8">
                    <w:rPr>
                      <w:sz w:val="22"/>
                      <w:szCs w:val="22"/>
                    </w:rPr>
                    <w:t>/la</w:t>
                  </w:r>
                  <w:r>
                    <w:rPr>
                      <w:sz w:val="22"/>
                      <w:szCs w:val="22"/>
                    </w:rPr>
                    <w:t>rgura das lascas registada na sé</w:t>
                  </w:r>
                  <w:r w:rsidRPr="006268D8">
                    <w:rPr>
                      <w:sz w:val="22"/>
                      <w:szCs w:val="22"/>
                    </w:rPr>
                    <w:t xml:space="preserve">rie </w:t>
                  </w:r>
                  <w:r>
                    <w:t>fresca</w:t>
                  </w:r>
                  <w:r w:rsidRPr="006268D8">
                    <w:rPr>
                      <w:sz w:val="22"/>
                      <w:szCs w:val="22"/>
                    </w:rPr>
                    <w:t xml:space="preserve"> da Tapada do Montinho.</w:t>
                  </w:r>
                </w:p>
                <w:p w:rsidR="00B34B0F" w:rsidRDefault="00B34B0F" w:rsidP="009C68B2"/>
              </w:txbxContent>
            </v:textbox>
          </v:shape>
        </w:pict>
      </w:r>
      <w:r w:rsidR="009C68B2" w:rsidRPr="00DC1F84">
        <w:object w:dxaOrig="10846" w:dyaOrig="7584">
          <v:shape id="_x0000_i1070" type="#_x0000_t75" style="width:422.8pt;height:295.55pt" o:ole="">
            <v:imagedata r:id="rId190" o:title=""/>
          </v:shape>
          <o:OLEObject Type="Embed" ProgID="Excel.Sheet.12" ShapeID="_x0000_i1070" DrawAspect="Content" ObjectID="_1556969350" r:id="rId191"/>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No que diz respeito às lascas, foi registado, ainda, o número de negativos de levantamentos presentes na face dorsal de cada lasca e a sua orientação</w:t>
      </w:r>
      <w:r>
        <w:t xml:space="preserve"> </w:t>
      </w:r>
      <w:r>
        <w:rPr>
          <w:sz w:val="22"/>
          <w:szCs w:val="22"/>
        </w:rPr>
        <w:t>(</w:t>
      </w:r>
      <w:r w:rsidRPr="006268D8">
        <w:rPr>
          <w:sz w:val="22"/>
          <w:szCs w:val="22"/>
        </w:rPr>
        <w:t>Gráfico 6.3.22</w:t>
      </w:r>
      <w:r>
        <w:rPr>
          <w:sz w:val="22"/>
          <w:szCs w:val="22"/>
        </w:rPr>
        <w:t>)</w:t>
      </w:r>
      <w:r w:rsidRPr="00DC1F84">
        <w:t xml:space="preserve">. </w:t>
      </w:r>
    </w:p>
    <w:p w:rsidR="009C68B2" w:rsidRPr="00DC1F84" w:rsidRDefault="00EA3774" w:rsidP="009C68B2">
      <w:pPr>
        <w:autoSpaceDE w:val="0"/>
        <w:autoSpaceDN w:val="0"/>
        <w:adjustRightInd w:val="0"/>
        <w:spacing w:line="360" w:lineRule="auto"/>
        <w:jc w:val="center"/>
      </w:pPr>
      <w:r>
        <w:rPr>
          <w:lang w:eastAsia="en-US"/>
        </w:rPr>
        <w:pict>
          <v:shape id="_x0000_s1516" type="#_x0000_t202" style="position:absolute;left:0;text-align:left;margin-left:8.75pt;margin-top:238.15pt;width:419.75pt;height:46.3pt;z-index:251796480;mso-height-percent:200;mso-height-percent:200;mso-width-relative:margin;mso-height-relative:margin" stroked="f">
            <v:textbox style="mso-next-textbox:#_x0000_s1516;mso-fit-shape-to-text:t">
              <w:txbxContent>
                <w:p w:rsidR="00B34B0F" w:rsidRPr="006268D8" w:rsidRDefault="00B34B0F" w:rsidP="009C68B2">
                  <w:pPr>
                    <w:rPr>
                      <w:sz w:val="22"/>
                      <w:szCs w:val="22"/>
                    </w:rPr>
                  </w:pPr>
                  <w:r w:rsidRPr="006268D8">
                    <w:rPr>
                      <w:sz w:val="22"/>
                      <w:szCs w:val="22"/>
                    </w:rPr>
                    <w:t>Gráfico 6.3.22- Número de negativos present</w:t>
                  </w:r>
                  <w:r>
                    <w:rPr>
                      <w:sz w:val="22"/>
                      <w:szCs w:val="22"/>
                    </w:rPr>
                    <w:t>es na face dorsal das lascas da sé</w:t>
                  </w:r>
                  <w:r w:rsidRPr="006268D8">
                    <w:rPr>
                      <w:sz w:val="22"/>
                      <w:szCs w:val="22"/>
                    </w:rPr>
                    <w:t>rie fresca da Tapada do Montinho</w:t>
                  </w:r>
                  <w:r>
                    <w:rPr>
                      <w:sz w:val="22"/>
                      <w:szCs w:val="22"/>
                    </w:rPr>
                    <w:t>.</w:t>
                  </w:r>
                </w:p>
                <w:p w:rsidR="00B34B0F" w:rsidRDefault="00B34B0F" w:rsidP="009C68B2"/>
              </w:txbxContent>
            </v:textbox>
          </v:shape>
        </w:pict>
      </w:r>
      <w:r w:rsidR="009C68B2" w:rsidRPr="00DC1F84">
        <w:object w:dxaOrig="7212" w:dyaOrig="4972">
          <v:shape id="_x0000_i1071" type="#_x0000_t75" style="width:5in;height:248.65pt" o:ole="">
            <v:imagedata r:id="rId192" o:title=""/>
          </v:shape>
          <o:OLEObject Type="Embed" ProgID="Excel.Sheet.12" ShapeID="_x0000_i1071" DrawAspect="Content" ObjectID="_1556969351" r:id="rId193"/>
        </w:object>
      </w:r>
    </w:p>
    <w:p w:rsidR="009C68B2" w:rsidRPr="00DC1F84"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Estes dados podem trazer indícios importantes sobre as sequências de talhe empregues na estação da Tapada do Montinho. Desse modo, é possível verificar que a grande maioria</w:t>
      </w:r>
      <w:r>
        <w:t xml:space="preserve"> de lascas recolhidas apresenta</w:t>
      </w:r>
      <w:r w:rsidRPr="00DC1F84">
        <w:t xml:space="preserve"> um número reduzido de negativos de levantamento</w:t>
      </w:r>
      <w:r>
        <w:t>s</w:t>
      </w:r>
      <w:r w:rsidRPr="00DC1F84">
        <w:t xml:space="preserve"> anteriores. A soma dos três subconjuntos mais numerosos (1, 2 e 3 levantamentos) representa 90 % da população. Se a estes subconjuntos se adicionar o número de lascas que apresentam negativos de 4 levantamentos na face dorsal, este número sobe para 99 %. As lascas com mais de 5 negativos de levantamentos na face dorsal representam apenas 1 % da totalidade da amostra.</w:t>
      </w:r>
    </w:p>
    <w:p w:rsidR="009C68B2" w:rsidRPr="00DC1F84" w:rsidRDefault="009C68B2" w:rsidP="009C68B2">
      <w:pPr>
        <w:autoSpaceDE w:val="0"/>
        <w:autoSpaceDN w:val="0"/>
        <w:adjustRightInd w:val="0"/>
        <w:spacing w:line="360" w:lineRule="auto"/>
        <w:ind w:firstLine="708"/>
        <w:jc w:val="both"/>
      </w:pPr>
      <w:r w:rsidRPr="00DC1F84">
        <w:t xml:space="preserve">No que diz respeito à orientação dos negativos dos levantamentos, verifica-se que a maioria </w:t>
      </w:r>
      <w:r>
        <w:t>segue</w:t>
      </w:r>
      <w:r w:rsidRPr="00DC1F84">
        <w:t xml:space="preserve"> uma orientação indeterminada (50%), seguid</w:t>
      </w:r>
      <w:r>
        <w:t>a</w:t>
      </w:r>
      <w:r w:rsidRPr="00DC1F84">
        <w:t xml:space="preserve"> por um menor número de lascas a apresentarem uma sequência de debitagem em que as lascas são produzidas através de levantamentos centrípetos (33%). Finalmente, 17% deste conjunto caracteriza-se por levantamentos paralelos</w:t>
      </w:r>
      <w:r w:rsidRPr="00530A92">
        <w:rPr>
          <w:sz w:val="22"/>
          <w:szCs w:val="22"/>
        </w:rPr>
        <w:t xml:space="preserve"> </w:t>
      </w:r>
      <w:r>
        <w:rPr>
          <w:sz w:val="22"/>
          <w:szCs w:val="22"/>
        </w:rPr>
        <w:t>(</w:t>
      </w:r>
      <w:r w:rsidRPr="006268D8">
        <w:rPr>
          <w:sz w:val="22"/>
          <w:szCs w:val="22"/>
        </w:rPr>
        <w:t>Gráfico 6.3.23</w:t>
      </w:r>
      <w:r>
        <w:rPr>
          <w:sz w:val="22"/>
          <w:szCs w:val="22"/>
        </w:rPr>
        <w:t>)</w:t>
      </w:r>
      <w:r w:rsidRPr="00DC1F84">
        <w:t>. Tendo em consideração o número de lascas que apresentam apenas 1 ou 2 levantamentos é facilmente perceptível o porquê da existência de uma percentagem tão elevada de lascas com orientação indeterminada.</w:t>
      </w:r>
    </w:p>
    <w:p w:rsidR="009C68B2" w:rsidRPr="00DC1F84" w:rsidRDefault="00EA3774" w:rsidP="009C68B2">
      <w:pPr>
        <w:autoSpaceDE w:val="0"/>
        <w:autoSpaceDN w:val="0"/>
        <w:adjustRightInd w:val="0"/>
        <w:spacing w:line="360" w:lineRule="auto"/>
        <w:jc w:val="center"/>
      </w:pPr>
      <w:r>
        <w:rPr>
          <w:lang w:eastAsia="en-US"/>
        </w:rPr>
        <w:pict>
          <v:shape id="_x0000_s1517" type="#_x0000_t202" style="position:absolute;left:0;text-align:left;margin-left:22.2pt;margin-top:219.75pt;width:381.15pt;height:37pt;z-index:251797504;mso-width-relative:margin;mso-height-relative:margin" stroked="f">
            <v:textbox style="mso-next-textbox:#_x0000_s1517">
              <w:txbxContent>
                <w:p w:rsidR="00B34B0F" w:rsidRPr="006268D8" w:rsidRDefault="00B34B0F" w:rsidP="009C68B2">
                  <w:pPr>
                    <w:rPr>
                      <w:sz w:val="22"/>
                      <w:szCs w:val="22"/>
                    </w:rPr>
                  </w:pPr>
                  <w:r w:rsidRPr="006268D8">
                    <w:rPr>
                      <w:sz w:val="22"/>
                      <w:szCs w:val="22"/>
                    </w:rPr>
                    <w:t xml:space="preserve">Gráfico 6.3.23 – </w:t>
                  </w:r>
                  <w:r>
                    <w:rPr>
                      <w:sz w:val="22"/>
                      <w:szCs w:val="22"/>
                    </w:rPr>
                    <w:t>O</w:t>
                  </w:r>
                  <w:r w:rsidRPr="006268D8">
                    <w:rPr>
                      <w:sz w:val="22"/>
                      <w:szCs w:val="22"/>
                    </w:rPr>
                    <w:t>rientação dos levantamentos na</w:t>
                  </w:r>
                  <w:r>
                    <w:rPr>
                      <w:sz w:val="22"/>
                      <w:szCs w:val="22"/>
                    </w:rPr>
                    <w:t xml:space="preserve"> sé</w:t>
                  </w:r>
                  <w:r w:rsidRPr="006268D8">
                    <w:rPr>
                      <w:sz w:val="22"/>
                      <w:szCs w:val="22"/>
                    </w:rPr>
                    <w:t>rie fresca da Tapada do Montinho.</w:t>
                  </w:r>
                </w:p>
                <w:p w:rsidR="00B34B0F" w:rsidRDefault="00B34B0F" w:rsidP="009C68B2"/>
              </w:txbxContent>
            </v:textbox>
          </v:shape>
        </w:pict>
      </w:r>
      <w:r w:rsidR="009C68B2" w:rsidRPr="00DC1F84">
        <w:object w:dxaOrig="7212" w:dyaOrig="4085">
          <v:shape id="_x0000_i1072" type="#_x0000_t75" style="width:422.8pt;height:238.6pt" o:ole="">
            <v:imagedata r:id="rId194" o:title=""/>
          </v:shape>
          <o:OLEObject Type="Embed" ProgID="Excel.Sheet.12" ShapeID="_x0000_i1072" DrawAspect="Content" ObjectID="_1556969352" r:id="rId195"/>
        </w:object>
      </w:r>
    </w:p>
    <w:p w:rsidR="009C68B2" w:rsidRPr="00DC1F84"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 xml:space="preserve">O talão das lascas recolhidas nesta estação foi analisado em duas vertentes. A primeira diz respeito ao </w:t>
      </w:r>
      <w:r>
        <w:t>seu perfil (</w:t>
      </w:r>
      <w:r w:rsidRPr="006268D8">
        <w:rPr>
          <w:sz w:val="22"/>
          <w:szCs w:val="22"/>
        </w:rPr>
        <w:t>Gráfico 6.3.24</w:t>
      </w:r>
      <w:r>
        <w:rPr>
          <w:sz w:val="22"/>
          <w:szCs w:val="22"/>
        </w:rPr>
        <w:t>)</w:t>
      </w:r>
      <w:r w:rsidRPr="00DC1F84">
        <w:t xml:space="preserve">. Nesta colecção verifica-se que não existe predominância significativa entre talões planos (31%), talões de perfil convexo </w:t>
      </w:r>
      <w:r w:rsidRPr="00DC1F84">
        <w:lastRenderedPageBreak/>
        <w:t xml:space="preserve">(29%), e talões de perfil côncavo (26%). O talão facetado surge em quarto lugar, em termos de representatividade com 11%. Em 3% dos casos foi gorada a </w:t>
      </w:r>
      <w:r>
        <w:t>determinação do perfil do talão</w:t>
      </w:r>
    </w:p>
    <w:p w:rsidR="009C68B2" w:rsidRPr="00DC1F84" w:rsidRDefault="00EA3774" w:rsidP="009C68B2">
      <w:pPr>
        <w:autoSpaceDE w:val="0"/>
        <w:autoSpaceDN w:val="0"/>
        <w:adjustRightInd w:val="0"/>
        <w:spacing w:line="360" w:lineRule="auto"/>
      </w:pPr>
      <w:r>
        <w:rPr>
          <w:lang w:eastAsia="en-US"/>
        </w:rPr>
        <w:pict>
          <v:shape id="_x0000_s1518" type="#_x0000_t202" style="position:absolute;margin-left:54.1pt;margin-top:211.3pt;width:313.85pt;height:35.8pt;z-index:251798528;mso-width-relative:margin;mso-height-relative:margin" stroked="f">
            <v:textbox style="mso-next-textbox:#_x0000_s1518">
              <w:txbxContent>
                <w:p w:rsidR="00B34B0F" w:rsidRPr="006268D8" w:rsidRDefault="00B34B0F" w:rsidP="009C68B2">
                  <w:pPr>
                    <w:rPr>
                      <w:sz w:val="22"/>
                      <w:szCs w:val="22"/>
                    </w:rPr>
                  </w:pPr>
                  <w:r w:rsidRPr="006268D8">
                    <w:rPr>
                      <w:sz w:val="22"/>
                      <w:szCs w:val="22"/>
                    </w:rPr>
                    <w:t xml:space="preserve">Gráfico 6.3.24- Perfil do talão </w:t>
                  </w:r>
                  <w:r>
                    <w:rPr>
                      <w:sz w:val="22"/>
                      <w:szCs w:val="22"/>
                    </w:rPr>
                    <w:t>sé</w:t>
                  </w:r>
                  <w:r w:rsidRPr="006268D8">
                    <w:rPr>
                      <w:sz w:val="22"/>
                      <w:szCs w:val="22"/>
                    </w:rPr>
                    <w:t>rie fresca da Tapada do Montinho.</w:t>
                  </w:r>
                </w:p>
                <w:p w:rsidR="00B34B0F" w:rsidRDefault="00B34B0F" w:rsidP="009C68B2"/>
              </w:txbxContent>
            </v:textbox>
          </v:shape>
        </w:pict>
      </w:r>
      <w:r w:rsidR="009C68B2" w:rsidRPr="00DC1F84">
        <w:object w:dxaOrig="7212" w:dyaOrig="4085">
          <v:shape id="_x0000_i1073" type="#_x0000_t75" style="width:422.8pt;height:238.6pt" o:ole="">
            <v:imagedata r:id="rId196" o:title=""/>
          </v:shape>
          <o:OLEObject Type="Embed" ProgID="Excel.Sheet.12" ShapeID="_x0000_i1073" DrawAspect="Content" ObjectID="_1556969353" r:id="rId197"/>
        </w:object>
      </w:r>
    </w:p>
    <w:p w:rsidR="009C68B2" w:rsidRPr="00DC1F84"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ind w:firstLine="708"/>
        <w:jc w:val="both"/>
      </w:pPr>
    </w:p>
    <w:p w:rsidR="009C68B2" w:rsidRPr="00DC1F84" w:rsidRDefault="009C68B2" w:rsidP="009C68B2">
      <w:pPr>
        <w:autoSpaceDE w:val="0"/>
        <w:autoSpaceDN w:val="0"/>
        <w:adjustRightInd w:val="0"/>
        <w:spacing w:line="360" w:lineRule="auto"/>
        <w:ind w:firstLine="708"/>
        <w:jc w:val="both"/>
      </w:pPr>
      <w:r>
        <w:t>O segundo fa</w:t>
      </w:r>
      <w:r w:rsidRPr="00DC1F84">
        <w:t>tor analisado foi a morfologia do talão. A morfologia do talão pode trazer alguns indícios sobre as cadeias operatórias desenvolvidas pelos talhadores que frequentaram esta estação</w:t>
      </w:r>
      <w:r>
        <w:t xml:space="preserve"> (</w:t>
      </w:r>
      <w:r w:rsidRPr="006268D8">
        <w:rPr>
          <w:sz w:val="22"/>
          <w:szCs w:val="22"/>
        </w:rPr>
        <w:t>Gráfico 6.3.25</w:t>
      </w:r>
      <w:r>
        <w:rPr>
          <w:sz w:val="22"/>
          <w:szCs w:val="22"/>
        </w:rPr>
        <w:t>)</w:t>
      </w:r>
      <w:r w:rsidRPr="00DC1F84">
        <w:t xml:space="preserve">. </w:t>
      </w:r>
    </w:p>
    <w:p w:rsidR="009C68B2" w:rsidRPr="00DC1F84" w:rsidRDefault="00EA3774" w:rsidP="009C68B2">
      <w:pPr>
        <w:autoSpaceDE w:val="0"/>
        <w:autoSpaceDN w:val="0"/>
        <w:adjustRightInd w:val="0"/>
        <w:spacing w:line="360" w:lineRule="auto"/>
        <w:jc w:val="center"/>
      </w:pPr>
      <w:r>
        <w:rPr>
          <w:lang w:eastAsia="en-US"/>
        </w:rPr>
        <w:pict>
          <v:shape id="_x0000_s1519" type="#_x0000_t202" style="position:absolute;left:0;text-align:left;margin-left:65.65pt;margin-top:217.15pt;width:302.3pt;height:36.1pt;z-index:251799552;mso-width-relative:margin;mso-height-relative:margin" stroked="f">
            <v:textbox style="mso-next-textbox:#_x0000_s1519">
              <w:txbxContent>
                <w:p w:rsidR="00B34B0F" w:rsidRPr="006268D8" w:rsidRDefault="00B34B0F" w:rsidP="009C68B2">
                  <w:pPr>
                    <w:rPr>
                      <w:sz w:val="22"/>
                      <w:szCs w:val="22"/>
                    </w:rPr>
                  </w:pPr>
                  <w:r w:rsidRPr="006268D8">
                    <w:rPr>
                      <w:sz w:val="22"/>
                      <w:szCs w:val="22"/>
                    </w:rPr>
                    <w:t xml:space="preserve">Gráfico 6.3.25- Morfologia do talão na </w:t>
                  </w:r>
                  <w:r>
                    <w:rPr>
                      <w:sz w:val="22"/>
                      <w:szCs w:val="22"/>
                    </w:rPr>
                    <w:t>sé</w:t>
                  </w:r>
                  <w:r w:rsidRPr="006268D8">
                    <w:rPr>
                      <w:sz w:val="22"/>
                      <w:szCs w:val="22"/>
                    </w:rPr>
                    <w:t>rie fresca da Tapada do Montinho.</w:t>
                  </w:r>
                </w:p>
                <w:p w:rsidR="00B34B0F" w:rsidRPr="001160B5" w:rsidRDefault="00B34B0F" w:rsidP="009C68B2">
                  <w:pPr>
                    <w:rPr>
                      <w:b/>
                      <w:sz w:val="22"/>
                      <w:szCs w:val="22"/>
                    </w:rPr>
                  </w:pPr>
                </w:p>
                <w:p w:rsidR="00B34B0F" w:rsidRDefault="00B34B0F" w:rsidP="009C68B2"/>
              </w:txbxContent>
            </v:textbox>
          </v:shape>
        </w:pict>
      </w:r>
      <w:r w:rsidR="009C68B2" w:rsidRPr="00DC1F84">
        <w:object w:dxaOrig="7212" w:dyaOrig="4085">
          <v:shape id="_x0000_i1074" type="#_x0000_t75" style="width:425.3pt;height:241.1pt" o:ole="">
            <v:imagedata r:id="rId198" o:title=""/>
          </v:shape>
          <o:OLEObject Type="Embed" ProgID="Excel.Sheet.12" ShapeID="_x0000_i1074" DrawAspect="Content" ObjectID="_1556969354" r:id="rId199"/>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Observa-se um predomínio do talão de morfologia trapezoidal que soma quase metade (46%) do contingente observado. Os talões de morfologia triangular e em “hífen” ou “</w:t>
      </w:r>
      <w:r w:rsidRPr="00DC1F84">
        <w:rPr>
          <w:i/>
        </w:rPr>
        <w:t>Chapeau de gendarme</w:t>
      </w:r>
      <w:r w:rsidRPr="00DC1F84">
        <w:t>” aparecem de seguida, somando, respectivamente, 27 % e 22% da população total. O talão de morfologia linear (5%) e em “ponto” (0,3%) completam o resto do material analisado.</w:t>
      </w:r>
    </w:p>
    <w:p w:rsidR="009C68B2" w:rsidRPr="00DC1F84" w:rsidRDefault="009C68B2" w:rsidP="009C68B2">
      <w:pPr>
        <w:autoSpaceDE w:val="0"/>
        <w:autoSpaceDN w:val="0"/>
        <w:adjustRightInd w:val="0"/>
        <w:spacing w:line="360" w:lineRule="auto"/>
        <w:ind w:firstLine="708"/>
        <w:jc w:val="both"/>
      </w:pPr>
      <w:r w:rsidRPr="00DC1F84">
        <w:t>Em termos de comprimento e largura existe alguma variação nas dimensões registadas neste conjunto. A média do comprimento do talão é de 16,81 mm dentro de um universo que vai dos 2,34 mm aos 56,65 mm</w:t>
      </w:r>
      <w:r w:rsidRPr="00530A92">
        <w:rPr>
          <w:sz w:val="22"/>
          <w:szCs w:val="22"/>
        </w:rPr>
        <w:t xml:space="preserve"> </w:t>
      </w:r>
      <w:r>
        <w:rPr>
          <w:sz w:val="22"/>
          <w:szCs w:val="22"/>
        </w:rPr>
        <w:t>(</w:t>
      </w:r>
      <w:r w:rsidRPr="006268D8">
        <w:rPr>
          <w:sz w:val="22"/>
          <w:szCs w:val="22"/>
        </w:rPr>
        <w:t>Gráfico 6.3.26</w:t>
      </w:r>
      <w:r>
        <w:rPr>
          <w:sz w:val="22"/>
          <w:szCs w:val="22"/>
        </w:rPr>
        <w:t>)</w:t>
      </w:r>
      <w:r w:rsidRPr="00DC1F84">
        <w:t>. No que à largura do talão se refere, a média apresentada é de 6,52mm. O conjunto analisado espraia-se entre os 1,1 mm e os 22,34 mm.</w:t>
      </w:r>
    </w:p>
    <w:p w:rsidR="009C68B2" w:rsidRDefault="00EA3774" w:rsidP="009C68B2">
      <w:pPr>
        <w:autoSpaceDE w:val="0"/>
        <w:autoSpaceDN w:val="0"/>
        <w:adjustRightInd w:val="0"/>
        <w:spacing w:line="360" w:lineRule="auto"/>
        <w:jc w:val="both"/>
      </w:pPr>
      <w:r>
        <w:rPr>
          <w:lang w:eastAsia="en-US"/>
        </w:rPr>
        <w:pict>
          <v:shape id="_x0000_s1520" type="#_x0000_t202" style="position:absolute;left:0;text-align:left;margin-left:17pt;margin-top:336.4pt;width:384.6pt;height:33pt;z-index:251800576;mso-width-relative:margin;mso-height-relative:margin" stroked="f">
            <v:textbox style="mso-next-textbox:#_x0000_s1520">
              <w:txbxContent>
                <w:p w:rsidR="00B34B0F" w:rsidRPr="006268D8" w:rsidRDefault="00B34B0F" w:rsidP="009C68B2">
                  <w:pPr>
                    <w:rPr>
                      <w:sz w:val="22"/>
                      <w:szCs w:val="22"/>
                    </w:rPr>
                  </w:pPr>
                  <w:r w:rsidRPr="006268D8">
                    <w:rPr>
                      <w:sz w:val="22"/>
                      <w:szCs w:val="22"/>
                    </w:rPr>
                    <w:t xml:space="preserve">Gráfico 6.3.26 – Razão comprimento/largura dos talões da </w:t>
                  </w:r>
                  <w:r>
                    <w:rPr>
                      <w:sz w:val="22"/>
                      <w:szCs w:val="22"/>
                    </w:rPr>
                    <w:t>sé</w:t>
                  </w:r>
                  <w:r w:rsidRPr="006268D8">
                    <w:rPr>
                      <w:sz w:val="22"/>
                      <w:szCs w:val="22"/>
                    </w:rPr>
                    <w:t>rie fresca da Tapada do Montinho</w:t>
                  </w:r>
                  <w:r>
                    <w:rPr>
                      <w:sz w:val="22"/>
                      <w:szCs w:val="22"/>
                    </w:rPr>
                    <w:t>.</w:t>
                  </w:r>
                </w:p>
                <w:p w:rsidR="00B34B0F" w:rsidRDefault="00B34B0F" w:rsidP="009C68B2"/>
              </w:txbxContent>
            </v:textbox>
          </v:shape>
        </w:pict>
      </w:r>
      <w:r w:rsidR="009C68B2" w:rsidRPr="00DC1F84">
        <w:object w:dxaOrig="9164" w:dyaOrig="7718">
          <v:shape id="_x0000_i1075" type="#_x0000_t75" style="width:409.4pt;height:346.6pt" o:ole="">
            <v:imagedata r:id="rId200" o:title=""/>
          </v:shape>
          <o:OLEObject Type="Embed" ProgID="Excel.Sheet.12" ShapeID="_x0000_i1075" DrawAspect="Content" ObjectID="_1556969355" r:id="rId201"/>
        </w:objec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Pr="00530A92" w:rsidRDefault="009C68B2" w:rsidP="009C68B2">
      <w:pPr>
        <w:autoSpaceDE w:val="0"/>
        <w:autoSpaceDN w:val="0"/>
        <w:adjustRightInd w:val="0"/>
        <w:spacing w:line="360" w:lineRule="auto"/>
        <w:ind w:firstLine="708"/>
        <w:jc w:val="both"/>
      </w:pPr>
      <w:r w:rsidRPr="00DC1F84">
        <w:t>O que sobressai, quando se observa</w:t>
      </w:r>
      <w:r>
        <w:t>m</w:t>
      </w:r>
      <w:r w:rsidRPr="00DC1F84">
        <w:t xml:space="preserve"> os resultados obtidos em relação à presença/ausência de córtex na indústria </w:t>
      </w:r>
      <w:r>
        <w:t>da sé</w:t>
      </w:r>
      <w:r w:rsidRPr="00DC1F84">
        <w:t xml:space="preserve">rie fresca recolhida na </w:t>
      </w:r>
      <w:r>
        <w:t>T</w:t>
      </w:r>
      <w:r w:rsidRPr="00DC1F84">
        <w:t>apada do Montinho, é a prevalência do número de peças que não apresentam vestígios da camada exterior do suporte</w:t>
      </w:r>
      <w:r w:rsidRPr="00EF769E">
        <w:rPr>
          <w:sz w:val="22"/>
          <w:szCs w:val="22"/>
        </w:rPr>
        <w:t xml:space="preserve"> </w:t>
      </w:r>
      <w:r>
        <w:rPr>
          <w:sz w:val="22"/>
          <w:szCs w:val="22"/>
        </w:rPr>
        <w:t>(</w:t>
      </w:r>
      <w:r w:rsidRPr="006268D8">
        <w:rPr>
          <w:sz w:val="22"/>
          <w:szCs w:val="22"/>
        </w:rPr>
        <w:t>Gráfico 6.3.27</w:t>
      </w:r>
      <w:r>
        <w:rPr>
          <w:sz w:val="22"/>
          <w:szCs w:val="22"/>
        </w:rPr>
        <w:t>)</w:t>
      </w:r>
      <w:r w:rsidRPr="00DC1F84">
        <w:t xml:space="preserve">. Nesta estação 61% das peças não apresentam </w:t>
      </w:r>
      <w:r w:rsidRPr="00DC1F84">
        <w:lastRenderedPageBreak/>
        <w:t xml:space="preserve">vestígios de córtex contra 39% que ainda contêm algum vestígio da superfície original da matéria-prima utilizada. </w:t>
      </w:r>
    </w:p>
    <w:p w:rsidR="009C68B2" w:rsidRPr="00530A92" w:rsidRDefault="00EA3774" w:rsidP="009C68B2">
      <w:pPr>
        <w:spacing w:line="360" w:lineRule="auto"/>
        <w:jc w:val="center"/>
        <w:rPr>
          <w:color w:val="FF0000"/>
        </w:rPr>
      </w:pPr>
      <w:r w:rsidRPr="00EA3774">
        <w:rPr>
          <w:lang w:eastAsia="en-US"/>
        </w:rPr>
        <w:pict>
          <v:shape id="_x0000_s1528" type="#_x0000_t202" style="position:absolute;left:0;text-align:left;margin-left:44.2pt;margin-top:203.5pt;width:342.7pt;height:34.5pt;z-index:251808768;mso-width-relative:margin;mso-height-relative:margin" stroked="f">
            <v:textbox style="mso-next-textbox:#_x0000_s1528">
              <w:txbxContent>
                <w:p w:rsidR="00B34B0F" w:rsidRPr="006268D8" w:rsidRDefault="00B34B0F" w:rsidP="009C68B2">
                  <w:pPr>
                    <w:rPr>
                      <w:sz w:val="22"/>
                      <w:szCs w:val="22"/>
                    </w:rPr>
                  </w:pPr>
                  <w:r w:rsidRPr="006268D8">
                    <w:rPr>
                      <w:sz w:val="22"/>
                      <w:szCs w:val="22"/>
                    </w:rPr>
                    <w:t xml:space="preserve">Gráfico 6.3.27- Presença de córtex na </w:t>
                  </w:r>
                  <w:r>
                    <w:rPr>
                      <w:sz w:val="22"/>
                      <w:szCs w:val="22"/>
                    </w:rPr>
                    <w:t>sé</w:t>
                  </w:r>
                  <w:r w:rsidRPr="006268D8">
                    <w:rPr>
                      <w:sz w:val="22"/>
                      <w:szCs w:val="22"/>
                    </w:rPr>
                    <w:t>rie fresca da Tapada do Montinho.</w:t>
                  </w:r>
                </w:p>
                <w:p w:rsidR="00B34B0F" w:rsidRDefault="00B34B0F" w:rsidP="009C68B2"/>
              </w:txbxContent>
            </v:textbox>
          </v:shape>
        </w:pict>
      </w:r>
      <w:r w:rsidR="009C68B2" w:rsidRPr="00DC1F84">
        <w:rPr>
          <w:color w:val="FF0000"/>
        </w:rPr>
        <w:object w:dxaOrig="7212" w:dyaOrig="4085">
          <v:shape id="_x0000_i1076" type="#_x0000_t75" style="width:395.15pt;height:223.55pt" o:ole="">
            <v:imagedata r:id="rId202" o:title=""/>
          </v:shape>
          <o:OLEObject Type="Embed" ProgID="Excel.Sheet.12" ShapeID="_x0000_i1076" DrawAspect="Content" ObjectID="_1556969356" r:id="rId203"/>
        </w:objec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t>6.3.</w:t>
      </w:r>
      <w:r>
        <w:t>4.</w:t>
      </w:r>
      <w:r w:rsidRPr="00DC1F84">
        <w:t>2.3.2 - Núcleos</w:t>
      </w:r>
    </w:p>
    <w:p w:rsidR="009C68B2" w:rsidRPr="00DC1F84" w:rsidRDefault="009C68B2" w:rsidP="009C68B2">
      <w:pPr>
        <w:autoSpaceDE w:val="0"/>
        <w:autoSpaceDN w:val="0"/>
        <w:adjustRightInd w:val="0"/>
        <w:spacing w:line="360" w:lineRule="auto"/>
        <w:jc w:val="both"/>
        <w:rPr>
          <w:color w:val="808080"/>
        </w:rPr>
      </w:pPr>
    </w:p>
    <w:p w:rsidR="009C68B2" w:rsidRPr="00DC1F84" w:rsidRDefault="009C68B2" w:rsidP="009C68B2">
      <w:pPr>
        <w:autoSpaceDE w:val="0"/>
        <w:autoSpaceDN w:val="0"/>
        <w:adjustRightInd w:val="0"/>
        <w:spacing w:line="360" w:lineRule="auto"/>
        <w:ind w:firstLine="708"/>
        <w:jc w:val="both"/>
      </w:pPr>
      <w:r w:rsidRPr="00DC1F84">
        <w:t>Na estação da Tapada do Montinho, na série fresca, identificaram-se 18 peças que</w:t>
      </w:r>
      <w:r>
        <w:t>,</w:t>
      </w:r>
      <w:r w:rsidRPr="00DC1F84">
        <w:t xml:space="preserve"> pelas suas características (bases de produção de lascas)</w:t>
      </w:r>
      <w:r>
        <w:t>,</w:t>
      </w:r>
      <w:r w:rsidRPr="00DC1F84">
        <w:t xml:space="preserve"> se consideraram como núcleos</w:t>
      </w:r>
      <w:r>
        <w:t xml:space="preserve"> (</w:t>
      </w:r>
      <w:r w:rsidRPr="006268D8">
        <w:rPr>
          <w:sz w:val="22"/>
          <w:szCs w:val="22"/>
        </w:rPr>
        <w:t>Gráfico 6.3.28</w:t>
      </w:r>
      <w:r>
        <w:rPr>
          <w:sz w:val="22"/>
          <w:szCs w:val="22"/>
        </w:rPr>
        <w:t>)</w:t>
      </w:r>
      <w:r w:rsidRPr="00DC1F84">
        <w:t xml:space="preserve">. </w:t>
      </w:r>
    </w:p>
    <w:p w:rsidR="009C68B2" w:rsidRPr="00DC1F84" w:rsidRDefault="00EA3774" w:rsidP="009C68B2">
      <w:pPr>
        <w:autoSpaceDE w:val="0"/>
        <w:autoSpaceDN w:val="0"/>
        <w:adjustRightInd w:val="0"/>
        <w:spacing w:line="360" w:lineRule="auto"/>
        <w:jc w:val="center"/>
      </w:pPr>
      <w:r>
        <w:rPr>
          <w:lang w:eastAsia="en-US"/>
        </w:rPr>
        <w:pict>
          <v:shape id="_x0000_s1521" type="#_x0000_t202" style="position:absolute;left:0;text-align:left;margin-left:44.2pt;margin-top:207.3pt;width:339.8pt;height:39.35pt;z-index:251801600;mso-width-relative:margin;mso-height-relative:margin" stroked="f">
            <v:textbox style="mso-next-textbox:#_x0000_s1521">
              <w:txbxContent>
                <w:p w:rsidR="00B34B0F" w:rsidRPr="006268D8" w:rsidRDefault="00B34B0F" w:rsidP="009C68B2">
                  <w:pPr>
                    <w:rPr>
                      <w:sz w:val="22"/>
                      <w:szCs w:val="22"/>
                    </w:rPr>
                  </w:pPr>
                  <w:r w:rsidRPr="006268D8">
                    <w:rPr>
                      <w:sz w:val="22"/>
                      <w:szCs w:val="22"/>
                    </w:rPr>
                    <w:t xml:space="preserve">Gráfico 6.3.28- Número de levantamentos nos núcleos da </w:t>
                  </w:r>
                  <w:r>
                    <w:rPr>
                      <w:sz w:val="22"/>
                      <w:szCs w:val="22"/>
                    </w:rPr>
                    <w:t>sé</w:t>
                  </w:r>
                  <w:r w:rsidRPr="006268D8">
                    <w:rPr>
                      <w:sz w:val="22"/>
                      <w:szCs w:val="22"/>
                    </w:rPr>
                    <w:t>rie fresca da Tapada do Montinho</w:t>
                  </w:r>
                  <w:r>
                    <w:rPr>
                      <w:sz w:val="22"/>
                      <w:szCs w:val="22"/>
                    </w:rPr>
                    <w:t>.</w:t>
                  </w:r>
                </w:p>
                <w:p w:rsidR="00B34B0F" w:rsidRDefault="00B34B0F" w:rsidP="009C68B2"/>
              </w:txbxContent>
            </v:textbox>
          </v:shape>
        </w:pict>
      </w:r>
      <w:r w:rsidR="009C68B2" w:rsidRPr="00DC1F84">
        <w:object w:dxaOrig="7212" w:dyaOrig="4085">
          <v:shape id="_x0000_i1077" type="#_x0000_t75" style="width:409.4pt;height:232.75pt" o:ole="">
            <v:imagedata r:id="rId204" o:title=""/>
          </v:shape>
          <o:OLEObject Type="Embed" ProgID="Excel.Sheet.12" ShapeID="_x0000_i1077" DrawAspect="Content" ObjectID="_1556969357" r:id="rId205"/>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lastRenderedPageBreak/>
        <w:t>Umas das características deste conjunto é a heterogeneidade destas peças em relação ao número de negativos de levantamentos que apresentam e á forma como a sequência de remoção das lascas se processa. Como se pode</w:t>
      </w:r>
      <w:r>
        <w:t xml:space="preserve"> ver no gráfico</w:t>
      </w:r>
      <w:r w:rsidRPr="006268D8">
        <w:rPr>
          <w:sz w:val="22"/>
          <w:szCs w:val="22"/>
        </w:rPr>
        <w:t xml:space="preserve"> 6.3.28</w:t>
      </w:r>
      <w:r w:rsidRPr="00DC1F84">
        <w:t>, uma parte substancial destes núcleos (67%) apres</w:t>
      </w:r>
      <w:r>
        <w:t>enta</w:t>
      </w:r>
      <w:r w:rsidRPr="00DC1F84">
        <w:t xml:space="preserve"> entre 3 e 5 negativos de levantamentos. Os núcleos onde se registaram mais de 6 levantamentos somaram os restantes 33% do total do conjunto. O núcleo que apresenta 16 levantamentos corresponde à “raspadeira” tipo Quina (Foto 6.3.2; Figura 6.3.5, n.º 2), que devido ao ângulo de percussão, muito próximo </w:t>
      </w:r>
      <w:proofErr w:type="gramStart"/>
      <w:r w:rsidRPr="00DC1F84">
        <w:t>do</w:t>
      </w:r>
      <w:r>
        <w:t>s</w:t>
      </w:r>
      <w:r w:rsidRPr="00DC1F84">
        <w:t xml:space="preserve"> 90º</w:t>
      </w:r>
      <w:proofErr w:type="gramEnd"/>
      <w:r w:rsidRPr="00DC1F84">
        <w:t>, poderá corresponder a um núcleo para lascas de pequena dimensão.</w: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ind w:firstLine="708"/>
        <w:jc w:val="both"/>
      </w:pPr>
      <w:r w:rsidRPr="00DC1F84">
        <w:t>Quando se analisam as dimensões dos núcleos</w:t>
      </w:r>
      <w:r>
        <w:t>,</w:t>
      </w:r>
      <w:r w:rsidRPr="00DC1F84">
        <w:t xml:space="preserve"> nomeadamente a razão comprimento/ largura, verifica-se que os </w:t>
      </w:r>
      <w:r>
        <w:t>elementos</w:t>
      </w:r>
      <w:r w:rsidRPr="00DC1F84">
        <w:t xml:space="preserve"> analisados se vão espraiando ao longo do gráfico, sem apresentarem qualquer tendência para dimensões estandardizadas</w:t>
      </w:r>
      <w:r w:rsidRPr="00530A92">
        <w:rPr>
          <w:sz w:val="22"/>
          <w:szCs w:val="22"/>
        </w:rPr>
        <w:t xml:space="preserve"> </w:t>
      </w:r>
      <w:r>
        <w:rPr>
          <w:sz w:val="22"/>
          <w:szCs w:val="22"/>
        </w:rPr>
        <w:t>(</w:t>
      </w:r>
      <w:r w:rsidRPr="006268D8">
        <w:rPr>
          <w:sz w:val="22"/>
          <w:szCs w:val="22"/>
        </w:rPr>
        <w:t>Gráfico 6.3.29</w:t>
      </w:r>
      <w:r>
        <w:rPr>
          <w:sz w:val="22"/>
          <w:szCs w:val="22"/>
        </w:rPr>
        <w:t>)</w:t>
      </w:r>
      <w:r w:rsidRPr="00DC1F84">
        <w:t xml:space="preserve">. Os núcleos </w:t>
      </w:r>
      <w:r>
        <w:t>da sé</w:t>
      </w:r>
      <w:r w:rsidRPr="00DC1F84">
        <w:t>rie fresca da Tapada do Montinho apresentam comprimentos que vão dos 30 mm aos 90 mm e larguras situad</w:t>
      </w:r>
      <w:r>
        <w:t>a</w:t>
      </w:r>
      <w:r w:rsidRPr="00DC1F84">
        <w:t>s entre os 20 mm e os 60 mm. Como se pode ver os núcleos apresentam dimensões reduzidas, resultando obviamente daí lascas de dimensões reduzidas.</w:t>
      </w:r>
    </w:p>
    <w:p w:rsidR="009C68B2" w:rsidRPr="00DC1F84" w:rsidRDefault="009C68B2" w:rsidP="009C68B2">
      <w:pPr>
        <w:autoSpaceDE w:val="0"/>
        <w:autoSpaceDN w:val="0"/>
        <w:adjustRightInd w:val="0"/>
        <w:spacing w:line="360" w:lineRule="auto"/>
        <w:jc w:val="both"/>
      </w:pPr>
    </w:p>
    <w:p w:rsidR="009C68B2" w:rsidRPr="00DC1F84" w:rsidRDefault="00EA3774" w:rsidP="009C68B2">
      <w:pPr>
        <w:autoSpaceDE w:val="0"/>
        <w:autoSpaceDN w:val="0"/>
        <w:adjustRightInd w:val="0"/>
        <w:spacing w:line="360" w:lineRule="auto"/>
        <w:jc w:val="center"/>
      </w:pPr>
      <w:r>
        <w:rPr>
          <w:lang w:eastAsia="en-US"/>
        </w:rPr>
        <w:pict>
          <v:shape id="_x0000_s1522" type="#_x0000_t202" style="position:absolute;left:0;text-align:left;margin-left:22.2pt;margin-top:227.2pt;width:411pt;height:46.3pt;z-index:251802624;mso-height-percent:200;mso-height-percent:200;mso-width-relative:margin;mso-height-relative:margin" stroked="f">
            <v:textbox style="mso-next-textbox:#_x0000_s1522;mso-fit-shape-to-text:t">
              <w:txbxContent>
                <w:p w:rsidR="00B34B0F" w:rsidRPr="006268D8" w:rsidRDefault="00B34B0F" w:rsidP="009C68B2">
                  <w:pPr>
                    <w:rPr>
                      <w:sz w:val="22"/>
                      <w:szCs w:val="22"/>
                    </w:rPr>
                  </w:pPr>
                  <w:r w:rsidRPr="006268D8">
                    <w:rPr>
                      <w:sz w:val="22"/>
                      <w:szCs w:val="22"/>
                    </w:rPr>
                    <w:t>Gráfico 6.3.29- Razão comprimento/largura dos núcleos da</w:t>
                  </w:r>
                  <w:r>
                    <w:rPr>
                      <w:sz w:val="22"/>
                      <w:szCs w:val="22"/>
                    </w:rPr>
                    <w:t xml:space="preserve"> sé</w:t>
                  </w:r>
                  <w:r w:rsidRPr="006268D8">
                    <w:rPr>
                      <w:sz w:val="22"/>
                      <w:szCs w:val="22"/>
                    </w:rPr>
                    <w:t>rie fresca da Tapada do Montinho.</w:t>
                  </w:r>
                </w:p>
                <w:p w:rsidR="00B34B0F" w:rsidRDefault="00B34B0F" w:rsidP="009C68B2"/>
              </w:txbxContent>
            </v:textbox>
          </v:shape>
        </w:pict>
      </w:r>
      <w:r w:rsidR="009C68B2" w:rsidRPr="00DC1F84">
        <w:object w:dxaOrig="7212" w:dyaOrig="4085">
          <v:shape id="_x0000_i1078" type="#_x0000_t75" style="width:425.3pt;height:241.1pt" o:ole="">
            <v:imagedata r:id="rId206" o:title=""/>
          </v:shape>
          <o:OLEObject Type="Embed" ProgID="Excel.Sheet.12" ShapeID="_x0000_i1078" DrawAspect="Content" ObjectID="_1556969358" r:id="rId207"/>
        </w:object>
      </w: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p>
    <w:p w:rsidR="009C68B2" w:rsidRPr="00110925" w:rsidRDefault="009C68B2" w:rsidP="009C68B2">
      <w:pPr>
        <w:autoSpaceDE w:val="0"/>
        <w:autoSpaceDN w:val="0"/>
        <w:adjustRightInd w:val="0"/>
        <w:spacing w:line="360" w:lineRule="auto"/>
        <w:ind w:firstLine="708"/>
        <w:jc w:val="both"/>
      </w:pPr>
      <w:r w:rsidRPr="00DC1F84">
        <w:lastRenderedPageBreak/>
        <w:t>No que diz respeito á razão largura espessura, e à razão comprimento/espessura, as ilações retiradas anteriormente continuam válidas tendo que se registar apenas a tendência dos núc</w:t>
      </w:r>
      <w:r>
        <w:t>leos analisados a luz da razão comprimento/espessura e largura/</w:t>
      </w:r>
      <w:r w:rsidRPr="00DC1F84">
        <w:t>espessura se afastarem mais da reta de tendência</w:t>
      </w:r>
      <w:r w:rsidRPr="00530A92">
        <w:rPr>
          <w:sz w:val="22"/>
          <w:szCs w:val="22"/>
        </w:rPr>
        <w:t xml:space="preserve"> </w:t>
      </w:r>
      <w:r>
        <w:rPr>
          <w:sz w:val="22"/>
          <w:szCs w:val="22"/>
        </w:rPr>
        <w:t>(</w:t>
      </w:r>
      <w:r w:rsidRPr="006268D8">
        <w:rPr>
          <w:sz w:val="22"/>
          <w:szCs w:val="22"/>
        </w:rPr>
        <w:t>Gráfico 6.3.30</w:t>
      </w:r>
      <w:r>
        <w:rPr>
          <w:sz w:val="22"/>
          <w:szCs w:val="22"/>
        </w:rPr>
        <w:t xml:space="preserve"> e 6.3.31)</w:t>
      </w:r>
      <w:r w:rsidRPr="00DC1F84">
        <w:t>.</w:t>
      </w:r>
    </w:p>
    <w:p w:rsidR="009C68B2" w:rsidRDefault="00EA3774" w:rsidP="009C68B2">
      <w:pPr>
        <w:autoSpaceDE w:val="0"/>
        <w:autoSpaceDN w:val="0"/>
        <w:adjustRightInd w:val="0"/>
        <w:spacing w:line="360" w:lineRule="auto"/>
        <w:jc w:val="center"/>
      </w:pPr>
      <w:r>
        <w:rPr>
          <w:lang w:eastAsia="en-US"/>
        </w:rPr>
        <w:pict>
          <v:shape id="_x0000_s1523" type="#_x0000_t202" style="position:absolute;left:0;text-align:left;margin-left:22.3pt;margin-top:240.1pt;width:360.65pt;height:32.5pt;z-index:251803648;mso-height-percent:200;mso-height-percent:200;mso-width-relative:margin;mso-height-relative:margin" stroked="f">
            <v:textbox style="mso-next-textbox:#_x0000_s1523;mso-fit-shape-to-text:t">
              <w:txbxContent>
                <w:p w:rsidR="00B34B0F" w:rsidRPr="006268D8" w:rsidRDefault="00B34B0F" w:rsidP="009C68B2">
                  <w:r w:rsidRPr="006268D8">
                    <w:rPr>
                      <w:sz w:val="22"/>
                      <w:szCs w:val="22"/>
                    </w:rPr>
                    <w:t>Gráfico 6.3.30- Razão lar</w:t>
                  </w:r>
                  <w:r>
                    <w:rPr>
                      <w:sz w:val="22"/>
                      <w:szCs w:val="22"/>
                    </w:rPr>
                    <w:t>gura/espessura dos núcleos da sé</w:t>
                  </w:r>
                  <w:r w:rsidRPr="006268D8">
                    <w:rPr>
                      <w:sz w:val="22"/>
                      <w:szCs w:val="22"/>
                    </w:rPr>
                    <w:t>rie fresca da Tapada do Montinho.</w:t>
                  </w:r>
                </w:p>
              </w:txbxContent>
            </v:textbox>
          </v:shape>
        </w:pict>
      </w:r>
      <w:r w:rsidR="009C68B2" w:rsidRPr="00DC1F84">
        <w:object w:dxaOrig="7211" w:dyaOrig="4082">
          <v:shape id="_x0000_i1079" type="#_x0000_t75" style="width:454.6pt;height:256.2pt" o:ole="">
            <v:imagedata r:id="rId208" o:title=""/>
          </v:shape>
          <o:OLEObject Type="Embed" ProgID="Excel.Sheet.12" ShapeID="_x0000_i1079" DrawAspect="Content" ObjectID="_1556969359" r:id="rId209"/>
        </w:object>
      </w:r>
    </w:p>
    <w:p w:rsidR="009C68B2" w:rsidRPr="00DC1F84" w:rsidRDefault="009C68B2" w:rsidP="009C68B2">
      <w:pPr>
        <w:autoSpaceDE w:val="0"/>
        <w:autoSpaceDN w:val="0"/>
        <w:adjustRightInd w:val="0"/>
        <w:spacing w:line="360" w:lineRule="auto"/>
        <w:jc w:val="center"/>
      </w:pPr>
    </w:p>
    <w:p w:rsidR="009C68B2" w:rsidRPr="00DC1F84" w:rsidRDefault="00EA3774" w:rsidP="009C68B2">
      <w:pPr>
        <w:autoSpaceDE w:val="0"/>
        <w:autoSpaceDN w:val="0"/>
        <w:adjustRightInd w:val="0"/>
        <w:spacing w:line="360" w:lineRule="auto"/>
        <w:jc w:val="center"/>
      </w:pPr>
      <w:r>
        <w:rPr>
          <w:lang w:eastAsia="en-US"/>
        </w:rPr>
        <w:pict>
          <v:shape id="_x0000_s1524" type="#_x0000_t202" style="position:absolute;left:0;text-align:left;margin-left:8.45pt;margin-top:235.15pt;width:413.5pt;height:46.3pt;z-index:251804672;mso-height-percent:200;mso-height-percent:200;mso-width-relative:margin;mso-height-relative:margin" stroked="f">
            <v:textbox style="mso-next-textbox:#_x0000_s1524;mso-fit-shape-to-text:t">
              <w:txbxContent>
                <w:p w:rsidR="00B34B0F" w:rsidRPr="006268D8" w:rsidRDefault="00B34B0F" w:rsidP="009C68B2">
                  <w:pPr>
                    <w:rPr>
                      <w:sz w:val="22"/>
                      <w:szCs w:val="22"/>
                    </w:rPr>
                  </w:pPr>
                  <w:r w:rsidRPr="006268D8">
                    <w:rPr>
                      <w:sz w:val="22"/>
                      <w:szCs w:val="22"/>
                    </w:rPr>
                    <w:t>Gráfico 6.3.31- Razão comprim</w:t>
                  </w:r>
                  <w:r>
                    <w:rPr>
                      <w:sz w:val="22"/>
                      <w:szCs w:val="22"/>
                    </w:rPr>
                    <w:t>ento/espessura dos núcleos da sé</w:t>
                  </w:r>
                  <w:r w:rsidRPr="006268D8">
                    <w:rPr>
                      <w:sz w:val="22"/>
                      <w:szCs w:val="22"/>
                    </w:rPr>
                    <w:t>rie fresca da Tapada do Montinho.</w:t>
                  </w:r>
                </w:p>
                <w:p w:rsidR="00B34B0F" w:rsidRDefault="00B34B0F" w:rsidP="009C68B2"/>
              </w:txbxContent>
            </v:textbox>
          </v:shape>
        </w:pict>
      </w:r>
      <w:r w:rsidR="009C68B2" w:rsidRPr="00DC1F84">
        <w:object w:dxaOrig="7650" w:dyaOrig="4185">
          <v:shape id="_x0000_i1080" type="#_x0000_t75" style="width:441.2pt;height:241.1pt" o:ole="">
            <v:imagedata r:id="rId210" o:title=""/>
          </v:shape>
          <o:OLEObject Type="Embed" ProgID="Excel.Sheet.12" ShapeID="_x0000_i1080" DrawAspect="Content" ObjectID="_1556969360" r:id="rId211"/>
        </w:object>
      </w: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Default="009C68B2" w:rsidP="009C68B2">
      <w:pPr>
        <w:autoSpaceDE w:val="0"/>
        <w:autoSpaceDN w:val="0"/>
        <w:adjustRightInd w:val="0"/>
        <w:spacing w:line="360" w:lineRule="auto"/>
        <w:jc w:val="both"/>
      </w:pPr>
    </w:p>
    <w:p w:rsidR="009C68B2" w:rsidRPr="00DC1F84" w:rsidRDefault="009C68B2" w:rsidP="009C68B2">
      <w:pPr>
        <w:autoSpaceDE w:val="0"/>
        <w:autoSpaceDN w:val="0"/>
        <w:adjustRightInd w:val="0"/>
        <w:spacing w:line="360" w:lineRule="auto"/>
        <w:jc w:val="both"/>
      </w:pPr>
      <w:r w:rsidRPr="00DC1F84">
        <w:lastRenderedPageBreak/>
        <w:t>6.3.</w:t>
      </w:r>
      <w:r>
        <w:t>4.</w:t>
      </w:r>
      <w:r w:rsidRPr="00DC1F84">
        <w:t>2.4- Caracterização tecnológica</w: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pPr>
      <w:r w:rsidRPr="00DC1F84">
        <w:t>6.3.</w:t>
      </w:r>
      <w:r>
        <w:t>4</w:t>
      </w:r>
      <w:r w:rsidRPr="00DC1F84">
        <w:t>.</w:t>
      </w:r>
      <w:r>
        <w:t>2.</w:t>
      </w:r>
      <w:r w:rsidRPr="00DC1F84">
        <w:t>4.1-Indústria lítica</w:t>
      </w:r>
    </w:p>
    <w:p w:rsidR="009C68B2" w:rsidRPr="00DC1F84" w:rsidRDefault="009C68B2" w:rsidP="009C68B2">
      <w:pPr>
        <w:spacing w:line="360" w:lineRule="auto"/>
        <w:ind w:firstLine="708"/>
        <w:jc w:val="both"/>
      </w:pPr>
    </w:p>
    <w:p w:rsidR="009C68B2" w:rsidRPr="00DC1F84" w:rsidRDefault="009C68B2" w:rsidP="009C68B2">
      <w:pPr>
        <w:spacing w:line="360" w:lineRule="auto"/>
        <w:ind w:firstLine="708"/>
        <w:jc w:val="both"/>
      </w:pPr>
      <w:r w:rsidRPr="00DC1F84">
        <w:t xml:space="preserve">A indústria fresca da Tapada do Montinho apresenta alguma diversidade de produtos acabados. Nesta estação recolheram-se vários tipos de lascas, nomeadamente lascas </w:t>
      </w:r>
      <w:r w:rsidRPr="006129C7">
        <w:rPr>
          <w:i/>
        </w:rPr>
        <w:t>Kombewa</w:t>
      </w:r>
      <w:r w:rsidRPr="00DC1F84">
        <w:t xml:space="preserve"> (Figura 6.3.5, n.º 1, 3 e 5) e lascas </w:t>
      </w:r>
      <w:r w:rsidRPr="006129C7">
        <w:rPr>
          <w:i/>
        </w:rPr>
        <w:t>Levallois</w:t>
      </w:r>
      <w:r w:rsidRPr="00DC1F84">
        <w:t xml:space="preserve"> (Figura 6.3.5, n.º 2, 4 e 7) Algumas dessas lascas foram utilizadas como raspadeiras (Figura 6.3.5, n.º 6 e 8), tendo em atenção os estigmas de uso. Outros elementos lascares apresentam entalhes, dois dos quais clactonenses (Figura 6.3.5, n.º 9 e Figura 6.3.4, n.º 3). As lascas </w:t>
      </w:r>
      <w:r w:rsidRPr="006129C7">
        <w:rPr>
          <w:i/>
        </w:rPr>
        <w:t>Kombewa</w:t>
      </w:r>
      <w:r w:rsidRPr="00DC1F84">
        <w:t xml:space="preserve"> fazem a sua primeira aparição no registo do Paleolítico médio da Bacia do Arneiro, nesta estação. Duas delas (Figura 6.3.5, n.º 1 e 3) divergem, pelas suas dimensões do restante registo arqueológico da Tapada do Montinho. São maiores que o resto das lascas e dos núcleos representados na colecção. Esta diferença pode indiciar que terão sido trazidas para o sítio já como produto acabado. A favor desta possibilidade</w:t>
      </w:r>
      <w:proofErr w:type="gramStart"/>
      <w:r w:rsidRPr="00DC1F84">
        <w:t>,</w:t>
      </w:r>
      <w:proofErr w:type="gramEnd"/>
      <w:r>
        <w:t xml:space="preserve"> </w:t>
      </w:r>
      <w:r w:rsidRPr="00DC1F84">
        <w:t xml:space="preserve">existe ainda o reavivamento patente no exemplar 3 da figura 6.3.5. A terceira lasca </w:t>
      </w:r>
      <w:r w:rsidRPr="006129C7">
        <w:rPr>
          <w:i/>
        </w:rPr>
        <w:t>Kombewa</w:t>
      </w:r>
      <w:r w:rsidRPr="00DC1F84">
        <w:t xml:space="preserve">, mais modesta em dimensões já enquadra melhor no material debitado na Tapada do Montinho. Nesta estação verifica-se um incremento do uso de sílex como matéria-prima, tendo-se registado uma lasca </w:t>
      </w:r>
      <w:r w:rsidRPr="006129C7">
        <w:rPr>
          <w:i/>
        </w:rPr>
        <w:t>Levallois</w:t>
      </w:r>
      <w:r w:rsidRPr="00DC1F84">
        <w:t xml:space="preserve"> no espólio estudado (Figura 6.3.5, n.º 2). Como indício da presença de outro método de talhe usado na estação da Tapada do Montinho, registou-se a presença de uma lasca resultante de talhe discoíde com talão facetado (Figura 6.3.6, n.º 2). As lascas representadas na fig. 4 com os números 8, 9 e 10 resultam de uma mesma sequência de debitagem cujo objectivo é a produção de suportes alongados através de talhe oportunístico sobre bordo de seixo. A associação destas três lascas prende-se com características cromáticas do quartzito empregue e que é único nestas três peças. </w:t>
      </w:r>
    </w:p>
    <w:p w:rsidR="009C68B2" w:rsidRPr="00BC0DA0" w:rsidRDefault="00EA3774" w:rsidP="009C68B2">
      <w:pPr>
        <w:spacing w:line="360" w:lineRule="auto"/>
        <w:jc w:val="center"/>
      </w:pPr>
      <w:r w:rsidRPr="00EA3774">
        <w:rPr>
          <w:color w:val="FF0000"/>
          <w:lang w:eastAsia="en-US"/>
        </w:rPr>
        <w:lastRenderedPageBreak/>
        <w:pict>
          <v:shape id="_x0000_s1525" type="#_x0000_t202" style="position:absolute;left:0;text-align:left;margin-left:1.95pt;margin-top:610.15pt;width:397pt;height:64.1pt;z-index:251805696;mso-width-relative:margin;mso-height-relative:margin" stroked="f">
            <v:textbox style="mso-next-textbox:#_x0000_s1525">
              <w:txbxContent>
                <w:p w:rsidR="00B34B0F" w:rsidRPr="00D62E48" w:rsidRDefault="00B34B0F" w:rsidP="009C68B2">
                  <w:pPr>
                    <w:jc w:val="both"/>
                  </w:pPr>
                  <w:r w:rsidRPr="00D62E48">
                    <w:rPr>
                      <w:sz w:val="22"/>
                      <w:szCs w:val="22"/>
                    </w:rPr>
                    <w:t>Figura 6.3.</w:t>
                  </w:r>
                  <w:r>
                    <w:rPr>
                      <w:sz w:val="22"/>
                      <w:szCs w:val="22"/>
                    </w:rPr>
                    <w:t>5</w:t>
                  </w:r>
                  <w:r w:rsidRPr="00D62E48">
                    <w:rPr>
                      <w:sz w:val="22"/>
                      <w:szCs w:val="22"/>
                    </w:rPr>
                    <w:t>- Indústria</w:t>
                  </w:r>
                  <w:r>
                    <w:rPr>
                      <w:sz w:val="22"/>
                      <w:szCs w:val="22"/>
                    </w:rPr>
                    <w:t xml:space="preserve"> da sé</w:t>
                  </w:r>
                  <w:r w:rsidRPr="00D62E48">
                    <w:rPr>
                      <w:sz w:val="22"/>
                      <w:szCs w:val="22"/>
                    </w:rPr>
                    <w:t xml:space="preserve">rie fresca da Tapada do Montinho, em quartzito salvo indicação contrária: 1, 3 e 5- Lascas </w:t>
                  </w:r>
                  <w:r w:rsidRPr="00197725">
                    <w:rPr>
                      <w:i/>
                      <w:sz w:val="22"/>
                      <w:szCs w:val="22"/>
                    </w:rPr>
                    <w:t>Kombewa</w:t>
                  </w:r>
                  <w:r w:rsidRPr="00D62E48">
                    <w:rPr>
                      <w:sz w:val="22"/>
                      <w:szCs w:val="22"/>
                    </w:rPr>
                    <w:t>, apresentando a n.º 3 reavivamento;</w:t>
                  </w:r>
                  <w:r>
                    <w:rPr>
                      <w:sz w:val="22"/>
                      <w:szCs w:val="22"/>
                    </w:rPr>
                    <w:t xml:space="preserve"> 2</w:t>
                  </w:r>
                  <w:r w:rsidRPr="00D62E48">
                    <w:rPr>
                      <w:sz w:val="22"/>
                      <w:szCs w:val="22"/>
                    </w:rPr>
                    <w:t xml:space="preserve"> - Lasca </w:t>
                  </w:r>
                  <w:r w:rsidRPr="00197725">
                    <w:rPr>
                      <w:i/>
                      <w:sz w:val="22"/>
                      <w:szCs w:val="22"/>
                    </w:rPr>
                    <w:t>Levallois</w:t>
                  </w:r>
                  <w:r w:rsidRPr="00D62E48">
                    <w:rPr>
                      <w:sz w:val="22"/>
                      <w:szCs w:val="22"/>
                    </w:rPr>
                    <w:t xml:space="preserve"> em sílex; 4 e 7- Lascas </w:t>
                  </w:r>
                  <w:r w:rsidRPr="00197725">
                    <w:rPr>
                      <w:i/>
                      <w:sz w:val="22"/>
                      <w:szCs w:val="22"/>
                    </w:rPr>
                    <w:t>Levallois</w:t>
                  </w:r>
                  <w:r w:rsidRPr="00D62E48">
                    <w:rPr>
                      <w:sz w:val="22"/>
                      <w:szCs w:val="22"/>
                    </w:rPr>
                    <w:t>; 6 e 8: Raspadeiras laterais; 9</w:t>
                  </w:r>
                  <w:r>
                    <w:rPr>
                      <w:sz w:val="22"/>
                      <w:szCs w:val="22"/>
                    </w:rPr>
                    <w:t>:</w:t>
                  </w:r>
                  <w:r w:rsidRPr="00D62E48">
                    <w:rPr>
                      <w:sz w:val="22"/>
                      <w:szCs w:val="22"/>
                    </w:rPr>
                    <w:t xml:space="preserve"> Ferramenta dupla raspadeira e entalhe. </w:t>
                  </w:r>
                </w:p>
                <w:p w:rsidR="00B34B0F" w:rsidRPr="001160B5" w:rsidRDefault="00B34B0F" w:rsidP="009C68B2">
                  <w:pPr>
                    <w:rPr>
                      <w:b/>
                      <w:sz w:val="22"/>
                      <w:szCs w:val="22"/>
                    </w:rPr>
                  </w:pPr>
                </w:p>
                <w:p w:rsidR="00B34B0F" w:rsidRDefault="00B34B0F" w:rsidP="009C68B2"/>
              </w:txbxContent>
            </v:textbox>
          </v:shape>
        </w:pict>
      </w:r>
      <w:r w:rsidR="009C68B2">
        <w:rPr>
          <w:noProof/>
          <w:color w:val="FF0000"/>
        </w:rPr>
        <w:drawing>
          <wp:inline distT="0" distB="0" distL="0" distR="0">
            <wp:extent cx="5257800" cy="7467600"/>
            <wp:effectExtent l="19050" t="0" r="0" b="0"/>
            <wp:docPr id="438" name="Imagem 41" descr="T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PM 2"/>
                    <pic:cNvPicPr>
                      <a:picLocks noChangeAspect="1" noChangeArrowheads="1"/>
                    </pic:cNvPicPr>
                  </pic:nvPicPr>
                  <pic:blipFill>
                    <a:blip r:embed="rId212" cstate="print"/>
                    <a:srcRect/>
                    <a:stretch>
                      <a:fillRect/>
                    </a:stretch>
                  </pic:blipFill>
                  <pic:spPr bwMode="auto">
                    <a:xfrm>
                      <a:off x="0" y="0"/>
                      <a:ext cx="5257800" cy="7467600"/>
                    </a:xfrm>
                    <a:prstGeom prst="rect">
                      <a:avLst/>
                    </a:prstGeom>
                    <a:noFill/>
                    <a:ln w="9525">
                      <a:noFill/>
                      <a:miter lim="800000"/>
                      <a:headEnd/>
                      <a:tailEnd/>
                    </a:ln>
                  </pic:spPr>
                </pic:pic>
              </a:graphicData>
            </a:graphic>
          </wp:inline>
        </w:drawing>
      </w:r>
    </w:p>
    <w:p w:rsidR="009C68B2" w:rsidRPr="00DC1F84" w:rsidRDefault="009C68B2" w:rsidP="009C68B2">
      <w:pPr>
        <w:spacing w:line="360" w:lineRule="auto"/>
        <w:jc w:val="center"/>
        <w:rPr>
          <w:color w:val="FF0000"/>
        </w:rPr>
      </w:pPr>
      <w:r>
        <w:rPr>
          <w:noProof/>
          <w:color w:val="FF0000"/>
        </w:rPr>
        <w:lastRenderedPageBreak/>
        <w:drawing>
          <wp:inline distT="0" distB="0" distL="0" distR="0">
            <wp:extent cx="5627518" cy="6924675"/>
            <wp:effectExtent l="19050" t="0" r="0" b="0"/>
            <wp:docPr id="439" name="Imagem 42" descr="TP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PM 5"/>
                    <pic:cNvPicPr>
                      <a:picLocks noChangeAspect="1" noChangeArrowheads="1"/>
                    </pic:cNvPicPr>
                  </pic:nvPicPr>
                  <pic:blipFill>
                    <a:blip r:embed="rId213" cstate="print"/>
                    <a:srcRect/>
                    <a:stretch>
                      <a:fillRect/>
                    </a:stretch>
                  </pic:blipFill>
                  <pic:spPr bwMode="auto">
                    <a:xfrm>
                      <a:off x="0" y="0"/>
                      <a:ext cx="5627518" cy="692467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rPr>
          <w:color w:val="FF0000"/>
        </w:rPr>
      </w:pPr>
      <w:r>
        <w:rPr>
          <w:color w:val="FF0000"/>
          <w:lang w:eastAsia="en-US"/>
        </w:rPr>
        <w:pict>
          <v:shape id="_x0000_s1526" type="#_x0000_t202" style="position:absolute;left:0;text-align:left;margin-left:-3.25pt;margin-top:2.05pt;width:409.1pt;height:62.6pt;z-index:251806720;mso-width-relative:margin;mso-height-relative:margin" stroked="f">
            <v:textbox style="mso-next-textbox:#_x0000_s1526">
              <w:txbxContent>
                <w:p w:rsidR="00B34B0F" w:rsidRPr="00D62E48" w:rsidRDefault="00B34B0F" w:rsidP="009C68B2">
                  <w:pPr>
                    <w:jc w:val="both"/>
                  </w:pPr>
                  <w:r>
                    <w:rPr>
                      <w:b/>
                      <w:sz w:val="22"/>
                      <w:szCs w:val="22"/>
                    </w:rPr>
                    <w:t>Figura</w:t>
                  </w:r>
                  <w:r w:rsidRPr="001160B5">
                    <w:rPr>
                      <w:b/>
                      <w:sz w:val="22"/>
                      <w:szCs w:val="22"/>
                    </w:rPr>
                    <w:t xml:space="preserve"> 6.</w:t>
                  </w:r>
                  <w:r>
                    <w:rPr>
                      <w:b/>
                      <w:sz w:val="22"/>
                      <w:szCs w:val="22"/>
                    </w:rPr>
                    <w:t>3.6</w:t>
                  </w:r>
                  <w:r w:rsidRPr="001160B5">
                    <w:rPr>
                      <w:b/>
                      <w:sz w:val="22"/>
                      <w:szCs w:val="22"/>
                    </w:rPr>
                    <w:t xml:space="preserve">- </w:t>
                  </w:r>
                  <w:r w:rsidRPr="00567C1E">
                    <w:rPr>
                      <w:b/>
                      <w:sz w:val="22"/>
                      <w:szCs w:val="22"/>
                    </w:rPr>
                    <w:t xml:space="preserve">- </w:t>
                  </w:r>
                  <w:r w:rsidRPr="008B4D6D">
                    <w:rPr>
                      <w:sz w:val="22"/>
                      <w:szCs w:val="22"/>
                    </w:rPr>
                    <w:t>Indústria</w:t>
                  </w:r>
                  <w:r>
                    <w:rPr>
                      <w:sz w:val="22"/>
                      <w:szCs w:val="22"/>
                    </w:rPr>
                    <w:t xml:space="preserve"> da sé</w:t>
                  </w:r>
                  <w:r w:rsidRPr="00D62E48">
                    <w:rPr>
                      <w:sz w:val="22"/>
                      <w:szCs w:val="22"/>
                    </w:rPr>
                    <w:t>rie fresca da Tapada do Montinho, em quartzito: 1,</w:t>
                  </w:r>
                  <w:r>
                    <w:rPr>
                      <w:sz w:val="22"/>
                      <w:szCs w:val="22"/>
                    </w:rPr>
                    <w:t>8, 9</w:t>
                  </w:r>
                  <w:r w:rsidRPr="00D62E48">
                    <w:rPr>
                      <w:sz w:val="22"/>
                      <w:szCs w:val="22"/>
                    </w:rPr>
                    <w:t xml:space="preserve"> e </w:t>
                  </w:r>
                  <w:r>
                    <w:rPr>
                      <w:sz w:val="22"/>
                      <w:szCs w:val="22"/>
                    </w:rPr>
                    <w:t>10</w:t>
                  </w:r>
                  <w:r w:rsidRPr="00D62E48">
                    <w:rPr>
                      <w:sz w:val="22"/>
                      <w:szCs w:val="22"/>
                    </w:rPr>
                    <w:t xml:space="preserve">- </w:t>
                  </w:r>
                  <w:r>
                    <w:rPr>
                      <w:sz w:val="22"/>
                      <w:szCs w:val="22"/>
                    </w:rPr>
                    <w:t>Lascas resultante de talhe oportunístico, sendo a n.º 1 uma raspadeira lateral</w:t>
                  </w:r>
                  <w:r w:rsidRPr="00D62E48">
                    <w:rPr>
                      <w:sz w:val="22"/>
                      <w:szCs w:val="22"/>
                    </w:rPr>
                    <w:t xml:space="preserve">; 2 - Lasca </w:t>
                  </w:r>
                  <w:r>
                    <w:rPr>
                      <w:sz w:val="22"/>
                      <w:szCs w:val="22"/>
                    </w:rPr>
                    <w:t>resultante de talhe discoíde</w:t>
                  </w:r>
                  <w:r w:rsidRPr="00D62E48">
                    <w:rPr>
                      <w:sz w:val="22"/>
                      <w:szCs w:val="22"/>
                    </w:rPr>
                    <w:t xml:space="preserve"> </w:t>
                  </w:r>
                  <w:r>
                    <w:rPr>
                      <w:sz w:val="22"/>
                      <w:szCs w:val="22"/>
                    </w:rPr>
                    <w:t>com talão facetado</w:t>
                  </w:r>
                  <w:r w:rsidRPr="00D62E48">
                    <w:rPr>
                      <w:sz w:val="22"/>
                      <w:szCs w:val="22"/>
                    </w:rPr>
                    <w:t>;</w:t>
                  </w:r>
                  <w:r>
                    <w:rPr>
                      <w:sz w:val="22"/>
                      <w:szCs w:val="22"/>
                    </w:rPr>
                    <w:t xml:space="preserve"> 3- Entalhe clactonense; </w:t>
                  </w:r>
                  <w:r w:rsidRPr="00D62E48">
                    <w:rPr>
                      <w:sz w:val="22"/>
                      <w:szCs w:val="22"/>
                    </w:rPr>
                    <w:t>4</w:t>
                  </w:r>
                  <w:r>
                    <w:rPr>
                      <w:sz w:val="22"/>
                      <w:szCs w:val="22"/>
                    </w:rPr>
                    <w:t>-</w:t>
                  </w:r>
                  <w:r w:rsidRPr="00D62E48">
                    <w:rPr>
                      <w:sz w:val="22"/>
                      <w:szCs w:val="22"/>
                    </w:rPr>
                    <w:t xml:space="preserve"> </w:t>
                  </w:r>
                  <w:r>
                    <w:rPr>
                      <w:sz w:val="22"/>
                      <w:szCs w:val="22"/>
                    </w:rPr>
                    <w:t>raspadeira convergente</w:t>
                  </w:r>
                  <w:r w:rsidRPr="00D62E48">
                    <w:rPr>
                      <w:sz w:val="22"/>
                      <w:szCs w:val="22"/>
                    </w:rPr>
                    <w:t>;</w:t>
                  </w:r>
                  <w:r>
                    <w:rPr>
                      <w:sz w:val="22"/>
                      <w:szCs w:val="22"/>
                    </w:rPr>
                    <w:t xml:space="preserve"> 5- Denticulado frontal; 6- Entalhe; </w:t>
                  </w:r>
                  <w:r w:rsidRPr="00D62E48">
                    <w:rPr>
                      <w:sz w:val="22"/>
                      <w:szCs w:val="22"/>
                    </w:rPr>
                    <w:t>7-</w:t>
                  </w:r>
                  <w:r>
                    <w:rPr>
                      <w:sz w:val="22"/>
                      <w:szCs w:val="22"/>
                    </w:rPr>
                    <w:t xml:space="preserve"> Lasca </w:t>
                  </w:r>
                  <w:r w:rsidRPr="00197725">
                    <w:rPr>
                      <w:i/>
                      <w:sz w:val="22"/>
                      <w:szCs w:val="22"/>
                    </w:rPr>
                    <w:t>Levallois</w:t>
                  </w:r>
                  <w:r>
                    <w:rPr>
                      <w:sz w:val="22"/>
                      <w:szCs w:val="22"/>
                    </w:rPr>
                    <w:t>.</w:t>
                  </w:r>
                </w:p>
                <w:p w:rsidR="00B34B0F" w:rsidRPr="001160B5" w:rsidRDefault="00B34B0F" w:rsidP="009C68B2">
                  <w:pPr>
                    <w:rPr>
                      <w:b/>
                      <w:sz w:val="22"/>
                      <w:szCs w:val="22"/>
                    </w:rPr>
                  </w:pPr>
                </w:p>
                <w:p w:rsidR="00B34B0F" w:rsidRDefault="00B34B0F" w:rsidP="009C68B2"/>
              </w:txbxContent>
            </v:textbox>
          </v:shape>
        </w:pic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pPr>
    </w:p>
    <w:p w:rsidR="009C68B2" w:rsidRPr="00DC1F84" w:rsidRDefault="009C68B2" w:rsidP="009C68B2">
      <w:pPr>
        <w:spacing w:line="360" w:lineRule="auto"/>
        <w:jc w:val="both"/>
        <w:rPr>
          <w:color w:val="FF0000"/>
        </w:rPr>
      </w:pPr>
    </w:p>
    <w:p w:rsidR="009C68B2" w:rsidRPr="00DC1F84" w:rsidRDefault="009C68B2" w:rsidP="009C68B2">
      <w:pPr>
        <w:spacing w:line="360" w:lineRule="auto"/>
        <w:ind w:firstLine="708"/>
        <w:jc w:val="both"/>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lastRenderedPageBreak/>
        <w:t xml:space="preserve">No conjunto da indústria lítica fresca, pode realçar-se a presença de 18 núcleos que nos dão uma ideia dos processos de produção lascar. Entre esses núcleos (Figura 6.3.5), pode realçar-se a presença de núcleos </w:t>
      </w:r>
      <w:r>
        <w:rPr>
          <w:i/>
        </w:rPr>
        <w:t>L</w:t>
      </w:r>
      <w:r w:rsidRPr="00197725">
        <w:rPr>
          <w:i/>
        </w:rPr>
        <w:t>evallois</w:t>
      </w:r>
      <w:r w:rsidRPr="00DC1F84">
        <w:t xml:space="preserve"> (Figura 6.3.7, n.º 1, 4 e 6.), núcleos oportunist</w:t>
      </w:r>
      <w:r>
        <w:t>icos</w:t>
      </w:r>
      <w:r w:rsidRPr="00DC1F84">
        <w:t xml:space="preserve"> sobre bordo de seixo, (Figura 6.3.7, n.º 3.) e um núcleo para esquírolas, ou “raspadeira” tipo Quina (Figura 6.3.7, n.º 2; foto 6.3.2.). </w: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color w:val="FF0000"/>
        </w:rPr>
      </w:pPr>
      <w:r>
        <w:rPr>
          <w:noProof/>
          <w:color w:val="FF0000"/>
        </w:rPr>
        <w:drawing>
          <wp:inline distT="0" distB="0" distL="0" distR="0">
            <wp:extent cx="2686050" cy="2543175"/>
            <wp:effectExtent l="19050" t="0" r="0" b="0"/>
            <wp:docPr id="440" name="Imagem 43" descr="T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PM"/>
                    <pic:cNvPicPr>
                      <a:picLocks noChangeAspect="1" noChangeArrowheads="1"/>
                    </pic:cNvPicPr>
                  </pic:nvPicPr>
                  <pic:blipFill>
                    <a:blip r:embed="rId214" cstate="print"/>
                    <a:srcRect/>
                    <a:stretch>
                      <a:fillRect/>
                    </a:stretch>
                  </pic:blipFill>
                  <pic:spPr bwMode="auto">
                    <a:xfrm>
                      <a:off x="0" y="0"/>
                      <a:ext cx="2686050" cy="2543175"/>
                    </a:xfrm>
                    <a:prstGeom prst="rect">
                      <a:avLst/>
                    </a:prstGeom>
                    <a:noFill/>
                    <a:ln w="9525">
                      <a:noFill/>
                      <a:miter lim="800000"/>
                      <a:headEnd/>
                      <a:tailEnd/>
                    </a:ln>
                  </pic:spPr>
                </pic:pic>
              </a:graphicData>
            </a:graphic>
          </wp:inline>
        </w:drawing>
      </w:r>
      <w:r>
        <w:rPr>
          <w:noProof/>
          <w:color w:val="FF0000"/>
        </w:rPr>
        <w:drawing>
          <wp:inline distT="0" distB="0" distL="0" distR="0">
            <wp:extent cx="2714625" cy="2524125"/>
            <wp:effectExtent l="19050" t="0" r="9525" b="0"/>
            <wp:docPr id="441" name="Imagem 44" descr="T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PM"/>
                    <pic:cNvPicPr>
                      <a:picLocks noChangeAspect="1" noChangeArrowheads="1"/>
                    </pic:cNvPicPr>
                  </pic:nvPicPr>
                  <pic:blipFill>
                    <a:blip r:embed="rId215" cstate="print"/>
                    <a:srcRect/>
                    <a:stretch>
                      <a:fillRect/>
                    </a:stretch>
                  </pic:blipFill>
                  <pic:spPr bwMode="auto">
                    <a:xfrm>
                      <a:off x="0" y="0"/>
                      <a:ext cx="2714625" cy="252412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rPr>
          <w:color w:val="FF0000"/>
        </w:rPr>
      </w:pPr>
      <w:r>
        <w:rPr>
          <w:color w:val="FF0000"/>
          <w:lang w:eastAsia="en-US"/>
        </w:rPr>
        <w:pict>
          <v:shape id="_x0000_s1532" type="#_x0000_t202" style="position:absolute;left:0;text-align:left;margin-left:-.05pt;margin-top:9.65pt;width:423.5pt;height:36pt;z-index:251812864;mso-width-relative:margin;mso-height-relative:margin" stroked="f">
            <v:textbox style="mso-next-textbox:#_x0000_s1532">
              <w:txbxContent>
                <w:p w:rsidR="00B34B0F" w:rsidRPr="001160B5" w:rsidRDefault="00B34B0F" w:rsidP="009C68B2">
                  <w:pPr>
                    <w:rPr>
                      <w:b/>
                      <w:sz w:val="22"/>
                      <w:szCs w:val="22"/>
                    </w:rPr>
                  </w:pPr>
                  <w:r>
                    <w:rPr>
                      <w:b/>
                      <w:sz w:val="22"/>
                      <w:szCs w:val="22"/>
                    </w:rPr>
                    <w:t>Foto</w:t>
                  </w:r>
                  <w:r w:rsidRPr="001160B5">
                    <w:rPr>
                      <w:b/>
                      <w:sz w:val="22"/>
                      <w:szCs w:val="22"/>
                    </w:rPr>
                    <w:t xml:space="preserve"> 6.</w:t>
                  </w:r>
                  <w:r>
                    <w:rPr>
                      <w:b/>
                      <w:sz w:val="22"/>
                      <w:szCs w:val="22"/>
                    </w:rPr>
                    <w:t xml:space="preserve">3.5- </w:t>
                  </w:r>
                  <w:r w:rsidRPr="002432D8">
                    <w:rPr>
                      <w:sz w:val="22"/>
                      <w:szCs w:val="22"/>
                    </w:rPr>
                    <w:t>Vista lateral e superior da “raspadeira” tipo Quina recolhida da Tapada do Montinho.</w:t>
                  </w:r>
                </w:p>
                <w:p w:rsidR="00B34B0F" w:rsidRPr="001160B5" w:rsidRDefault="00B34B0F" w:rsidP="009C68B2">
                  <w:pPr>
                    <w:rPr>
                      <w:b/>
                      <w:sz w:val="22"/>
                      <w:szCs w:val="22"/>
                    </w:rPr>
                  </w:pPr>
                </w:p>
                <w:p w:rsidR="00B34B0F" w:rsidRDefault="00B34B0F" w:rsidP="009C68B2"/>
              </w:txbxContent>
            </v:textbox>
          </v:shape>
        </w:pic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t xml:space="preserve">Um dos núcleos mais interessantes corresponde a um núcleo sobre lasca cujo objectivo seria a produção de uma ponta </w:t>
      </w:r>
      <w:r w:rsidRPr="00197725">
        <w:rPr>
          <w:i/>
        </w:rPr>
        <w:t>Levallois</w:t>
      </w:r>
      <w:r w:rsidRPr="00DC1F84">
        <w:t xml:space="preserve"> (Figura 6.3.7, n.º 5.). O resultado acabou por ser uma ponta pseudo-</w:t>
      </w:r>
      <w:r w:rsidRPr="00197725">
        <w:rPr>
          <w:i/>
        </w:rPr>
        <w:t>Levallois</w:t>
      </w:r>
      <w:r w:rsidRPr="00DC1F84">
        <w:t xml:space="preserve">, uma vez que o eixo de percussão e o eixo longitudinal da ponta acabaram por não coincidirem. Outro dos núcleos apresenta uma </w:t>
      </w:r>
      <w:r w:rsidRPr="00DC1F84">
        <w:lastRenderedPageBreak/>
        <w:t>peculiaridade rara. De facto, a última lasca produzida não se soltou totalmente do núcleo ficando presa a este por parte da zona ventral. Este acidente levou ao abandono do núcleo. No conjunto, estes núcleos caracterizam-se por ter dimensões reduzidas.</w:t>
      </w:r>
    </w:p>
    <w:p w:rsidR="009C68B2" w:rsidRPr="00DC1F84" w:rsidRDefault="009C68B2" w:rsidP="009C68B2">
      <w:pPr>
        <w:spacing w:line="360" w:lineRule="auto"/>
        <w:jc w:val="both"/>
      </w:pPr>
    </w:p>
    <w:p w:rsidR="009C68B2" w:rsidRPr="00DC1F84" w:rsidRDefault="009C68B2" w:rsidP="009C68B2">
      <w:pPr>
        <w:spacing w:line="360" w:lineRule="auto"/>
        <w:jc w:val="center"/>
        <w:rPr>
          <w:color w:val="FF0000"/>
        </w:rPr>
      </w:pPr>
      <w:r>
        <w:rPr>
          <w:noProof/>
          <w:color w:val="FF0000"/>
        </w:rPr>
        <w:drawing>
          <wp:inline distT="0" distB="0" distL="0" distR="0">
            <wp:extent cx="4861958" cy="7000875"/>
            <wp:effectExtent l="19050" t="0" r="0" b="0"/>
            <wp:docPr id="442" name="Imagem 45" descr="T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PM 1"/>
                    <pic:cNvPicPr>
                      <a:picLocks noChangeAspect="1" noChangeArrowheads="1"/>
                    </pic:cNvPicPr>
                  </pic:nvPicPr>
                  <pic:blipFill>
                    <a:blip r:embed="rId216" cstate="print"/>
                    <a:srcRect/>
                    <a:stretch>
                      <a:fillRect/>
                    </a:stretch>
                  </pic:blipFill>
                  <pic:spPr bwMode="auto">
                    <a:xfrm>
                      <a:off x="0" y="0"/>
                      <a:ext cx="4861958" cy="700087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ind w:firstLine="708"/>
        <w:jc w:val="both"/>
      </w:pPr>
      <w:r w:rsidRPr="00EA3774">
        <w:rPr>
          <w:color w:val="FF0000"/>
          <w:lang w:eastAsia="en-US"/>
        </w:rPr>
        <w:pict>
          <v:shape id="_x0000_s1531" type="#_x0000_t202" style="position:absolute;left:0;text-align:left;margin-left:3.3pt;margin-top:1.45pt;width:423.15pt;height:61.25pt;z-index:251811840;mso-height-percent:200;mso-height-percent:200;mso-width-relative:margin;mso-height-relative:margin" stroked="f">
            <v:textbox style="mso-next-textbox:#_x0000_s1531;mso-fit-shape-to-text:t">
              <w:txbxContent>
                <w:p w:rsidR="00B34B0F" w:rsidRPr="002432D8" w:rsidRDefault="00B34B0F" w:rsidP="009C68B2">
                  <w:pPr>
                    <w:jc w:val="both"/>
                    <w:rPr>
                      <w:sz w:val="22"/>
                      <w:szCs w:val="22"/>
                    </w:rPr>
                  </w:pPr>
                  <w:r>
                    <w:rPr>
                      <w:b/>
                      <w:sz w:val="22"/>
                      <w:szCs w:val="22"/>
                    </w:rPr>
                    <w:t>Figura</w:t>
                  </w:r>
                  <w:r w:rsidRPr="001160B5">
                    <w:rPr>
                      <w:b/>
                      <w:sz w:val="22"/>
                      <w:szCs w:val="22"/>
                    </w:rPr>
                    <w:t xml:space="preserve"> 6.</w:t>
                  </w:r>
                  <w:r>
                    <w:rPr>
                      <w:b/>
                      <w:sz w:val="22"/>
                      <w:szCs w:val="22"/>
                    </w:rPr>
                    <w:t>3.7</w:t>
                  </w:r>
                  <w:r w:rsidRPr="00567C1E">
                    <w:rPr>
                      <w:b/>
                      <w:sz w:val="22"/>
                      <w:szCs w:val="22"/>
                    </w:rPr>
                    <w:t xml:space="preserve">- </w:t>
                  </w:r>
                  <w:r w:rsidRPr="000F2C34">
                    <w:rPr>
                      <w:sz w:val="22"/>
                      <w:szCs w:val="22"/>
                    </w:rPr>
                    <w:t>Indústria da série fresca da Tapada do Montinho, núcleos (quartzito)</w:t>
                  </w:r>
                  <w:r>
                    <w:rPr>
                      <w:b/>
                      <w:sz w:val="22"/>
                      <w:szCs w:val="22"/>
                    </w:rPr>
                    <w:t>:</w:t>
                  </w:r>
                  <w:r w:rsidRPr="002432D8">
                    <w:rPr>
                      <w:sz w:val="22"/>
                      <w:szCs w:val="22"/>
                    </w:rPr>
                    <w:t xml:space="preserve"> 1- núcleo </w:t>
                  </w:r>
                  <w:r w:rsidRPr="00197725">
                    <w:rPr>
                      <w:i/>
                      <w:sz w:val="22"/>
                      <w:szCs w:val="22"/>
                    </w:rPr>
                    <w:t>Levallois</w:t>
                  </w:r>
                  <w:r w:rsidRPr="002432D8">
                    <w:rPr>
                      <w:sz w:val="22"/>
                      <w:szCs w:val="22"/>
                    </w:rPr>
                    <w:t xml:space="preserve"> centrípeto recorrente; 2-</w:t>
                  </w:r>
                  <w:r>
                    <w:rPr>
                      <w:sz w:val="22"/>
                      <w:szCs w:val="22"/>
                    </w:rPr>
                    <w:t xml:space="preserve"> “Raspadeira Q</w:t>
                  </w:r>
                  <w:r w:rsidRPr="002432D8">
                    <w:rPr>
                      <w:sz w:val="22"/>
                      <w:szCs w:val="22"/>
                    </w:rPr>
                    <w:t xml:space="preserve">uina”; </w:t>
                  </w:r>
                  <w:r w:rsidRPr="002432D8">
                    <w:t xml:space="preserve">3- Núcleo oportunístico sobre bordo de seixo; 4- Núcleo </w:t>
                  </w:r>
                  <w:r w:rsidRPr="00197725">
                    <w:rPr>
                      <w:i/>
                    </w:rPr>
                    <w:t>levallois</w:t>
                  </w:r>
                  <w:r w:rsidRPr="002432D8">
                    <w:t xml:space="preserve"> com lasca; 5- Núcleo sobre lasca para produção de ponta </w:t>
                  </w:r>
                  <w:proofErr w:type="gramStart"/>
                  <w:r w:rsidRPr="00197725">
                    <w:rPr>
                      <w:i/>
                    </w:rPr>
                    <w:t>Levallois</w:t>
                  </w:r>
                  <w:r w:rsidRPr="002432D8">
                    <w:t xml:space="preserve"> </w:t>
                  </w:r>
                  <w:proofErr w:type="gramEnd"/>
                  <w:r w:rsidRPr="002432D8">
                    <w:t xml:space="preserve">; 6- Núcleo </w:t>
                  </w:r>
                  <w:r w:rsidRPr="00197725">
                    <w:rPr>
                      <w:i/>
                    </w:rPr>
                    <w:t>Levallois</w:t>
                  </w:r>
                  <w:r w:rsidRPr="002432D8">
                    <w:t xml:space="preserve"> esgotado.</w:t>
                  </w:r>
                </w:p>
              </w:txbxContent>
            </v:textbox>
          </v:shape>
        </w:pict>
      </w:r>
    </w:p>
    <w:p w:rsidR="009C68B2" w:rsidRPr="00DC1F84" w:rsidRDefault="009C68B2" w:rsidP="009C68B2">
      <w:pPr>
        <w:spacing w:line="360" w:lineRule="auto"/>
        <w:ind w:firstLine="708"/>
        <w:jc w:val="both"/>
      </w:pPr>
    </w:p>
    <w:p w:rsidR="009C68B2" w:rsidRPr="00DC1F84" w:rsidRDefault="009C68B2" w:rsidP="009C68B2">
      <w:pPr>
        <w:spacing w:line="360" w:lineRule="auto"/>
        <w:jc w:val="both"/>
        <w:rPr>
          <w:color w:val="FF0000"/>
        </w:rPr>
      </w:pPr>
    </w:p>
    <w:p w:rsidR="009C68B2" w:rsidRPr="00BC0DA0" w:rsidRDefault="009C68B2" w:rsidP="009C68B2">
      <w:pPr>
        <w:spacing w:line="360" w:lineRule="auto"/>
        <w:jc w:val="both"/>
      </w:pPr>
      <w:r w:rsidRPr="00DC1F84">
        <w:lastRenderedPageBreak/>
        <w:t>6.3.</w:t>
      </w:r>
      <w:r>
        <w:t>4.</w:t>
      </w:r>
      <w:r w:rsidRPr="00DC1F84">
        <w:t>2.4.2-Análise diacrítica dos núcleos</w:t>
      </w:r>
    </w:p>
    <w:p w:rsidR="009C68B2" w:rsidRPr="00DC1F84" w:rsidRDefault="009C68B2" w:rsidP="009C68B2">
      <w:pPr>
        <w:spacing w:line="360" w:lineRule="auto"/>
        <w:jc w:val="both"/>
        <w:rPr>
          <w:color w:val="FF0000"/>
        </w:rPr>
      </w:pPr>
    </w:p>
    <w:p w:rsidR="009C68B2" w:rsidRPr="00DC1F84" w:rsidRDefault="009C68B2" w:rsidP="009C68B2">
      <w:pPr>
        <w:spacing w:line="360" w:lineRule="auto"/>
        <w:ind w:firstLine="708"/>
        <w:jc w:val="both"/>
      </w:pPr>
      <w:r w:rsidRPr="00DC1F84">
        <w:t xml:space="preserve">O primeiro núcleo analisado em relação à sequência de gestos técnicos que lhe deram origem corresponde a um </w:t>
      </w:r>
      <w:r>
        <w:t>exemplar</w:t>
      </w:r>
      <w:r w:rsidRPr="00DC1F84">
        <w:t xml:space="preserve"> </w:t>
      </w:r>
      <w:r w:rsidRPr="00197725">
        <w:rPr>
          <w:i/>
        </w:rPr>
        <w:t>Levallois</w:t>
      </w:r>
      <w:r w:rsidRPr="00DC1F84">
        <w:t xml:space="preserve"> típico recolhido no quadrado M41 (Figura 6.3.8). Mais uma vez foi utilizado o quartzito da zona, cuja forma inicial não é possível identificar devido ao estado avançado de debitagem </w:t>
      </w:r>
      <w:r>
        <w:t>da peça</w:t>
      </w:r>
      <w:r w:rsidRPr="00DC1F84">
        <w:t xml:space="preserve">. Trata-se de um núcleo </w:t>
      </w:r>
      <w:r w:rsidRPr="00197725">
        <w:rPr>
          <w:i/>
        </w:rPr>
        <w:t>Levallois</w:t>
      </w:r>
      <w:r w:rsidRPr="00DC1F84">
        <w:t xml:space="preserve"> centrípeto recorrente cujo objectivo é a obtenção de lascas predeterminadas, </w:t>
      </w:r>
      <w:r w:rsidRPr="00197725">
        <w:rPr>
          <w:i/>
        </w:rPr>
        <w:t>Levallois</w:t>
      </w:r>
      <w:r w:rsidRPr="00DC1F84">
        <w:t xml:space="preserve">. Neste caso a preparação do núcleo começa com a remoção de lascas nas faces laterais do núcleo (vista lateral, levantamentos 1 e 2). Posteriormente são realizados levantamentos na face superior, aproveitando como plataformas de percussão o negativo das lascas de preparação das faces laterais. Estes levantamentos com um ângulo de cerca de 30 º, pretendem criar na zona central desta superfície uma </w:t>
      </w:r>
      <w:r>
        <w:t>plataforma</w:t>
      </w:r>
      <w:r w:rsidRPr="00DC1F84">
        <w:t xml:space="preserve"> mais elevada, facetada pelos levantamentos que lhe deram forma. Finalmente</w:t>
      </w:r>
      <w:proofErr w:type="gramStart"/>
      <w:r>
        <w:t>,</w:t>
      </w:r>
      <w:proofErr w:type="gramEnd"/>
      <w:r w:rsidRPr="00DC1F84">
        <w:t xml:space="preserve"> seria aplicado um impacto</w:t>
      </w:r>
      <w:r>
        <w:t>,</w:t>
      </w:r>
      <w:r w:rsidRPr="00DC1F84">
        <w:t xml:space="preserve"> junto ao eixo longitudinal da face superior</w:t>
      </w:r>
      <w:r>
        <w:t>,</w:t>
      </w:r>
      <w:r w:rsidRPr="00DC1F84">
        <w:t xml:space="preserve"> com o objectivo de retirar uma lasca apresentando um gume em todo o perímetro da peça. As lascas resultantes destas operações apresentam formatos variados.</w:t>
      </w:r>
    </w:p>
    <w:p w:rsidR="009C68B2" w:rsidRPr="00DC1F84" w:rsidRDefault="00EA3774" w:rsidP="009C68B2">
      <w:pPr>
        <w:spacing w:line="360" w:lineRule="auto"/>
        <w:jc w:val="both"/>
      </w:pPr>
      <w:r>
        <w:pict>
          <v:shape id="_x0000_s1533" type="#_x0000_t202" style="position:absolute;left:0;text-align:left;margin-left:278.7pt;margin-top:241.65pt;width:131.9pt;height:50.25pt;z-index:251813888" stroked="f">
            <v:textbox style="mso-next-textbox:#_x0000_s1533">
              <w:txbxContent>
                <w:p w:rsidR="00B34B0F" w:rsidRPr="00DF6497" w:rsidRDefault="0019110D" w:rsidP="009C68B2">
                  <w:pPr>
                    <w:jc w:val="both"/>
                    <w:rPr>
                      <w:sz w:val="22"/>
                      <w:szCs w:val="22"/>
                    </w:rPr>
                  </w:pPr>
                  <w:r>
                    <w:rPr>
                      <w:sz w:val="22"/>
                      <w:szCs w:val="22"/>
                    </w:rPr>
                    <w:t xml:space="preserve">Figura </w:t>
                  </w:r>
                  <w:r w:rsidR="00B34B0F" w:rsidRPr="00DF6497">
                    <w:rPr>
                      <w:sz w:val="22"/>
                      <w:szCs w:val="22"/>
                    </w:rPr>
                    <w:t>6.</w:t>
                  </w:r>
                  <w:r w:rsidR="00B34B0F">
                    <w:rPr>
                      <w:sz w:val="22"/>
                      <w:szCs w:val="22"/>
                    </w:rPr>
                    <w:t>3.8</w:t>
                  </w:r>
                  <w:r w:rsidR="00B34B0F" w:rsidRPr="00DF6497">
                    <w:rPr>
                      <w:sz w:val="22"/>
                      <w:szCs w:val="22"/>
                    </w:rPr>
                    <w:t>- Esquema diacrític</w:t>
                  </w:r>
                  <w:r w:rsidR="00B34B0F">
                    <w:rPr>
                      <w:sz w:val="22"/>
                      <w:szCs w:val="22"/>
                    </w:rPr>
                    <w:t>o</w:t>
                  </w:r>
                  <w:r w:rsidR="00B34B0F" w:rsidRPr="00DF6497">
                    <w:rPr>
                      <w:sz w:val="22"/>
                      <w:szCs w:val="22"/>
                    </w:rPr>
                    <w:t xml:space="preserve"> </w:t>
                  </w:r>
                  <w:r w:rsidR="00B34B0F">
                    <w:rPr>
                      <w:sz w:val="22"/>
                      <w:szCs w:val="22"/>
                    </w:rPr>
                    <w:t>do núcleo M41 06</w:t>
                  </w:r>
                </w:p>
                <w:p w:rsidR="00B34B0F" w:rsidRDefault="00B34B0F" w:rsidP="009C68B2">
                  <w:pPr>
                    <w:jc w:val="both"/>
                  </w:pPr>
                </w:p>
              </w:txbxContent>
            </v:textbox>
          </v:shape>
        </w:pict>
      </w:r>
      <w:r w:rsidR="009C68B2">
        <w:rPr>
          <w:noProof/>
        </w:rPr>
        <w:drawing>
          <wp:inline distT="0" distB="0" distL="0" distR="0">
            <wp:extent cx="3771900" cy="4114800"/>
            <wp:effectExtent l="19050" t="0" r="0" b="0"/>
            <wp:docPr id="443" name="Imagem 46" descr="M4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41 6"/>
                    <pic:cNvPicPr>
                      <a:picLocks noChangeAspect="1" noChangeArrowheads="1"/>
                    </pic:cNvPicPr>
                  </pic:nvPicPr>
                  <pic:blipFill>
                    <a:blip r:embed="rId217" cstate="print"/>
                    <a:srcRect/>
                    <a:stretch>
                      <a:fillRect/>
                    </a:stretch>
                  </pic:blipFill>
                  <pic:spPr bwMode="auto">
                    <a:xfrm>
                      <a:off x="0" y="0"/>
                      <a:ext cx="3771900" cy="4114800"/>
                    </a:xfrm>
                    <a:prstGeom prst="rect">
                      <a:avLst/>
                    </a:prstGeom>
                    <a:noFill/>
                    <a:ln w="9525">
                      <a:noFill/>
                      <a:miter lim="800000"/>
                      <a:headEnd/>
                      <a:tailEnd/>
                    </a:ln>
                  </pic:spPr>
                </pic:pic>
              </a:graphicData>
            </a:graphic>
          </wp:inline>
        </w:drawing>
      </w:r>
    </w:p>
    <w:p w:rsidR="009C68B2" w:rsidRPr="00DC1F84" w:rsidRDefault="009C68B2" w:rsidP="009C68B2">
      <w:pPr>
        <w:spacing w:line="360" w:lineRule="auto"/>
        <w:jc w:val="both"/>
      </w:pP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lastRenderedPageBreak/>
        <w:t>Um dos n</w:t>
      </w:r>
      <w:r>
        <w:t>úcleos presente na colecção do A</w:t>
      </w:r>
      <w:r w:rsidRPr="00DC1F84">
        <w:t>zinhal foi classificado como oportunístico sobre bordo de seixo (Figura 6.3.9). A matéria-prim</w:t>
      </w:r>
      <w:r>
        <w:t>a a que se recorreu corresponde</w:t>
      </w:r>
      <w:r w:rsidRPr="00DC1F84">
        <w:t xml:space="preserve"> a um bloco de quartzito autóctone, onde estão presente</w:t>
      </w:r>
      <w:r>
        <w:t>s</w:t>
      </w:r>
      <w:r w:rsidRPr="00DC1F84">
        <w:t xml:space="preserve"> fracturas naturais. A cadeia operatória começa com a remoção de uma lasca de grandes dimensões numa das faces da placa. Seguiu-se mais um levantamento na outra extremidade dessa mesma face. Ainda neste lado seguiu-se um levantamento retirado na zona central na </w:t>
      </w:r>
      <w:r>
        <w:t>área</w:t>
      </w:r>
      <w:r w:rsidRPr="00DC1F84">
        <w:t xml:space="preserve"> de intersecção dos dois levantamentos anteriores. A debitagem passou, depois, para uma face perpendicular, onde for</w:t>
      </w:r>
      <w:r>
        <w:t>am</w:t>
      </w:r>
      <w:r w:rsidRPr="00DC1F84">
        <w:t xml:space="preserve"> </w:t>
      </w:r>
      <w:r>
        <w:t>realizados</w:t>
      </w:r>
      <w:r w:rsidRPr="00DC1F84">
        <w:t xml:space="preserve"> dois levantamentos, paralelos no sentido de percussão, em cada extremidade desta face. Curiosamente, após a remoção destas duas lascas foi tentado um quarto levantamento (n.º 3) na face trabalhada anteriormente mas que não correu bem, origina</w:t>
      </w:r>
      <w:r>
        <w:t>n</w:t>
      </w:r>
      <w:r w:rsidRPr="00DC1F84">
        <w:t xml:space="preserve">do várias fracturas na peça. Finalmente o talhador regressou à segunda superfície de talhe e retirou uma lasca na zona central, na </w:t>
      </w:r>
      <w:r>
        <w:t>área</w:t>
      </w:r>
      <w:r w:rsidRPr="00DC1F84">
        <w:t xml:space="preserve"> de interceção das duas lascas</w:t>
      </w:r>
      <w:r>
        <w:t xml:space="preserve"> anteriormente retiradas.</w:t>
      </w:r>
      <w:r w:rsidRPr="00DC1F84">
        <w:t xml:space="preserve"> </w:t>
      </w:r>
    </w:p>
    <w:p w:rsidR="009C68B2" w:rsidRPr="00DC1F84" w:rsidRDefault="009C68B2" w:rsidP="009C68B2">
      <w:pPr>
        <w:spacing w:line="360" w:lineRule="auto"/>
        <w:ind w:firstLine="708"/>
        <w:jc w:val="both"/>
      </w:pPr>
      <w:r w:rsidRPr="00DC1F84">
        <w:t>Neste caso a debitagem resumiu-se a duas faces, ficando sempre partes corticais ou fracturas naturais, no núcleo. Algumas vezes o processo de talhe inicia-se numa destas fracturas naturais. As lascas resultantes desta debitagem apresentam um formato mais curto e mais largo, embora exista alguma variabilidade nos suportes resultantes.</w:t>
      </w:r>
    </w:p>
    <w:p w:rsidR="009C68B2" w:rsidRPr="00DC1F84" w:rsidRDefault="00EA3774" w:rsidP="009C68B2">
      <w:pPr>
        <w:spacing w:line="360" w:lineRule="auto"/>
        <w:jc w:val="both"/>
      </w:pPr>
      <w:r>
        <w:rPr>
          <w:lang w:eastAsia="en-US"/>
        </w:rPr>
        <w:pict>
          <v:shape id="_x0000_s1534" type="#_x0000_t202" style="position:absolute;left:0;text-align:left;margin-left:248.6pt;margin-top:232.7pt;width:169.6pt;height:46.3pt;z-index:251814912;mso-width-percent:400;mso-height-percent:200;mso-width-percent:400;mso-height-percent:200;mso-width-relative:margin;mso-height-relative:margin" stroked="f">
            <v:textbox style="mso-next-textbox:#_x0000_s1534;mso-fit-shape-to-text:t">
              <w:txbxContent>
                <w:p w:rsidR="00B34B0F" w:rsidRPr="00DF6497" w:rsidRDefault="00B34B0F" w:rsidP="009C68B2">
                  <w:pPr>
                    <w:jc w:val="both"/>
                    <w:rPr>
                      <w:sz w:val="22"/>
                      <w:szCs w:val="22"/>
                    </w:rPr>
                  </w:pPr>
                  <w:r w:rsidRPr="00DF6497">
                    <w:rPr>
                      <w:sz w:val="22"/>
                      <w:szCs w:val="22"/>
                    </w:rPr>
                    <w:t>Figura 6.</w:t>
                  </w:r>
                  <w:r>
                    <w:rPr>
                      <w:sz w:val="22"/>
                      <w:szCs w:val="22"/>
                    </w:rPr>
                    <w:t>3.9</w:t>
                  </w:r>
                  <w:r w:rsidRPr="00DF6497">
                    <w:rPr>
                      <w:sz w:val="22"/>
                      <w:szCs w:val="22"/>
                    </w:rPr>
                    <w:t>- Esquema diacrític</w:t>
                  </w:r>
                  <w:r>
                    <w:rPr>
                      <w:sz w:val="22"/>
                      <w:szCs w:val="22"/>
                    </w:rPr>
                    <w:t>o</w:t>
                  </w:r>
                  <w:r w:rsidRPr="00DF6497">
                    <w:rPr>
                      <w:sz w:val="22"/>
                      <w:szCs w:val="22"/>
                    </w:rPr>
                    <w:t xml:space="preserve"> </w:t>
                  </w:r>
                  <w:r>
                    <w:rPr>
                      <w:sz w:val="22"/>
                      <w:szCs w:val="22"/>
                    </w:rPr>
                    <w:t>do núcleo M41 07</w:t>
                  </w:r>
                </w:p>
                <w:p w:rsidR="00B34B0F" w:rsidRDefault="00B34B0F" w:rsidP="009C68B2"/>
              </w:txbxContent>
            </v:textbox>
          </v:shape>
        </w:pict>
      </w:r>
      <w:r w:rsidR="009C68B2">
        <w:rPr>
          <w:noProof/>
        </w:rPr>
        <w:drawing>
          <wp:inline distT="0" distB="0" distL="0" distR="0">
            <wp:extent cx="3590925" cy="4143375"/>
            <wp:effectExtent l="19050" t="0" r="9525" b="0"/>
            <wp:docPr id="444" name="Imagem 47" descr="M4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41%207"/>
                    <pic:cNvPicPr>
                      <a:picLocks noChangeAspect="1" noChangeArrowheads="1"/>
                    </pic:cNvPicPr>
                  </pic:nvPicPr>
                  <pic:blipFill>
                    <a:blip r:embed="rId218" cstate="print"/>
                    <a:srcRect/>
                    <a:stretch>
                      <a:fillRect/>
                    </a:stretch>
                  </pic:blipFill>
                  <pic:spPr bwMode="auto">
                    <a:xfrm>
                      <a:off x="0" y="0"/>
                      <a:ext cx="3590925" cy="4143375"/>
                    </a:xfrm>
                    <a:prstGeom prst="rect">
                      <a:avLst/>
                    </a:prstGeom>
                    <a:noFill/>
                    <a:ln w="9525">
                      <a:noFill/>
                      <a:miter lim="800000"/>
                      <a:headEnd/>
                      <a:tailEnd/>
                    </a:ln>
                  </pic:spPr>
                </pic:pic>
              </a:graphicData>
            </a:graphic>
          </wp:inline>
        </w:drawing>
      </w:r>
    </w:p>
    <w:p w:rsidR="009C68B2" w:rsidRPr="00DC1F84" w:rsidRDefault="009C68B2" w:rsidP="009C68B2">
      <w:pPr>
        <w:spacing w:line="360" w:lineRule="auto"/>
        <w:jc w:val="both"/>
      </w:pPr>
    </w:p>
    <w:p w:rsidR="009C68B2" w:rsidRPr="00DC1F84" w:rsidRDefault="009C68B2" w:rsidP="009C68B2">
      <w:pPr>
        <w:spacing w:line="360" w:lineRule="auto"/>
        <w:ind w:firstLine="708"/>
        <w:jc w:val="both"/>
      </w:pPr>
      <w:r w:rsidRPr="00DC1F84">
        <w:lastRenderedPageBreak/>
        <w:t xml:space="preserve">O núcleo M41 10 (Figura 6.3.10) é um núcleo </w:t>
      </w:r>
      <w:r w:rsidRPr="00197725">
        <w:rPr>
          <w:i/>
        </w:rPr>
        <w:t>Levallois</w:t>
      </w:r>
      <w:r w:rsidRPr="00DC1F84">
        <w:t xml:space="preserve"> atípico. Mais uma vez foi utilizado o quartzito da zona, na forma de uma placa. Trata-se de um núcleo </w:t>
      </w:r>
      <w:r w:rsidRPr="00197725">
        <w:rPr>
          <w:i/>
        </w:rPr>
        <w:t>Levallois</w:t>
      </w:r>
      <w:r w:rsidRPr="00DC1F84">
        <w:t xml:space="preserve"> atípico porque não apresenta uma preparação do núcleo seguindo os “</w:t>
      </w:r>
      <w:r w:rsidRPr="00DC1F84">
        <w:rPr>
          <w:i/>
        </w:rPr>
        <w:t>cânones clássicos</w:t>
      </w:r>
      <w:r w:rsidRPr="00DC1F84">
        <w:t xml:space="preserve">”. A escolha da base utilizada teve em conta o formato da placa de quartzito que já apresentava lados oblíquos. Desse modo, o talhador não realizou qualquer preparação nas faces laterais do núcleo, existindo apenas uma preparação da face superior e da face que serviria de talão para a remoção da lasca </w:t>
      </w:r>
      <w:r w:rsidRPr="00197725">
        <w:rPr>
          <w:i/>
        </w:rPr>
        <w:t>Levallois</w:t>
      </w:r>
      <w:r w:rsidRPr="00DC1F84">
        <w:t xml:space="preserve"> pretendida. Essa preparação tinha como objectivo a produção de uma lasca Levallois que</w:t>
      </w:r>
      <w:r>
        <w:t>, aliá</w:t>
      </w:r>
      <w:r w:rsidRPr="00DC1F84">
        <w:t>s</w:t>
      </w:r>
      <w:r>
        <w:t>,</w:t>
      </w:r>
      <w:r w:rsidRPr="00DC1F84">
        <w:t xml:space="preserve"> ainda está presente no núcleo (Figura 6.3.10, levantamento 5, sentido Norte /Sul). Realmente a preparação da face superior do núcleo não conseguiu dar relevo à </w:t>
      </w:r>
      <w:r>
        <w:t>sua zona central</w:t>
      </w:r>
      <w:r w:rsidRPr="00DC1F84">
        <w:t>, o que associado à falha na aplicação da força de percussão</w:t>
      </w:r>
      <w:proofErr w:type="gramStart"/>
      <w:r w:rsidRPr="00DC1F84">
        <w:t>,</w:t>
      </w:r>
      <w:proofErr w:type="gramEnd"/>
      <w:r w:rsidRPr="00DC1F84">
        <w:t xml:space="preserve"> resultou na impossibilidade da remoção da lasca </w:t>
      </w:r>
      <w:r w:rsidRPr="00197725">
        <w:rPr>
          <w:i/>
        </w:rPr>
        <w:t>Levallois</w:t>
      </w:r>
      <w:r w:rsidRPr="00DC1F84">
        <w:t xml:space="preserve"> final. Devido a este acidente, o núcleo foi abandonado, chegando até hoje com esta lasca </w:t>
      </w:r>
      <w:r>
        <w:t>predefinida</w:t>
      </w:r>
      <w:r w:rsidRPr="00DC1F84">
        <w:t xml:space="preserve">. As lascas resultantes deste núcleo tem vários formatos mas correspondem a passos intermediários na cadeia operatória que tem como objectivo a obtenção de uma lasca </w:t>
      </w:r>
      <w:r w:rsidRPr="00F97A58">
        <w:rPr>
          <w:i/>
        </w:rPr>
        <w:t>Levallois</w:t>
      </w:r>
      <w:r w:rsidRPr="00DC1F84">
        <w:t xml:space="preserve"> típica. </w:t>
      </w:r>
    </w:p>
    <w:p w:rsidR="009C68B2" w:rsidRPr="00DC1F84" w:rsidRDefault="00EA3774" w:rsidP="009C68B2">
      <w:pPr>
        <w:spacing w:line="360" w:lineRule="auto"/>
        <w:jc w:val="both"/>
      </w:pPr>
      <w:r>
        <w:rPr>
          <w:lang w:eastAsia="en-US"/>
        </w:rPr>
        <w:pict>
          <v:shape id="_x0000_s1535" type="#_x0000_t202" style="position:absolute;left:0;text-align:left;margin-left:236.6pt;margin-top:257.6pt;width:169.6pt;height:46.3pt;z-index:251815936;mso-width-percent:400;mso-height-percent:200;mso-width-percent:400;mso-height-percent:200;mso-width-relative:margin;mso-height-relative:margin" stroked="f">
            <v:textbox style="mso-next-textbox:#_x0000_s1535;mso-fit-shape-to-text:t">
              <w:txbxContent>
                <w:p w:rsidR="00B34B0F" w:rsidRPr="00DF6497" w:rsidRDefault="00B34B0F" w:rsidP="009C68B2">
                  <w:pPr>
                    <w:jc w:val="both"/>
                    <w:rPr>
                      <w:sz w:val="22"/>
                      <w:szCs w:val="22"/>
                    </w:rPr>
                  </w:pPr>
                  <w:r w:rsidRPr="00DF6497">
                    <w:rPr>
                      <w:sz w:val="22"/>
                      <w:szCs w:val="22"/>
                    </w:rPr>
                    <w:t>Figura 6.</w:t>
                  </w:r>
                  <w:r>
                    <w:rPr>
                      <w:sz w:val="22"/>
                      <w:szCs w:val="22"/>
                    </w:rPr>
                    <w:t>3.10- Esquema diacrítico do núcleo M41 10</w:t>
                  </w:r>
                </w:p>
                <w:p w:rsidR="00B34B0F" w:rsidRDefault="00B34B0F" w:rsidP="009C68B2"/>
              </w:txbxContent>
            </v:textbox>
          </v:shape>
        </w:pict>
      </w:r>
      <w:r w:rsidR="009C68B2">
        <w:rPr>
          <w:noProof/>
        </w:rPr>
        <w:drawing>
          <wp:inline distT="0" distB="0" distL="0" distR="0">
            <wp:extent cx="3333750" cy="4581525"/>
            <wp:effectExtent l="19050" t="0" r="0" b="0"/>
            <wp:docPr id="445" name="Imagem 48" descr="M41%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41%2010"/>
                    <pic:cNvPicPr>
                      <a:picLocks noChangeAspect="1" noChangeArrowheads="1"/>
                    </pic:cNvPicPr>
                  </pic:nvPicPr>
                  <pic:blipFill>
                    <a:blip r:embed="rId219" cstate="print"/>
                    <a:srcRect/>
                    <a:stretch>
                      <a:fillRect/>
                    </a:stretch>
                  </pic:blipFill>
                  <pic:spPr bwMode="auto">
                    <a:xfrm>
                      <a:off x="0" y="0"/>
                      <a:ext cx="3333750" cy="4581525"/>
                    </a:xfrm>
                    <a:prstGeom prst="rect">
                      <a:avLst/>
                    </a:prstGeom>
                    <a:noFill/>
                    <a:ln w="9525">
                      <a:noFill/>
                      <a:miter lim="800000"/>
                      <a:headEnd/>
                      <a:tailEnd/>
                    </a:ln>
                  </pic:spPr>
                </pic:pic>
              </a:graphicData>
            </a:graphic>
          </wp:inline>
        </w:drawing>
      </w:r>
    </w:p>
    <w:p w:rsidR="009C68B2" w:rsidRPr="00DC1F84" w:rsidRDefault="009C68B2" w:rsidP="009C68B2">
      <w:pPr>
        <w:spacing w:line="360" w:lineRule="auto"/>
        <w:ind w:firstLine="708"/>
        <w:jc w:val="both"/>
      </w:pPr>
      <w:r w:rsidRPr="00DC1F84">
        <w:lastRenderedPageBreak/>
        <w:t>O núcleo cujo esquema diacrítico se apresenta de seguida corresponde a um núcleo sobre lasca para obtenção de pontas Levallois. A matéria-prima utilizada corresponde ao quartzito autóctone</w:t>
      </w:r>
      <w:r>
        <w:t>,</w:t>
      </w:r>
      <w:r w:rsidRPr="00DC1F84">
        <w:t xml:space="preserve"> de grão fino. Recorrendo, como base, a uma lasca espessa com uma crista dorsal bem centrada (Figura 6.3.11) iniciou-se uma preparação minuciosa do talão. Para isso realizaram</w:t>
      </w:r>
      <w:r>
        <w:t>-se</w:t>
      </w:r>
      <w:r w:rsidRPr="00DC1F84">
        <w:t xml:space="preserve"> três levantamentos (n.º 3,4 e 5, desenho inferior). Por alguma razão este processo correu mal e o que devia resultar numa ponta </w:t>
      </w:r>
      <w:r w:rsidRPr="00F97A58">
        <w:rPr>
          <w:i/>
        </w:rPr>
        <w:t>Levallois</w:t>
      </w:r>
      <w:r w:rsidRPr="00DC1F84">
        <w:t xml:space="preserve"> resultou numa ponta pseudo-</w:t>
      </w:r>
      <w:r w:rsidRPr="00F97A58">
        <w:rPr>
          <w:i/>
        </w:rPr>
        <w:t>Levallois</w:t>
      </w:r>
      <w:r w:rsidRPr="00DC1F84">
        <w:t xml:space="preserve"> uma vez que o eixo </w:t>
      </w:r>
      <w:r>
        <w:t>de percussão está</w:t>
      </w:r>
      <w:r w:rsidRPr="00DC1F84">
        <w:t xml:space="preserve"> desfasado do eixo da lasca que lhe deu origem.   </w:t>
      </w:r>
    </w:p>
    <w:p w:rsidR="009C68B2" w:rsidRPr="00DC1F84" w:rsidRDefault="00EA3774" w:rsidP="009C68B2">
      <w:pPr>
        <w:spacing w:line="360" w:lineRule="auto"/>
        <w:jc w:val="both"/>
      </w:pPr>
      <w:r>
        <w:rPr>
          <w:lang w:eastAsia="en-US"/>
        </w:rPr>
        <w:pict>
          <v:shape id="_x0000_s1536" type="#_x0000_t202" style="position:absolute;left:0;text-align:left;margin-left:171.7pt;margin-top:176.05pt;width:170.1pt;height:46.3pt;z-index:251816960;mso-width-percent:400;mso-height-percent:200;mso-width-percent:400;mso-height-percent:200;mso-width-relative:margin;mso-height-relative:margin" stroked="f">
            <v:textbox style="mso-next-textbox:#_x0000_s1536;mso-fit-shape-to-text:t">
              <w:txbxContent>
                <w:p w:rsidR="00B34B0F" w:rsidRPr="00DF6497" w:rsidRDefault="00B34B0F" w:rsidP="009C68B2">
                  <w:pPr>
                    <w:jc w:val="both"/>
                    <w:rPr>
                      <w:sz w:val="22"/>
                      <w:szCs w:val="22"/>
                    </w:rPr>
                  </w:pPr>
                  <w:r w:rsidRPr="00DF6497">
                    <w:rPr>
                      <w:sz w:val="22"/>
                      <w:szCs w:val="22"/>
                    </w:rPr>
                    <w:t>Figura 6.</w:t>
                  </w:r>
                  <w:r>
                    <w:rPr>
                      <w:sz w:val="22"/>
                      <w:szCs w:val="22"/>
                    </w:rPr>
                    <w:t>3.11</w:t>
                  </w:r>
                  <w:r w:rsidRPr="00DF6497">
                    <w:rPr>
                      <w:sz w:val="22"/>
                      <w:szCs w:val="22"/>
                    </w:rPr>
                    <w:t>- Esquema diacrític</w:t>
                  </w:r>
                  <w:r>
                    <w:rPr>
                      <w:sz w:val="22"/>
                      <w:szCs w:val="22"/>
                    </w:rPr>
                    <w:t>o</w:t>
                  </w:r>
                  <w:r w:rsidRPr="00DF6497">
                    <w:rPr>
                      <w:sz w:val="22"/>
                      <w:szCs w:val="22"/>
                    </w:rPr>
                    <w:t xml:space="preserve"> </w:t>
                  </w:r>
                  <w:r>
                    <w:rPr>
                      <w:sz w:val="22"/>
                      <w:szCs w:val="22"/>
                    </w:rPr>
                    <w:t>do núcleo N37 21</w:t>
                  </w:r>
                </w:p>
                <w:p w:rsidR="00B34B0F" w:rsidRDefault="00B34B0F" w:rsidP="009C68B2"/>
              </w:txbxContent>
            </v:textbox>
          </v:shape>
        </w:pict>
      </w:r>
      <w:r w:rsidR="009C68B2">
        <w:rPr>
          <w:noProof/>
        </w:rPr>
        <w:drawing>
          <wp:inline distT="0" distB="0" distL="0" distR="0">
            <wp:extent cx="1771650" cy="2886075"/>
            <wp:effectExtent l="19050" t="0" r="0" b="0"/>
            <wp:docPr id="446" name="Imagem 49" descr="N37%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37%2031"/>
                    <pic:cNvPicPr>
                      <a:picLocks noChangeAspect="1" noChangeArrowheads="1"/>
                    </pic:cNvPicPr>
                  </pic:nvPicPr>
                  <pic:blipFill>
                    <a:blip r:embed="rId220" cstate="print"/>
                    <a:srcRect/>
                    <a:stretch>
                      <a:fillRect/>
                    </a:stretch>
                  </pic:blipFill>
                  <pic:spPr bwMode="auto">
                    <a:xfrm>
                      <a:off x="0" y="0"/>
                      <a:ext cx="1771650" cy="2886075"/>
                    </a:xfrm>
                    <a:prstGeom prst="rect">
                      <a:avLst/>
                    </a:prstGeom>
                    <a:noFill/>
                    <a:ln w="9525">
                      <a:noFill/>
                      <a:miter lim="800000"/>
                      <a:headEnd/>
                      <a:tailEnd/>
                    </a:ln>
                  </pic:spPr>
                </pic:pic>
              </a:graphicData>
            </a:graphic>
          </wp:inline>
        </w:drawing>
      </w:r>
    </w:p>
    <w:p w:rsidR="009C68B2" w:rsidRDefault="009C68B2" w:rsidP="009C68B2">
      <w:pPr>
        <w:spacing w:line="360" w:lineRule="auto"/>
        <w:ind w:firstLine="708"/>
        <w:jc w:val="both"/>
      </w:pPr>
    </w:p>
    <w:p w:rsidR="009C68B2" w:rsidRPr="00DC1F84" w:rsidRDefault="009C68B2" w:rsidP="009C68B2">
      <w:pPr>
        <w:spacing w:line="360" w:lineRule="auto"/>
        <w:ind w:firstLine="708"/>
        <w:jc w:val="both"/>
      </w:pPr>
      <w:r w:rsidRPr="00DC1F84">
        <w:t>O último núcleo analisado corresponde a outro núcleo Levallois. Desta vez a matéria-prima não é autóctone. A base para este núcleo foi um seixo rolado de quartzito castanho. Este núcleo apresenta-se numa fase de debitagem muito avançada, encontrando-se esgotado</w:t>
      </w:r>
      <w:r>
        <w:t xml:space="preserve"> </w:t>
      </w:r>
      <w:r w:rsidRPr="00DC1F84">
        <w:t>(Figura 6.3.12).</w:t>
      </w:r>
    </w:p>
    <w:p w:rsidR="009C68B2" w:rsidRPr="00DC1F84" w:rsidRDefault="009C68B2" w:rsidP="009C68B2">
      <w:pPr>
        <w:spacing w:line="360" w:lineRule="auto"/>
        <w:jc w:val="both"/>
      </w:pPr>
      <w:r>
        <w:rPr>
          <w:noProof/>
        </w:rPr>
        <w:drawing>
          <wp:inline distT="0" distB="0" distL="0" distR="0">
            <wp:extent cx="4933950" cy="2105025"/>
            <wp:effectExtent l="19050" t="0" r="0" b="0"/>
            <wp:docPr id="447" name="Imagem 50" descr="O40%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40%2041"/>
                    <pic:cNvPicPr>
                      <a:picLocks noChangeAspect="1" noChangeArrowheads="1"/>
                    </pic:cNvPicPr>
                  </pic:nvPicPr>
                  <pic:blipFill>
                    <a:blip r:embed="rId221" cstate="print"/>
                    <a:srcRect/>
                    <a:stretch>
                      <a:fillRect/>
                    </a:stretch>
                  </pic:blipFill>
                  <pic:spPr bwMode="auto">
                    <a:xfrm>
                      <a:off x="0" y="0"/>
                      <a:ext cx="4933950" cy="210502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rPr>
          <w:color w:val="FF0000"/>
        </w:rPr>
      </w:pPr>
      <w:r>
        <w:rPr>
          <w:color w:val="FF0000"/>
          <w:lang w:eastAsia="en-US"/>
        </w:rPr>
        <w:pict>
          <v:shape id="_x0000_s1537" type="#_x0000_t202" style="position:absolute;left:0;text-align:left;margin-left:0;margin-top:0;width:379.5pt;height:33.65pt;z-index:251817984;mso-height-percent:200;mso-position-horizontal:center;mso-height-percent:200;mso-width-relative:margin;mso-height-relative:margin" stroked="f">
            <v:textbox style="mso-next-textbox:#_x0000_s1537;mso-fit-shape-to-text:t">
              <w:txbxContent>
                <w:p w:rsidR="00B34B0F" w:rsidRPr="00DF6497" w:rsidRDefault="00B34B0F" w:rsidP="009C68B2">
                  <w:pPr>
                    <w:jc w:val="both"/>
                    <w:rPr>
                      <w:sz w:val="22"/>
                      <w:szCs w:val="22"/>
                    </w:rPr>
                  </w:pPr>
                  <w:r w:rsidRPr="00DF6497">
                    <w:rPr>
                      <w:sz w:val="22"/>
                      <w:szCs w:val="22"/>
                    </w:rPr>
                    <w:t>Figura 6.</w:t>
                  </w:r>
                  <w:r>
                    <w:rPr>
                      <w:sz w:val="22"/>
                      <w:szCs w:val="22"/>
                    </w:rPr>
                    <w:t>3.12</w:t>
                  </w:r>
                  <w:r w:rsidRPr="00DF6497">
                    <w:rPr>
                      <w:sz w:val="22"/>
                      <w:szCs w:val="22"/>
                    </w:rPr>
                    <w:t>- Esquema diacrític</w:t>
                  </w:r>
                  <w:r>
                    <w:rPr>
                      <w:sz w:val="22"/>
                      <w:szCs w:val="22"/>
                    </w:rPr>
                    <w:t>o</w:t>
                  </w:r>
                  <w:r w:rsidRPr="00DF6497">
                    <w:rPr>
                      <w:sz w:val="22"/>
                      <w:szCs w:val="22"/>
                    </w:rPr>
                    <w:t xml:space="preserve"> </w:t>
                  </w:r>
                  <w:r>
                    <w:rPr>
                      <w:sz w:val="22"/>
                      <w:szCs w:val="22"/>
                    </w:rPr>
                    <w:t>do núcleo O40 41</w:t>
                  </w:r>
                </w:p>
                <w:p w:rsidR="00B34B0F" w:rsidRDefault="00B34B0F" w:rsidP="009C68B2"/>
              </w:txbxContent>
            </v:textbox>
          </v:shape>
        </w:pict>
      </w:r>
    </w:p>
    <w:p w:rsidR="009C68B2" w:rsidRPr="00DC1F84" w:rsidRDefault="009C68B2" w:rsidP="009C68B2">
      <w:pPr>
        <w:spacing w:line="360" w:lineRule="auto"/>
        <w:ind w:firstLine="708"/>
        <w:jc w:val="both"/>
      </w:pPr>
      <w:r w:rsidRPr="00DC1F84">
        <w:lastRenderedPageBreak/>
        <w:t>A cadeia operatória iniciou-se com a remoção do córtex do seixo através de sucessivos levantamentos centrípetos. Posteriormente foi removida uma lasca na superfície superior do núcleo abarcando toda esta superfície.</w:t>
      </w:r>
    </w:p>
    <w:p w:rsidR="009C68B2" w:rsidRDefault="009C68B2" w:rsidP="009C68B2">
      <w:pPr>
        <w:spacing w:line="360" w:lineRule="auto"/>
        <w:jc w:val="both"/>
        <w:rPr>
          <w:color w:val="FF0000"/>
        </w:rPr>
      </w:pP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pPr>
      <w:r w:rsidRPr="00DC1F84">
        <w:t>6.3.</w:t>
      </w:r>
      <w:r>
        <w:t>4.</w:t>
      </w:r>
      <w:r w:rsidRPr="00DC1F84">
        <w:t>2.4.3.Remontagens</w:t>
      </w:r>
    </w:p>
    <w:p w:rsidR="009C68B2" w:rsidRPr="00DC1F84" w:rsidRDefault="009C68B2" w:rsidP="009C68B2">
      <w:pPr>
        <w:spacing w:line="360" w:lineRule="auto"/>
        <w:jc w:val="both"/>
        <w:rPr>
          <w:color w:val="FF0000"/>
        </w:rPr>
      </w:pPr>
    </w:p>
    <w:p w:rsidR="009C68B2" w:rsidRDefault="009C68B2" w:rsidP="009C68B2">
      <w:pPr>
        <w:spacing w:line="360" w:lineRule="auto"/>
        <w:ind w:firstLine="708"/>
        <w:jc w:val="both"/>
      </w:pPr>
      <w:r w:rsidRPr="00DC1F84">
        <w:t xml:space="preserve">A análise detalhada desta colecção permitiu a identificação de uma remontagem e uma junção (entre dois fragmentos </w:t>
      </w:r>
      <w:r w:rsidRPr="00DC1F84">
        <w:rPr>
          <w:i/>
        </w:rPr>
        <w:t>Siret</w:t>
      </w:r>
      <w:r w:rsidRPr="00DC1F84">
        <w:t xml:space="preserve"> de uma mesma lasca) e de trê</w:t>
      </w:r>
      <w:r>
        <w:t>s lascas alongadas que, devido à</w:t>
      </w:r>
      <w:r w:rsidRPr="00DC1F84">
        <w:t>s características cromáticas da matéria-prima, parecem fazer parte da mesma sequência de talhe (</w:t>
      </w:r>
      <w:r w:rsidRPr="00BC0DA0">
        <w:rPr>
          <w:sz w:val="22"/>
          <w:szCs w:val="22"/>
        </w:rPr>
        <w:t>Figura 6.3.13</w:t>
      </w:r>
      <w:r>
        <w:rPr>
          <w:b/>
          <w:sz w:val="22"/>
          <w:szCs w:val="22"/>
        </w:rPr>
        <w:t xml:space="preserve"> </w:t>
      </w:r>
      <w:r w:rsidRPr="00110925">
        <w:rPr>
          <w:sz w:val="22"/>
          <w:szCs w:val="22"/>
        </w:rPr>
        <w:t>e</w:t>
      </w:r>
      <w:r>
        <w:rPr>
          <w:b/>
          <w:sz w:val="22"/>
          <w:szCs w:val="22"/>
        </w:rPr>
        <w:t xml:space="preserve"> </w:t>
      </w:r>
      <w:r w:rsidRPr="00BC0DA0">
        <w:rPr>
          <w:sz w:val="22"/>
          <w:szCs w:val="22"/>
        </w:rPr>
        <w:t>Figura</w:t>
      </w:r>
      <w:r w:rsidRPr="00DC1F84">
        <w:t xml:space="preserve">. 6.3.6, n.º 8, 9 e 10). </w:t>
      </w:r>
    </w:p>
    <w:p w:rsidR="009C68B2" w:rsidRDefault="00EA3774" w:rsidP="009C68B2">
      <w:pPr>
        <w:spacing w:line="360" w:lineRule="auto"/>
        <w:jc w:val="both"/>
      </w:pPr>
      <w:r w:rsidRPr="00EA3774">
        <w:rPr>
          <w:color w:val="FF0000"/>
          <w:lang w:eastAsia="en-US"/>
        </w:rPr>
        <w:pict>
          <v:shape id="_x0000_s1527" type="#_x0000_t202" style="position:absolute;left:0;text-align:left;margin-left:-4.15pt;margin-top:416.95pt;width:370.6pt;height:55.5pt;z-index:251807744;mso-width-relative:margin;mso-height-relative:margin" stroked="f">
            <v:textbox style="mso-next-textbox:#_x0000_s1527">
              <w:txbxContent>
                <w:p w:rsidR="00B34B0F" w:rsidRPr="00567C1E" w:rsidRDefault="00B34B0F" w:rsidP="009C68B2">
                  <w:pPr>
                    <w:jc w:val="both"/>
                    <w:rPr>
                      <w:b/>
                      <w:sz w:val="22"/>
                      <w:szCs w:val="22"/>
                    </w:rPr>
                  </w:pPr>
                  <w:r w:rsidRPr="00BC0DA0">
                    <w:rPr>
                      <w:sz w:val="22"/>
                      <w:szCs w:val="22"/>
                    </w:rPr>
                    <w:t>Figura 6.3.13</w:t>
                  </w:r>
                  <w:r w:rsidRPr="001160B5">
                    <w:rPr>
                      <w:b/>
                      <w:sz w:val="22"/>
                      <w:szCs w:val="22"/>
                    </w:rPr>
                    <w:t xml:space="preserve"> </w:t>
                  </w:r>
                  <w:r w:rsidRPr="00567C1E">
                    <w:rPr>
                      <w:b/>
                      <w:sz w:val="22"/>
                      <w:szCs w:val="22"/>
                    </w:rPr>
                    <w:t xml:space="preserve">- </w:t>
                  </w:r>
                  <w:r w:rsidRPr="006268D8">
                    <w:rPr>
                      <w:sz w:val="22"/>
                      <w:szCs w:val="22"/>
                    </w:rPr>
                    <w:t>Indústria</w:t>
                  </w:r>
                  <w:r>
                    <w:rPr>
                      <w:sz w:val="22"/>
                      <w:szCs w:val="22"/>
                    </w:rPr>
                    <w:t xml:space="preserve"> da sé</w:t>
                  </w:r>
                  <w:r w:rsidRPr="003B408B">
                    <w:rPr>
                      <w:sz w:val="22"/>
                      <w:szCs w:val="22"/>
                    </w:rPr>
                    <w:t>rie fresca da Tapada do Montinho: 1-</w:t>
                  </w:r>
                  <w:r>
                    <w:rPr>
                      <w:sz w:val="22"/>
                      <w:szCs w:val="22"/>
                    </w:rPr>
                    <w:t xml:space="preserve"> Junção conseguida sobre</w:t>
                  </w:r>
                  <w:r w:rsidRPr="003B408B">
                    <w:rPr>
                      <w:sz w:val="22"/>
                      <w:szCs w:val="22"/>
                    </w:rPr>
                    <w:t xml:space="preserve"> dois fragmentos de uma mesma lasca; 2- Remontagem de duas lascas de pequena dimensão em quartzito.</w:t>
                  </w:r>
                </w:p>
                <w:p w:rsidR="00B34B0F" w:rsidRPr="001160B5" w:rsidRDefault="00B34B0F" w:rsidP="009C68B2">
                  <w:pPr>
                    <w:rPr>
                      <w:b/>
                      <w:sz w:val="22"/>
                      <w:szCs w:val="22"/>
                    </w:rPr>
                  </w:pPr>
                </w:p>
                <w:p w:rsidR="00B34B0F" w:rsidRDefault="00B34B0F" w:rsidP="009C68B2"/>
              </w:txbxContent>
            </v:textbox>
          </v:shape>
        </w:pict>
      </w:r>
      <w:r w:rsidR="009C68B2">
        <w:rPr>
          <w:noProof/>
          <w:color w:val="FF0000"/>
        </w:rPr>
        <w:drawing>
          <wp:inline distT="0" distB="0" distL="0" distR="0">
            <wp:extent cx="4676775" cy="5343525"/>
            <wp:effectExtent l="19050" t="0" r="9525" b="0"/>
            <wp:docPr id="448" name="Imagem 51" descr="TP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PM 3"/>
                    <pic:cNvPicPr>
                      <a:picLocks noChangeAspect="1" noChangeArrowheads="1"/>
                    </pic:cNvPicPr>
                  </pic:nvPicPr>
                  <pic:blipFill>
                    <a:blip r:embed="rId222" cstate="print"/>
                    <a:srcRect/>
                    <a:stretch>
                      <a:fillRect/>
                    </a:stretch>
                  </pic:blipFill>
                  <pic:spPr bwMode="auto">
                    <a:xfrm>
                      <a:off x="0" y="0"/>
                      <a:ext cx="4676775" cy="5343525"/>
                    </a:xfrm>
                    <a:prstGeom prst="rect">
                      <a:avLst/>
                    </a:prstGeom>
                    <a:noFill/>
                    <a:ln w="9525">
                      <a:noFill/>
                      <a:miter lim="800000"/>
                      <a:headEnd/>
                      <a:tailEnd/>
                    </a:ln>
                  </pic:spPr>
                </pic:pic>
              </a:graphicData>
            </a:graphic>
          </wp:inline>
        </w:drawing>
      </w:r>
    </w:p>
    <w:p w:rsidR="009C68B2" w:rsidRDefault="009C68B2" w:rsidP="009C68B2">
      <w:pPr>
        <w:spacing w:line="360" w:lineRule="auto"/>
        <w:jc w:val="both"/>
      </w:pPr>
    </w:p>
    <w:p w:rsidR="009C68B2" w:rsidRDefault="009C68B2" w:rsidP="009C68B2">
      <w:pPr>
        <w:spacing w:line="360" w:lineRule="auto"/>
        <w:ind w:firstLine="708"/>
        <w:jc w:val="both"/>
      </w:pPr>
    </w:p>
    <w:p w:rsidR="009C68B2" w:rsidRDefault="009C68B2" w:rsidP="009C68B2">
      <w:pPr>
        <w:spacing w:line="360" w:lineRule="auto"/>
        <w:ind w:firstLine="708"/>
        <w:jc w:val="both"/>
      </w:pPr>
    </w:p>
    <w:p w:rsidR="009C68B2" w:rsidRPr="00DC1F84" w:rsidRDefault="009C68B2" w:rsidP="009C68B2">
      <w:pPr>
        <w:spacing w:line="360" w:lineRule="auto"/>
        <w:ind w:firstLine="708"/>
        <w:jc w:val="both"/>
        <w:rPr>
          <w:color w:val="FF0000"/>
        </w:rPr>
      </w:pPr>
      <w:r w:rsidRPr="00DC1F84">
        <w:t>Neste último caso e na remontagem (</w:t>
      </w:r>
      <w:r w:rsidRPr="00BC0DA0">
        <w:rPr>
          <w:sz w:val="22"/>
          <w:szCs w:val="22"/>
        </w:rPr>
        <w:t>Figura</w:t>
      </w:r>
      <w:r w:rsidRPr="00DC1F84">
        <w:t xml:space="preserve"> 6.3.13, n.º 2), a origem das lascas situa-se no mesmo quadrado (M40, lascas 4, 40 e 59; L40, lascas 75 e 144)</w:t>
      </w:r>
      <w:r>
        <w:t xml:space="preserve"> (</w:t>
      </w:r>
      <w:r w:rsidRPr="00BC0DA0">
        <w:rPr>
          <w:sz w:val="22"/>
          <w:szCs w:val="22"/>
        </w:rPr>
        <w:t>Figura 6.3.14</w:t>
      </w:r>
      <w:r>
        <w:rPr>
          <w:sz w:val="22"/>
          <w:szCs w:val="22"/>
        </w:rPr>
        <w:t>)</w:t>
      </w:r>
      <w:r w:rsidRPr="00DC1F84">
        <w:t>. A junção foi conseguida com dois fragmentos da mesma lasca (</w:t>
      </w:r>
      <w:r w:rsidRPr="00BC0DA0">
        <w:rPr>
          <w:sz w:val="22"/>
          <w:szCs w:val="22"/>
        </w:rPr>
        <w:t>Figura</w:t>
      </w:r>
      <w:r w:rsidRPr="00DC1F84">
        <w:t>. 6.3.13, n.º 1.) que foram encontrad</w:t>
      </w:r>
      <w:r>
        <w:t>o</w:t>
      </w:r>
      <w:r w:rsidRPr="00DC1F84">
        <w:t xml:space="preserve">s em quadrados afastados cinco metros entre si (quadrados N37 e M41). Neste último caso, um dos fragmentos apresentava vestígios de uso facilmente identificáveis a olho nu. Não foram </w:t>
      </w:r>
      <w:r>
        <w:t xml:space="preserve">conseguidas </w:t>
      </w:r>
      <w:r w:rsidRPr="00DC1F84">
        <w:t>remontagens na indústria patinada.</w: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center"/>
        <w:rPr>
          <w:color w:val="FF0000"/>
        </w:rPr>
      </w:pP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pPr>
    </w:p>
    <w:p w:rsidR="009C68B2" w:rsidRPr="00DC1F84" w:rsidRDefault="009C68B2" w:rsidP="009C68B2">
      <w:pPr>
        <w:spacing w:line="360" w:lineRule="auto"/>
        <w:jc w:val="both"/>
        <w:rPr>
          <w:color w:val="FF0000"/>
        </w:rPr>
      </w:pPr>
      <w:r>
        <w:rPr>
          <w:noProof/>
          <w:color w:val="FF0000"/>
        </w:rPr>
        <w:drawing>
          <wp:inline distT="0" distB="0" distL="0" distR="0">
            <wp:extent cx="5400675" cy="4733925"/>
            <wp:effectExtent l="19050" t="0" r="9525" b="0"/>
            <wp:docPr id="449" name="Imagem 52" descr="remontag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montagens"/>
                    <pic:cNvPicPr>
                      <a:picLocks noChangeAspect="1" noChangeArrowheads="1"/>
                    </pic:cNvPicPr>
                  </pic:nvPicPr>
                  <pic:blipFill>
                    <a:blip r:embed="rId223" cstate="print"/>
                    <a:srcRect/>
                    <a:stretch>
                      <a:fillRect/>
                    </a:stretch>
                  </pic:blipFill>
                  <pic:spPr bwMode="auto">
                    <a:xfrm>
                      <a:off x="0" y="0"/>
                      <a:ext cx="5400675" cy="4733925"/>
                    </a:xfrm>
                    <a:prstGeom prst="rect">
                      <a:avLst/>
                    </a:prstGeom>
                    <a:noFill/>
                    <a:ln w="9525">
                      <a:noFill/>
                      <a:miter lim="800000"/>
                      <a:headEnd/>
                      <a:tailEnd/>
                    </a:ln>
                  </pic:spPr>
                </pic:pic>
              </a:graphicData>
            </a:graphic>
          </wp:inline>
        </w:drawing>
      </w:r>
    </w:p>
    <w:p w:rsidR="009C68B2" w:rsidRPr="00DC1F84" w:rsidRDefault="00EA3774" w:rsidP="009C68B2">
      <w:pPr>
        <w:spacing w:line="360" w:lineRule="auto"/>
        <w:jc w:val="both"/>
        <w:rPr>
          <w:color w:val="FF0000"/>
        </w:rPr>
      </w:pPr>
      <w:r>
        <w:rPr>
          <w:color w:val="FF0000"/>
          <w:lang w:eastAsia="en-US"/>
        </w:rPr>
        <w:pict>
          <v:shape id="_x0000_s1538" type="#_x0000_t202" style="position:absolute;left:0;text-align:left;margin-left:0;margin-top:0;width:385.05pt;height:47.55pt;z-index:251819008;mso-position-horizontal:center;mso-width-relative:margin;mso-height-relative:margin" stroked="f">
            <v:textbox style="mso-next-textbox:#_x0000_s1538">
              <w:txbxContent>
                <w:p w:rsidR="00B34B0F" w:rsidRPr="00567C1E" w:rsidRDefault="00B34B0F" w:rsidP="009C68B2">
                  <w:pPr>
                    <w:jc w:val="both"/>
                    <w:rPr>
                      <w:b/>
                      <w:sz w:val="22"/>
                      <w:szCs w:val="22"/>
                    </w:rPr>
                  </w:pPr>
                  <w:r w:rsidRPr="00BC0DA0">
                    <w:rPr>
                      <w:sz w:val="22"/>
                      <w:szCs w:val="22"/>
                    </w:rPr>
                    <w:t>Figura 6.3.14 - Indústria</w:t>
                  </w:r>
                  <w:r>
                    <w:rPr>
                      <w:sz w:val="22"/>
                      <w:szCs w:val="22"/>
                    </w:rPr>
                    <w:t xml:space="preserve"> da sé</w:t>
                  </w:r>
                  <w:r w:rsidRPr="0087372E">
                    <w:rPr>
                      <w:sz w:val="22"/>
                      <w:szCs w:val="22"/>
                    </w:rPr>
                    <w:t xml:space="preserve">rie fresca da Tapada do </w:t>
                  </w:r>
                  <w:r>
                    <w:rPr>
                      <w:sz w:val="22"/>
                      <w:szCs w:val="22"/>
                    </w:rPr>
                    <w:t>Montinho, localização das peças</w:t>
                  </w:r>
                  <w:r w:rsidRPr="0087372E">
                    <w:rPr>
                      <w:sz w:val="22"/>
                      <w:szCs w:val="22"/>
                    </w:rPr>
                    <w:t xml:space="preserve"> da remontagem (vermelho), da junção (azul) e das lascas provenient</w:t>
                  </w:r>
                  <w:r>
                    <w:rPr>
                      <w:sz w:val="22"/>
                      <w:szCs w:val="22"/>
                    </w:rPr>
                    <w:t>es da mesma sequência de redução</w:t>
                  </w:r>
                  <w:r w:rsidRPr="0087372E">
                    <w:rPr>
                      <w:sz w:val="22"/>
                      <w:szCs w:val="22"/>
                    </w:rPr>
                    <w:t xml:space="preserve"> (verde).</w:t>
                  </w:r>
                  <w:r>
                    <w:rPr>
                      <w:b/>
                      <w:sz w:val="22"/>
                      <w:szCs w:val="22"/>
                    </w:rPr>
                    <w:t xml:space="preserve"> </w:t>
                  </w:r>
                </w:p>
                <w:p w:rsidR="00B34B0F" w:rsidRDefault="00B34B0F" w:rsidP="009C68B2"/>
              </w:txbxContent>
            </v:textbox>
          </v:shape>
        </w:pict>
      </w:r>
    </w:p>
    <w:p w:rsidR="009C68B2" w:rsidRPr="00DC1F84" w:rsidRDefault="009C68B2" w:rsidP="009C68B2">
      <w:pPr>
        <w:spacing w:line="360" w:lineRule="auto"/>
        <w:jc w:val="both"/>
        <w:rPr>
          <w:color w:val="FF0000"/>
        </w:rPr>
      </w:pPr>
    </w:p>
    <w:p w:rsidR="009C68B2" w:rsidRPr="00DC1F84" w:rsidRDefault="009C68B2" w:rsidP="009C68B2">
      <w:pPr>
        <w:spacing w:line="360" w:lineRule="auto"/>
        <w:jc w:val="both"/>
        <w:rPr>
          <w:color w:val="FF0000"/>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8E1408" w:rsidRDefault="008E1408" w:rsidP="008E1408">
      <w:pPr>
        <w:spacing w:line="360" w:lineRule="auto"/>
        <w:jc w:val="both"/>
        <w:rPr>
          <w:u w:val="single"/>
        </w:rPr>
      </w:pPr>
    </w:p>
    <w:p w:rsidR="006D3B05" w:rsidRDefault="006D3B05" w:rsidP="008E1408">
      <w:pPr>
        <w:spacing w:line="360" w:lineRule="auto"/>
        <w:jc w:val="right"/>
        <w:rPr>
          <w:b/>
          <w:u w:val="single"/>
        </w:rPr>
      </w:pPr>
    </w:p>
    <w:p w:rsidR="006D3B05" w:rsidRDefault="006D3B05" w:rsidP="008E1408">
      <w:pPr>
        <w:spacing w:line="360" w:lineRule="auto"/>
        <w:jc w:val="right"/>
        <w:rPr>
          <w:b/>
          <w:u w:val="single"/>
        </w:rPr>
      </w:pPr>
    </w:p>
    <w:p w:rsidR="008E1408" w:rsidRPr="0095274D" w:rsidRDefault="008E1408" w:rsidP="008E1408">
      <w:pPr>
        <w:spacing w:line="360" w:lineRule="auto"/>
        <w:jc w:val="right"/>
        <w:rPr>
          <w:b/>
          <w:u w:val="single"/>
        </w:rPr>
      </w:pPr>
      <w:r w:rsidRPr="0095274D">
        <w:rPr>
          <w:b/>
          <w:u w:val="single"/>
        </w:rPr>
        <w:t>VII DISCUSSÃO</w:t>
      </w:r>
    </w:p>
    <w:p w:rsidR="008E1408" w:rsidRDefault="008E1408" w:rsidP="008E1408">
      <w:pPr>
        <w:pStyle w:val="Corpodetexto"/>
        <w:spacing w:line="360" w:lineRule="auto"/>
        <w:jc w:val="both"/>
      </w:pPr>
    </w:p>
    <w:p w:rsidR="008E1408" w:rsidRDefault="008E1408" w:rsidP="008E1408">
      <w:pPr>
        <w:pStyle w:val="Corpodetexto"/>
        <w:spacing w:line="360" w:lineRule="auto"/>
        <w:jc w:val="both"/>
      </w:pPr>
    </w:p>
    <w:p w:rsidR="008E1408" w:rsidRPr="00186FC2" w:rsidRDefault="008E1408" w:rsidP="008E1408">
      <w:pPr>
        <w:pStyle w:val="Corpodetexto"/>
        <w:spacing w:line="360" w:lineRule="auto"/>
        <w:jc w:val="both"/>
      </w:pPr>
    </w:p>
    <w:p w:rsidR="008E1408" w:rsidRDefault="008E1408" w:rsidP="008E1408">
      <w:pPr>
        <w:spacing w:line="360" w:lineRule="auto"/>
        <w:ind w:firstLine="708"/>
        <w:jc w:val="both"/>
      </w:pPr>
      <w:r>
        <w:lastRenderedPageBreak/>
        <w:t xml:space="preserve">Quando se estudam estações arqueológicas tão antigas é necessário ter consciência de todas as alterações geomorfológicas que podem ocorrer durante um período de tempo tão lato. Áreas que actualmente não têm condições para permitir a permanência temporária de grupos de caçadores-recolectores podem ter tido essas condições há 20, 50 ou 200 000 anos atrás. Espaços onde agora não correm rios podem ter sido irrigados, outrora, por cursos de água permanentes. Por outro lado, é necessário ter em mente as condições geológicas e geomorfológicas que permitiram aos caçadores-recolectores ocuparem satisfatoriamente determinadas regiões. </w:t>
      </w:r>
    </w:p>
    <w:p w:rsidR="008E1408" w:rsidRDefault="008E1408" w:rsidP="008E1408">
      <w:pPr>
        <w:spacing w:line="360" w:lineRule="auto"/>
        <w:ind w:firstLine="708"/>
        <w:jc w:val="both"/>
      </w:pPr>
      <w:r>
        <w:rPr>
          <w:bCs/>
        </w:rPr>
        <w:t>Dentro destas condicionantes geológicas temos, nesta área, a presença de</w:t>
      </w:r>
      <w:r>
        <w:t xml:space="preserve"> rochas calcárias que têm origem no Devónico e Câmbrico. A mancha Devónica inicia-se em Castelo de Vide, ocorre junto a S. Julião, Monte Sete e Vale de Aramenha. Os calcários do Devónico, que são os melhores representados no espaço da serra, mostram-se homogéneos e são dolomíticos. Nestes calcários foram detectadas cerca de uma dezena de cavidades com condições para terem sido ocupadas durante o período Paleolítico. A ocupação destas cavidades pode prender-se com a sua localização na orla Norte da Serra de S. Mamede. </w:t>
      </w:r>
    </w:p>
    <w:p w:rsidR="008E1408" w:rsidRDefault="008E1408" w:rsidP="008E1408">
      <w:pPr>
        <w:spacing w:line="360" w:lineRule="auto"/>
        <w:ind w:firstLine="708"/>
        <w:jc w:val="both"/>
      </w:pPr>
      <w:r>
        <w:t xml:space="preserve">Este acidente orográfico constitui um relevo com cerca de 40 km na sua maior dimensão (NW-SE) e de cerca de 10 km na direcção perpendicular. O Maciço de S. Mamede estende-se a partir de Castelo de Vide (726 m), por Marvão (867 m) e a Serra Fria (953 m) (ICN-PNSM). A Serra de São Mamede, com 1025 metros de altitude, é o mais importante dos relevos a Sul do Tejo, criando uma zona de biótipos diferenciados da peneplanície que a envolve, a que os caçadores recolectores do Paleolítico não deverão ter sido indiferentes. A linha de separação das bacias do Tejo e Guadiana passa pela serra. </w:t>
      </w:r>
    </w:p>
    <w:p w:rsidR="008E1408" w:rsidRDefault="008E1408" w:rsidP="008E1408">
      <w:pPr>
        <w:spacing w:line="360" w:lineRule="auto"/>
        <w:ind w:firstLine="708"/>
        <w:jc w:val="both"/>
        <w:rPr>
          <w:bCs/>
        </w:rPr>
      </w:pPr>
      <w:r>
        <w:t>Daqui divergem as linhas de cumeada que definem as bacias hidrográficas da Ribeira de Nisa, do Sever, do Caia e do Xévora. A rede hidrográfica a</w:t>
      </w:r>
      <w:r>
        <w:rPr>
          <w:bCs/>
        </w:rPr>
        <w:t>presenta aqui um grande desenvolvimento, caracterizando-se o nordeste pela abundância de rios, ribeiros e nascentes. Há mais funcionalidades nos rios para além do simples abastecimento de água. Há vias de comunicação que permitem melhores deslocações, são elementos “</w:t>
      </w:r>
      <w:r w:rsidRPr="00E60E0F">
        <w:rPr>
          <w:bCs/>
          <w:i/>
        </w:rPr>
        <w:t>vertebradores</w:t>
      </w:r>
      <w:r>
        <w:rPr>
          <w:bCs/>
        </w:rPr>
        <w:t xml:space="preserve">” fundamentais do território </w:t>
      </w:r>
      <w:r>
        <w:t xml:space="preserve">(Carrión </w:t>
      </w:r>
      <w:r w:rsidRPr="00E60E0F">
        <w:rPr>
          <w:i/>
        </w:rPr>
        <w:t>et al</w:t>
      </w:r>
      <w:r>
        <w:t xml:space="preserve"> </w:t>
      </w:r>
      <w:r w:rsidRPr="0061098E">
        <w:t>2008</w:t>
      </w:r>
      <w:r>
        <w:t>)</w:t>
      </w:r>
      <w:r>
        <w:rPr>
          <w:bCs/>
        </w:rPr>
        <w:t>. Há trilhos, caminhos, vaus imprescindíveis para a movimentação de populações nómadas e dos animais que lhes serviam de alimento.</w:t>
      </w:r>
    </w:p>
    <w:p w:rsidR="008E1408" w:rsidRPr="00A34244" w:rsidRDefault="008E1408" w:rsidP="008E1408">
      <w:pPr>
        <w:spacing w:line="360" w:lineRule="auto"/>
        <w:ind w:firstLine="708"/>
        <w:jc w:val="both"/>
      </w:pPr>
      <w:r>
        <w:t xml:space="preserve">A importância dos vaus, para transposição de barreiras fluviais, que permitiam a movimentação de populações de caçadores-recolectores, precisa de ser novamente </w:t>
      </w:r>
      <w:r>
        <w:lastRenderedPageBreak/>
        <w:t>realçada. A localização cartográfica dos sítios, referenciados na zona das Portas do Rodão</w:t>
      </w:r>
      <w:r w:rsidRPr="00A34244">
        <w:t xml:space="preserve"> </w:t>
      </w:r>
      <w:r>
        <w:t xml:space="preserve">como pertencentes ao Paleolítico médio, parece indicar essa possibilidade. Verifica-se que as estações desse período se distribuem segundo um eixo principal, de orientação norte/sul, que poderão indicar a existência de um vau utilizado pelos grupos humanos para atravessar o Tejo. Essa possibilidade é mais forte se se tiver em consideração que, em tempos históricos, existem testemunhos que era possível atravessar o Tejo nesta zona. As populações mais idosas da aldeia de Santana, com quem falei, recordam-se desses tempos, antes da construção da barragem do Fratel.  </w:t>
      </w:r>
    </w:p>
    <w:p w:rsidR="008E1408" w:rsidRDefault="008E1408" w:rsidP="008E1408">
      <w:pPr>
        <w:spacing w:line="360" w:lineRule="auto"/>
        <w:jc w:val="both"/>
      </w:pPr>
    </w:p>
    <w:p w:rsidR="008E1408" w:rsidRDefault="008E1408" w:rsidP="008E1408">
      <w:pPr>
        <w:spacing w:line="360" w:lineRule="auto"/>
        <w:jc w:val="both"/>
      </w:pPr>
      <w:r>
        <w:rPr>
          <w:noProof/>
        </w:rPr>
        <w:drawing>
          <wp:inline distT="0" distB="0" distL="0" distR="0">
            <wp:extent cx="5393055" cy="3556635"/>
            <wp:effectExtent l="19050" t="0" r="0" b="0"/>
            <wp:docPr id="45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srcRect/>
                    <a:stretch>
                      <a:fillRect/>
                    </a:stretch>
                  </pic:blipFill>
                  <pic:spPr bwMode="auto">
                    <a:xfrm>
                      <a:off x="0" y="0"/>
                      <a:ext cx="5393055" cy="3556635"/>
                    </a:xfrm>
                    <a:prstGeom prst="rect">
                      <a:avLst/>
                    </a:prstGeom>
                    <a:noFill/>
                    <a:ln w="9525">
                      <a:noFill/>
                      <a:miter lim="800000"/>
                      <a:headEnd/>
                      <a:tailEnd/>
                    </a:ln>
                  </pic:spPr>
                </pic:pic>
              </a:graphicData>
            </a:graphic>
          </wp:inline>
        </w:drawing>
      </w:r>
    </w:p>
    <w:p w:rsidR="008E1408" w:rsidRPr="00E60E0F" w:rsidRDefault="00EA3774" w:rsidP="008E1408">
      <w:pPr>
        <w:spacing w:line="360" w:lineRule="auto"/>
        <w:jc w:val="both"/>
      </w:pPr>
      <w:r>
        <w:rPr>
          <w:lang w:eastAsia="en-US"/>
        </w:rPr>
        <w:pict>
          <v:shape id="_x0000_s1679" type="#_x0000_t202" style="position:absolute;left:0;text-align:left;margin-left:0;margin-top:0;width:420.1pt;height:32.5pt;z-index:251848704;mso-height-percent:200;mso-position-horizontal:center;mso-height-percent:200;mso-width-relative:margin;mso-height-relative:margin" stroked="f">
            <v:textbox style="mso-next-textbox:#_x0000_s1679;mso-fit-shape-to-text:t">
              <w:txbxContent>
                <w:p w:rsidR="00B34B0F" w:rsidRPr="004C2231" w:rsidRDefault="00B34B0F" w:rsidP="008E1408">
                  <w:pPr>
                    <w:rPr>
                      <w:sz w:val="22"/>
                      <w:szCs w:val="22"/>
                    </w:rPr>
                  </w:pPr>
                  <w:r w:rsidRPr="004C2231">
                    <w:rPr>
                      <w:sz w:val="22"/>
                      <w:szCs w:val="22"/>
                    </w:rPr>
                    <w:t>Fig. 7. 1- Vista aérea da zona das Portas de Rodão com indicação dos sítios atribuídos ao Paleolítico médio.</w:t>
                  </w:r>
                </w:p>
              </w:txbxContent>
            </v:textbox>
          </v:shape>
        </w:pict>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ind w:firstLine="708"/>
        <w:jc w:val="both"/>
        <w:rPr>
          <w:i/>
        </w:rPr>
      </w:pPr>
      <w:r>
        <w:rPr>
          <w:bCs/>
        </w:rPr>
        <w:t>Vias de comunicação e transporte de matéria-prima.</w:t>
      </w:r>
      <w:r>
        <w:t xml:space="preserve"> A oriente da crista quartzítica de Ródão, o vale do Tejo alarga-se originando uma sucessão de terraços actualmente cobertos de olival. A jusante desta crista existe uma pequena bacia de abatimento onde se conservaram depósitos cenozóicos e de terraço (Ribeiro </w:t>
      </w:r>
      <w:r>
        <w:rPr>
          <w:i/>
        </w:rPr>
        <w:t>et al</w:t>
      </w:r>
      <w:r>
        <w:t>, 1965).</w:t>
      </w:r>
      <w:r>
        <w:rPr>
          <w:bCs/>
        </w:rPr>
        <w:t xml:space="preserve"> Resumindo, temos uma área fértil em rios com uma orografia heterogénea, o que origina distintos biótopos numa área relativamente restrita, com boa matéria-prima. Estes pontos são fundamentais para a existência de comunidades de caçadores-recolectores.</w:t>
      </w:r>
    </w:p>
    <w:p w:rsidR="008E1408" w:rsidRDefault="008E1408" w:rsidP="008E1408">
      <w:pPr>
        <w:pStyle w:val="Corpodetexto"/>
        <w:spacing w:after="0" w:line="360" w:lineRule="auto"/>
        <w:ind w:firstLine="708"/>
        <w:jc w:val="both"/>
      </w:pPr>
      <w:r>
        <w:lastRenderedPageBreak/>
        <w:t>Os terraços do Tejo revelam-se fundamentais para as ocupações humanas do Paleolítico. Os calhaus rolados, depositados nos terraços que os homens frequentam, vão servir de matéria-prima para os seus instrumentos. As grandes percentagens de matéria-prima autóctone, recolhida nas estações alvo deste estudo, isso confirmam. A crista quartzítica ante-ordovícica funciona como uma fonte constante de alimentação de rocha talhavel de excelente qualidade.</w:t>
      </w:r>
    </w:p>
    <w:p w:rsidR="008E1408" w:rsidRPr="00186FC2" w:rsidRDefault="008E1408" w:rsidP="008E1408">
      <w:pPr>
        <w:pStyle w:val="Corpodetexto"/>
        <w:spacing w:after="0" w:line="360" w:lineRule="auto"/>
        <w:jc w:val="both"/>
        <w:rPr>
          <w:bCs/>
        </w:rPr>
      </w:pPr>
      <w:r>
        <w:rPr>
          <w:bCs/>
        </w:rPr>
        <w:t xml:space="preserve"> </w:t>
      </w:r>
      <w:r>
        <w:rPr>
          <w:bCs/>
        </w:rPr>
        <w:tab/>
      </w:r>
      <w:r>
        <w:t xml:space="preserve">A bacia de abatimento do Arneiro apresenta excelentes condições para uma ocupação humana duradoura. Esta área poderia corresponder a um abrigo mais temperado durante períodos mais frios. As zonas abrigadas têm sido identificadas, em várias regiões meridionais da Europa, como fundamentais para a manutenção de biótopos de clima temperado, em alturas de descida de temperatura </w:t>
      </w:r>
      <w:r w:rsidRPr="00121304">
        <w:t xml:space="preserve">(Iriarte </w:t>
      </w:r>
      <w:r w:rsidRPr="00121304">
        <w:rPr>
          <w:i/>
        </w:rPr>
        <w:t>et al</w:t>
      </w:r>
      <w:r>
        <w:t xml:space="preserve">, 2005). A região mediterrânica teve um papel relevante como refúgio para o estrato arbóreo durante as fases frias do Plistocénico. Com a melhoria do clima estas espécies são capazes de expandir a sua distribuição geográfica de forma rápida como se pode depreender pelas análises palinológicas </w:t>
      </w:r>
      <w:r w:rsidRPr="00121304">
        <w:t>(Woodward, 2005)</w:t>
      </w:r>
      <w:r>
        <w:t>.</w:t>
      </w:r>
    </w:p>
    <w:p w:rsidR="008E1408" w:rsidRPr="00656D39" w:rsidRDefault="008E1408" w:rsidP="008E1408">
      <w:pPr>
        <w:pStyle w:val="Corpodetexto"/>
        <w:spacing w:line="360" w:lineRule="auto"/>
        <w:jc w:val="both"/>
      </w:pPr>
    </w:p>
    <w:p w:rsidR="008E1408" w:rsidRPr="007D6148" w:rsidRDefault="008E1408" w:rsidP="008E1408">
      <w:pPr>
        <w:pStyle w:val="Corpodetexto"/>
        <w:spacing w:after="0" w:line="360" w:lineRule="auto"/>
        <w:ind w:firstLine="708"/>
        <w:jc w:val="both"/>
      </w:pPr>
      <w:r>
        <w:t>Embora sempre com algumas reservas, maioritariamente de cariz cultural, a influência do clima e a sua relação com as comunidades humanas paleolíticas é inegável. Os padrões de deslocações, ocupações e registo arqueológico humanos vão ser influenciados pela envolvente paleoclimática em que se inserem.</w:t>
      </w:r>
      <w:r>
        <w:rPr>
          <w:bCs/>
        </w:rPr>
        <w:tab/>
      </w:r>
    </w:p>
    <w:p w:rsidR="008E1408" w:rsidRDefault="008E1408" w:rsidP="008E1408">
      <w:pPr>
        <w:spacing w:line="360" w:lineRule="auto"/>
        <w:ind w:firstLine="708"/>
        <w:jc w:val="both"/>
        <w:rPr>
          <w:rFonts w:eastAsia="HelveticaNeue"/>
        </w:rPr>
      </w:pPr>
      <w:r>
        <w:rPr>
          <w:rFonts w:eastAsia="HelveticaNeue"/>
        </w:rPr>
        <w:t xml:space="preserve">A análise polínica da sequência meridional demonstra que os câmbios de vegetação e portanto, do clima do sudoeste da Península Ibérica coincidem de maneira inequívoca com as sucessões de estádios e interestádios de </w:t>
      </w:r>
      <w:r>
        <w:t>Dansgaard-Oeschger</w:t>
      </w:r>
      <w:r>
        <w:rPr>
          <w:rFonts w:eastAsia="HelveticaNeue"/>
        </w:rPr>
        <w:t>. Além disso, estes estudos mostram claramente que a resposta da vegetação aos câmbios climáticos foi rápida, na ordem dos 150 anos, e contemporânea das fluctuações da temperatura das águas superficiais do Atlântico norte (Sanchez-Goni e D’Errico, 2005).</w:t>
      </w:r>
    </w:p>
    <w:p w:rsidR="008E1408" w:rsidRDefault="008E1408" w:rsidP="008E1408">
      <w:pPr>
        <w:pStyle w:val="Corpodetexto"/>
        <w:spacing w:after="0" w:line="360" w:lineRule="auto"/>
        <w:ind w:firstLine="708"/>
        <w:jc w:val="both"/>
        <w:rPr>
          <w:rFonts w:eastAsia="HelveticaNeue"/>
        </w:rPr>
      </w:pPr>
      <w:r>
        <w:rPr>
          <w:rFonts w:eastAsia="HelveticaNeue"/>
        </w:rPr>
        <w:t xml:space="preserve">A datação obtida para a estação dos Pegos do Tejo 2 atira esta estação para um período de frio intenso correspondendo à glaciação de Riss. Os dados cronológicos das duas outras estações, Azinhal e Tapada do Montinho, parecem indicar condições climatéricas igualmente adversas. Entre 63 ka y 61 ka </w:t>
      </w:r>
      <w:r w:rsidRPr="003C4EEE">
        <w:rPr>
          <w:rFonts w:eastAsia="HelveticaNeue"/>
        </w:rPr>
        <w:t xml:space="preserve">BP </w:t>
      </w:r>
      <w:r>
        <w:rPr>
          <w:rFonts w:eastAsia="HelveticaNeue"/>
        </w:rPr>
        <w:t xml:space="preserve">observa-se um aquecimento das águas superficiais do oceano que resultou resultando provavelmente num período caracterizado por um aumento de humidade. Porém, por volta de 61 ka BP observa-se um aumento das plantas semidesérticas. Uma amostra deste período caracteriza-se por </w:t>
      </w:r>
      <w:r>
        <w:rPr>
          <w:rFonts w:eastAsia="HelveticaNeue"/>
        </w:rPr>
        <w:lastRenderedPageBreak/>
        <w:t>uma grande percentagem (30%) de pólenes que reflectem condições de aridez extrema no sul da Península Ibérica. (Sanchez-Goni e D’Errico, 2005). Este período corresponde ao evento Heinrich 6 caracterizado por um período frio. O estudo paleoclimático das sequências marinhas identifica claramente a chegada às nossas costas de armadas de icebergs em seis ocasiões, duas das quais por volta de 60 Ka BP e outra por volta de 45 Ka BP, acontecimentos de Heinrich, respectivamente 6 e 5.</w:t>
      </w:r>
      <w:r w:rsidRPr="001C4D66">
        <w:rPr>
          <w:rFonts w:eastAsia="HelveticaNeue"/>
        </w:rPr>
        <w:t xml:space="preserve"> </w:t>
      </w:r>
      <w:r>
        <w:rPr>
          <w:rFonts w:eastAsia="HelveticaNeue"/>
        </w:rPr>
        <w:t xml:space="preserve">(Sanchez-Goni e D’Errico, 2005). A estação do Azinhal parece poder ser inserida temporalmente no acontecimento de Heinrich 6 e a ocupação da Tapada do Montinho no acontecimento de Heinrich seguinte, o H5. </w:t>
      </w:r>
    </w:p>
    <w:p w:rsidR="008E1408" w:rsidRPr="00B0788C" w:rsidRDefault="008E1408" w:rsidP="008E1408">
      <w:pPr>
        <w:spacing w:line="360" w:lineRule="auto"/>
        <w:ind w:firstLine="708"/>
        <w:jc w:val="both"/>
        <w:rPr>
          <w:bCs/>
        </w:rPr>
      </w:pPr>
      <w:r>
        <w:rPr>
          <w:rFonts w:eastAsia="HelveticaNeue"/>
        </w:rPr>
        <w:t xml:space="preserve">A associação destas três estações a períodos frios, embora pareça evidente, pode ser apenas circunstancial, ou depender da existência de um registo com uma taxa mais alta de sedimentação e preservação dos sítios em período frio. É necessário escavar novos sítios nesta área e noutras regiões do país para verificar se esta tendência se mantém. As três estações estudadas correspondem a ocupações de ar livre. Este facto parece indiciar que, mesmo nos períodos mais frios, os homens do Paleolítico médio ocuparam áreas abertas desprovidas de abrigos ou grutas. Isso parece também ser verdade </w:t>
      </w:r>
      <w:r>
        <w:rPr>
          <w:bCs/>
        </w:rPr>
        <w:t>para os períodos antigos do Paleolítico médio no sul de França.</w:t>
      </w:r>
      <w:r w:rsidRPr="005223D0">
        <w:rPr>
          <w:bCs/>
        </w:rPr>
        <w:t xml:space="preserve"> </w:t>
      </w:r>
      <w:r>
        <w:rPr>
          <w:bCs/>
        </w:rPr>
        <w:t xml:space="preserve">O sítio des Bosses sugere que os sítios de habitat não estão especificamente ligados a grutas ou abrigos, existem também sítios de ar livre (Jarry </w:t>
      </w:r>
      <w:r w:rsidRPr="005208F6">
        <w:rPr>
          <w:bCs/>
          <w:i/>
        </w:rPr>
        <w:t>et al</w:t>
      </w:r>
      <w:r>
        <w:rPr>
          <w:bCs/>
          <w:i/>
        </w:rPr>
        <w:t>,</w:t>
      </w:r>
      <w:r>
        <w:rPr>
          <w:bCs/>
        </w:rPr>
        <w:t xml:space="preserve"> 2004). </w:t>
      </w:r>
    </w:p>
    <w:p w:rsidR="008E1408" w:rsidRPr="00B0788C" w:rsidRDefault="008E1408" w:rsidP="008E1408">
      <w:pPr>
        <w:spacing w:line="360" w:lineRule="auto"/>
        <w:ind w:firstLine="708"/>
        <w:jc w:val="both"/>
      </w:pPr>
      <w:r w:rsidRPr="002A4A80">
        <w:t>No Abric Romaní</w:t>
      </w:r>
      <w:r>
        <w:t>, na Catalunha,</w:t>
      </w:r>
      <w:r w:rsidRPr="002A4A80">
        <w:t xml:space="preserve"> as sequências paleoambientais entre 66 e 59 ka são caracterizadas pelo domíneo das </w:t>
      </w:r>
      <w:r w:rsidRPr="002A4A80">
        <w:rPr>
          <w:i/>
        </w:rPr>
        <w:t>Poaceae</w:t>
      </w:r>
      <w:r w:rsidRPr="002A4A80">
        <w:t>,</w:t>
      </w:r>
      <w:r>
        <w:t xml:space="preserve"> </w:t>
      </w:r>
      <w:r w:rsidRPr="002A4A80">
        <w:rPr>
          <w:i/>
        </w:rPr>
        <w:t>Artemisia</w:t>
      </w:r>
      <w:r>
        <w:t xml:space="preserve"> e </w:t>
      </w:r>
      <w:r w:rsidRPr="002A4A80">
        <w:rPr>
          <w:i/>
        </w:rPr>
        <w:t>Pinus</w:t>
      </w:r>
      <w:r>
        <w:t xml:space="preserve"> que atigem nesta fase um máximo de 72 % e poderá corresponder a um período frio (HS 6). Por volta de 46 ka até ao final da sequência do Abric Romaní assiste-se, no registo paleoambiental, a um gradual e pronunciado aquecimento. Este interestadial (GI 12) inicia-se com a extensão de especies pioneira </w:t>
      </w:r>
      <w:r w:rsidRPr="002A4A80">
        <w:t>(</w:t>
      </w:r>
      <w:r w:rsidRPr="002A4A80">
        <w:rPr>
          <w:i/>
        </w:rPr>
        <w:t xml:space="preserve">Cupressaceae </w:t>
      </w:r>
      <w:r>
        <w:t>e</w:t>
      </w:r>
      <w:r w:rsidRPr="002A4A80">
        <w:rPr>
          <w:i/>
        </w:rPr>
        <w:t xml:space="preserve"> Pinus</w:t>
      </w:r>
      <w:r>
        <w:t xml:space="preserve">) seguida do aumento de </w:t>
      </w:r>
      <w:r w:rsidRPr="002A4A80">
        <w:rPr>
          <w:i/>
        </w:rPr>
        <w:t>Quercus spp</w:t>
      </w:r>
      <w:r>
        <w:t xml:space="preserve"> e</w:t>
      </w:r>
      <w:r w:rsidRPr="002A4A80">
        <w:t xml:space="preserve"> </w:t>
      </w:r>
      <w:r w:rsidRPr="002A4A80">
        <w:rPr>
          <w:i/>
        </w:rPr>
        <w:t>Olea-Phillyrea</w:t>
      </w:r>
      <w:r>
        <w:t xml:space="preserve"> (Burjachs </w:t>
      </w:r>
      <w:r w:rsidRPr="002A4A80">
        <w:t>et</w:t>
      </w:r>
      <w:r w:rsidRPr="00B0788C">
        <w:rPr>
          <w:i/>
        </w:rPr>
        <w:t xml:space="preserve"> al</w:t>
      </w:r>
      <w:r>
        <w:rPr>
          <w:i/>
        </w:rPr>
        <w:t>,</w:t>
      </w:r>
      <w:r>
        <w:t xml:space="preserve"> </w:t>
      </w:r>
      <w:r w:rsidRPr="002A4A80">
        <w:t>2012)</w:t>
      </w:r>
      <w:r>
        <w:t>. Nos Sítios de Orgnac 3 e Payre, não existe influência nas expressões culturais das alterações climáticas registadas. A diversidade do registo arqueológico tem mais a ver com diferenças culturais do que com a gestão sazonal dos recursos (</w:t>
      </w:r>
      <w:r w:rsidRPr="00733946">
        <w:rPr>
          <w:color w:val="000000"/>
        </w:rPr>
        <w:t xml:space="preserve">Moncel e Daujeard, </w:t>
      </w:r>
      <w:r w:rsidRPr="00B0788C">
        <w:t>2012).</w:t>
      </w:r>
    </w:p>
    <w:p w:rsidR="008E1408" w:rsidRPr="00733946" w:rsidRDefault="008E1408" w:rsidP="008E1408">
      <w:pPr>
        <w:spacing w:line="360" w:lineRule="auto"/>
        <w:jc w:val="both"/>
      </w:pPr>
    </w:p>
    <w:p w:rsidR="008E1408" w:rsidRDefault="00EA3774" w:rsidP="008E1408">
      <w:pPr>
        <w:pStyle w:val="Corpodetexto"/>
        <w:spacing w:line="360" w:lineRule="auto"/>
        <w:jc w:val="both"/>
        <w:rPr>
          <w:lang w:val="en-US"/>
        </w:rPr>
      </w:pPr>
      <w:r w:rsidRPr="00EA3774">
        <w:rPr>
          <w:lang w:val="en-US" w:eastAsia="en-US"/>
        </w:rPr>
        <w:lastRenderedPageBreak/>
        <w:pict>
          <v:shape id="_x0000_s1677" type="#_x0000_t202" style="position:absolute;left:0;text-align:left;margin-left:350.35pt;margin-top:-12.4pt;width:103.1pt;height:10in;z-index:251846656;mso-width-relative:margin;mso-height-relative:margin" stroked="f">
            <v:textbox style="layout-flow:vertical;mso-layout-flow-alt:bottom-to-top;mso-next-textbox:#_x0000_s1677">
              <w:txbxContent>
                <w:p w:rsidR="00B34B0F" w:rsidRPr="004846AE" w:rsidRDefault="00B34B0F" w:rsidP="008E1408">
                  <w:pPr>
                    <w:rPr>
                      <w:color w:val="FF0000"/>
                    </w:rPr>
                  </w:pPr>
                  <w:r>
                    <w:t xml:space="preserve">Fig. 7.2- Análise multiproxy do testemunho marinho </w:t>
                  </w:r>
                  <w:r>
                    <w:rPr>
                      <w:rFonts w:eastAsia="HelveticaNeue"/>
                    </w:rPr>
                    <w:t xml:space="preserve">MD95-204, </w:t>
                  </w:r>
                  <w:proofErr w:type="gramStart"/>
                  <w:r>
                    <w:rPr>
                      <w:rFonts w:eastAsia="HelveticaNeue"/>
                    </w:rPr>
                    <w:t>esquerda(Sanchez-Goni</w:t>
                  </w:r>
                  <w:proofErr w:type="gramEnd"/>
                  <w:r>
                    <w:rPr>
                      <w:rFonts w:eastAsia="HelveticaNeue"/>
                    </w:rPr>
                    <w:t xml:space="preserve"> e D’Errico, 2005) , com atribuição cronológica dos três sítios investigados deste trabalho e respectivos cortes estratigráficos</w:t>
                  </w:r>
                  <w:r w:rsidRPr="00791652">
                    <w:rPr>
                      <w:rFonts w:eastAsia="HelveticaNeue"/>
                    </w:rPr>
                    <w:t>.</w:t>
                  </w:r>
                </w:p>
              </w:txbxContent>
            </v:textbox>
          </v:shape>
        </w:pict>
      </w:r>
      <w:r w:rsidR="008E1408">
        <w:rPr>
          <w:noProof/>
        </w:rPr>
        <w:drawing>
          <wp:inline distT="0" distB="0" distL="0" distR="0">
            <wp:extent cx="4497070" cy="9212580"/>
            <wp:effectExtent l="19050" t="0" r="0" b="0"/>
            <wp:docPr id="453" name="Imagem 1" descr="Coluna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oluna final.tif"/>
                    <pic:cNvPicPr>
                      <a:picLocks noChangeAspect="1" noChangeArrowheads="1"/>
                    </pic:cNvPicPr>
                  </pic:nvPicPr>
                  <pic:blipFill>
                    <a:blip r:embed="rId225" cstate="print"/>
                    <a:srcRect/>
                    <a:stretch>
                      <a:fillRect/>
                    </a:stretch>
                  </pic:blipFill>
                  <pic:spPr bwMode="auto">
                    <a:xfrm>
                      <a:off x="0" y="0"/>
                      <a:ext cx="4497070" cy="9212580"/>
                    </a:xfrm>
                    <a:prstGeom prst="rect">
                      <a:avLst/>
                    </a:prstGeom>
                    <a:noFill/>
                    <a:ln w="9525">
                      <a:noFill/>
                      <a:miter lim="800000"/>
                      <a:headEnd/>
                      <a:tailEnd/>
                    </a:ln>
                  </pic:spPr>
                </pic:pic>
              </a:graphicData>
            </a:graphic>
          </wp:inline>
        </w:drawing>
      </w:r>
    </w:p>
    <w:p w:rsidR="008E1408" w:rsidRPr="00656D39" w:rsidRDefault="008E1408" w:rsidP="008E1408">
      <w:pPr>
        <w:pStyle w:val="Corpodetexto"/>
        <w:spacing w:line="360" w:lineRule="auto"/>
        <w:ind w:firstLine="708"/>
        <w:jc w:val="both"/>
      </w:pPr>
      <w:r w:rsidRPr="0017398B">
        <w:lastRenderedPageBreak/>
        <w:t xml:space="preserve">A análise realizada à indústria lítica das três estações que compõem </w:t>
      </w:r>
      <w:r>
        <w:t xml:space="preserve">o </w:t>
      </w:r>
      <w:r w:rsidRPr="0017398B">
        <w:rPr>
          <w:i/>
        </w:rPr>
        <w:t>corpus</w:t>
      </w:r>
      <w:r>
        <w:t xml:space="preserve"> deste trabalho permitiu retirar um conjunto de dados para cada um dos sítios. Neste capítulo irá ser apresentada uma comparação entre o registo obtido para cada uma destas estações. Com esta comparação pretende-se analisar as variações diacrónicas entre os vários factores em estudo. </w:t>
      </w:r>
    </w:p>
    <w:p w:rsidR="008E1408" w:rsidRDefault="008E1408" w:rsidP="008E1408">
      <w:pPr>
        <w:spacing w:line="360" w:lineRule="auto"/>
        <w:jc w:val="both"/>
      </w:pPr>
    </w:p>
    <w:p w:rsidR="008E1408" w:rsidRDefault="008E1408" w:rsidP="008E1408">
      <w:pPr>
        <w:spacing w:line="360" w:lineRule="auto"/>
        <w:ind w:firstLine="708"/>
        <w:jc w:val="both"/>
      </w:pPr>
      <w:r>
        <w:t>No que diz respeito à matéria-prima verifica-se um claro predomínio do quartzito sobre os restantes tipo de rochas (</w:t>
      </w:r>
      <w:r w:rsidRPr="001D73C1">
        <w:rPr>
          <w:sz w:val="22"/>
          <w:szCs w:val="22"/>
        </w:rPr>
        <w:t>Gráfico 7.1</w:t>
      </w:r>
      <w:r>
        <w:t>). O quartzo aparece, nas três estações alvo deste estudo, como a segunda rocha mais utilizada. De realçar que na estação do Azinhal o conjunto quartzo leitoso/ quartzo hialino representa cerca de 40 % da matéria-prima utilizada, numa clara discordância dos outros dois sítios Pegos do Tejo 2 e Tapada do Montinho. Neste último local o sílex aparece em terceira posição na preferência dos talhadores, sendo o arenito residual nesta colecção. No Azinhal, esta posição de matéria-prima residual é detida pelo sílex. Nos Pegos do Tejo 2 o número mínimo de registo pertence ao anfibolito, que apresenta uma extremamente reduzida expressão.</w:t>
      </w:r>
    </w:p>
    <w:p w:rsidR="008E1408" w:rsidRDefault="008E1408" w:rsidP="008E1408">
      <w:pPr>
        <w:spacing w:line="360" w:lineRule="auto"/>
        <w:jc w:val="both"/>
      </w:pPr>
    </w:p>
    <w:p w:rsidR="008E1408" w:rsidRDefault="008E1408" w:rsidP="008E1408">
      <w:pPr>
        <w:spacing w:line="360" w:lineRule="auto"/>
        <w:jc w:val="both"/>
      </w:pPr>
      <w:r>
        <w:rPr>
          <w:noProof/>
        </w:rPr>
        <w:drawing>
          <wp:inline distT="0" distB="0" distL="0" distR="0">
            <wp:extent cx="4572000" cy="2822575"/>
            <wp:effectExtent l="0" t="0" r="0" b="0"/>
            <wp:docPr id="45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8E1408" w:rsidRDefault="00EA3774" w:rsidP="008E1408">
      <w:pPr>
        <w:spacing w:line="360" w:lineRule="auto"/>
        <w:jc w:val="both"/>
      </w:pPr>
      <w:r>
        <w:rPr>
          <w:lang w:eastAsia="en-US"/>
        </w:rPr>
        <w:pict>
          <v:shape id="_x0000_s1663" type="#_x0000_t202" style="position:absolute;left:0;text-align:left;margin-left:41.65pt;margin-top:4.05pt;width:359.4pt;height:19.85pt;z-index:251832320;mso-height-percent:200;mso-height-percent:200;mso-width-relative:margin;mso-height-relative:margin" stroked="f">
            <v:textbox style="mso-next-textbox:#_x0000_s1663;mso-fit-shape-to-text:t">
              <w:txbxContent>
                <w:p w:rsidR="00B34B0F" w:rsidRPr="001D73C1" w:rsidRDefault="00B34B0F" w:rsidP="008E1408">
                  <w:pPr>
                    <w:rPr>
                      <w:sz w:val="22"/>
                      <w:szCs w:val="22"/>
                    </w:rPr>
                  </w:pPr>
                  <w:r w:rsidRPr="001D73C1">
                    <w:rPr>
                      <w:sz w:val="22"/>
                      <w:szCs w:val="22"/>
                    </w:rPr>
                    <w:t>Gráfico 7.1 – Tipo de matéria-prima utilizada em cada sítio, em percentagem.</w:t>
                  </w:r>
                </w:p>
              </w:txbxContent>
            </v:textbox>
          </v:shape>
        </w:pict>
      </w:r>
    </w:p>
    <w:p w:rsidR="008E1408" w:rsidRDefault="008E1408" w:rsidP="008E1408">
      <w:pPr>
        <w:spacing w:line="360" w:lineRule="auto"/>
        <w:jc w:val="both"/>
      </w:pPr>
    </w:p>
    <w:p w:rsidR="008E1408" w:rsidRDefault="008E1408" w:rsidP="008E1408">
      <w:pPr>
        <w:spacing w:line="360" w:lineRule="auto"/>
        <w:ind w:firstLine="708"/>
        <w:jc w:val="both"/>
      </w:pPr>
      <w:r w:rsidRPr="004577A8">
        <w:t xml:space="preserve">No Paleolítico médio a utilização de materiais ditos </w:t>
      </w:r>
      <w:r>
        <w:t xml:space="preserve">“medíocres” como os quartzos e os quartzitos é relativamente frequente. Estes materiais foram durante muito tempo esquecidos pelos litólogos no estudo das series arqueológicas. Os estudos actuais </w:t>
      </w:r>
      <w:r>
        <w:lastRenderedPageBreak/>
        <w:t xml:space="preserve">já integram mais sistematicamente estes materiais. Segundo uma ideia largamente disseminada o quartzo e quartzito seriam materiais de substituição utilizados em caso de ausência de sílex (Thiébaut </w:t>
      </w:r>
      <w:r w:rsidRPr="004C2231">
        <w:rPr>
          <w:i/>
        </w:rPr>
        <w:t>et al</w:t>
      </w:r>
      <w:r>
        <w:t>,</w:t>
      </w:r>
      <w:r w:rsidRPr="008C3E13">
        <w:t xml:space="preserve"> </w:t>
      </w:r>
      <w:r>
        <w:t xml:space="preserve">2009a). </w:t>
      </w:r>
    </w:p>
    <w:p w:rsidR="008E1408" w:rsidRPr="00973C05" w:rsidRDefault="008E1408" w:rsidP="008E1408">
      <w:pPr>
        <w:spacing w:line="360" w:lineRule="auto"/>
        <w:ind w:firstLine="708"/>
        <w:jc w:val="both"/>
      </w:pPr>
      <w:r>
        <w:t xml:space="preserve">Em Portugal, e no Paleolítico médio, evidencia-se o grande predomínio do quartztito e do quartzo no registo arqueológico. É o que acontece na gruta da Oliveira onde, </w:t>
      </w:r>
      <w:r>
        <w:rPr>
          <w:rFonts w:ascii="Calibri" w:hAnsi="Calibri" w:cs="Calibri"/>
        </w:rPr>
        <w:t xml:space="preserve">nas </w:t>
      </w:r>
      <w:r>
        <w:t>camadas 8 e 9</w:t>
      </w:r>
      <w:r w:rsidRPr="00F863D7">
        <w:t xml:space="preserve">, a debitagem </w:t>
      </w:r>
      <w:r w:rsidRPr="004C2231">
        <w:rPr>
          <w:iCs/>
        </w:rPr>
        <w:t>Levallois</w:t>
      </w:r>
      <w:r w:rsidRPr="00F863D7">
        <w:rPr>
          <w:i/>
          <w:iCs/>
        </w:rPr>
        <w:t xml:space="preserve"> </w:t>
      </w:r>
      <w:r w:rsidRPr="00F863D7">
        <w:t>é feita maioritariamente sobre o quartzito de grão fino ou muito fino, com boas propriedades para o talhe</w:t>
      </w:r>
      <w:r>
        <w:t xml:space="preserve"> (Matias, 2012).</w:t>
      </w:r>
      <w:r w:rsidRPr="00360F19">
        <w:rPr>
          <w:color w:val="000000"/>
        </w:rPr>
        <w:t xml:space="preserve"> </w:t>
      </w:r>
      <w:r>
        <w:rPr>
          <w:color w:val="000000"/>
        </w:rPr>
        <w:t xml:space="preserve">Esta tendência já tinha ficado patente dos estudos das grutas da </w:t>
      </w:r>
      <w:proofErr w:type="gramStart"/>
      <w:r>
        <w:rPr>
          <w:color w:val="000000"/>
        </w:rPr>
        <w:t>Figueira Brava</w:t>
      </w:r>
      <w:proofErr w:type="gramEnd"/>
      <w:r>
        <w:rPr>
          <w:color w:val="000000"/>
        </w:rPr>
        <w:t xml:space="preserve"> e da gruta Nova da Columbeira (Raposo, 1995; Cardoso, 2006)</w:t>
      </w:r>
      <w:r w:rsidRPr="00F863D7">
        <w:t>.</w:t>
      </w:r>
      <w:r>
        <w:t xml:space="preserve">  </w:t>
      </w:r>
    </w:p>
    <w:p w:rsidR="008E1408" w:rsidRDefault="008E1408" w:rsidP="008E1408">
      <w:pPr>
        <w:spacing w:line="360" w:lineRule="auto"/>
        <w:ind w:firstLine="708"/>
        <w:jc w:val="both"/>
      </w:pPr>
      <w:r>
        <w:t>As características da indústria recolhida no sítio de Bel-Soleil (Haute –</w:t>
      </w:r>
      <w:proofErr w:type="gramStart"/>
      <w:r>
        <w:t>Garronne</w:t>
      </w:r>
      <w:proofErr w:type="gramEnd"/>
      <w:r>
        <w:t xml:space="preserve">, França) são dominadas pela natureza das matérias-primas exploradas, todas de origem local, mas que não são, de forma alguma, limitador ou de cariz substitutivo. Neste sítio os quartzitos são largamente maioritários. Bel-Soleil parece indicar uma adaptação das matérias-primas disponíveis aos métodos de talhe utilizados pelos artesãos do Paleolítico médio </w:t>
      </w:r>
      <w:r w:rsidRPr="00747EE6">
        <w:t xml:space="preserve">(Bruxelles </w:t>
      </w:r>
      <w:r w:rsidRPr="0048029E">
        <w:rPr>
          <w:i/>
        </w:rPr>
        <w:t>et al</w:t>
      </w:r>
      <w:r w:rsidRPr="00747EE6">
        <w:t>, 2008)</w:t>
      </w:r>
      <w:r>
        <w:t xml:space="preserve">. </w:t>
      </w:r>
    </w:p>
    <w:p w:rsidR="008E1408" w:rsidRPr="00D60350" w:rsidRDefault="008E1408" w:rsidP="008E1408">
      <w:pPr>
        <w:spacing w:line="360" w:lineRule="auto"/>
        <w:ind w:firstLine="708"/>
        <w:jc w:val="both"/>
        <w:rPr>
          <w:color w:val="FF0000"/>
        </w:rPr>
      </w:pPr>
      <w:r>
        <w:t>O uso significativo do quartzo na estação do Azinhal irá ser desenvolvido no capítulo</w:t>
      </w:r>
      <w:r w:rsidRPr="00E10D4F">
        <w:t xml:space="preserve"> mais à frente</w:t>
      </w:r>
      <w:r>
        <w:t>.</w:t>
      </w:r>
    </w:p>
    <w:p w:rsidR="008E1408" w:rsidRDefault="008E1408" w:rsidP="008E1408">
      <w:pPr>
        <w:spacing w:line="360" w:lineRule="auto"/>
        <w:ind w:firstLine="708"/>
        <w:jc w:val="both"/>
      </w:pPr>
      <w:r>
        <w:t>No que concerna ao formato apresentado pela matéria-prima verifica-se uma gradual diminuição do recurso ao uso de placas de quartzito provenientes da crista quartzitica das Portas de Ródão</w:t>
      </w:r>
      <w:r w:rsidRPr="004C2231">
        <w:t xml:space="preserve"> </w:t>
      </w:r>
      <w:r>
        <w:t xml:space="preserve">(Gráfico </w:t>
      </w:r>
      <w:r w:rsidRPr="005030BC">
        <w:t>7</w:t>
      </w:r>
      <w:r>
        <w:t>.2) Nos Pegos do Tejo 2, estas placas representam cerca de 70% dos suportes utilizados, diminuindo para 40 % na estação do Azinhal e terminando em cerca de 12 % na colecção da Tapada do Montinho. De modo inverso, vai aumentando a percentagem de seixos como base das cadeias operatórias presentes nestas três estações. De menos de 10% na estação dos Pegos do Tejo 2</w:t>
      </w:r>
      <w:proofErr w:type="gramStart"/>
      <w:r>
        <w:t>,</w:t>
      </w:r>
      <w:proofErr w:type="gramEnd"/>
      <w:r>
        <w:t xml:space="preserve"> aumenta para um pouco menos de 30 % no sítio do Azinhal e aproximadamente a mesma percentagem no conjunto lítico da Tapada do Montinho. Pórem, estes dados devem ser mitigados à luz do aumento de suporte indeterminados, inversamente proporcional ao número de peças sem cortex que aparecem no registo arqueológico, como se verá mais a frente (gráfico 7.12).</w:t>
      </w:r>
    </w:p>
    <w:p w:rsidR="008E1408"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64" type="#_x0000_t202" style="position:absolute;left:0;text-align:left;margin-left:30.25pt;margin-top:263.6pt;width:364.75pt;height:25.2pt;z-index:251833344;mso-width-relative:margin;mso-height-relative:margin" stroked="f">
            <v:textbox style="mso-next-textbox:#_x0000_s1664">
              <w:txbxContent>
                <w:p w:rsidR="00B34B0F" w:rsidRDefault="00B34B0F" w:rsidP="008E1408">
                  <w:r>
                    <w:t xml:space="preserve">Gráfico </w:t>
                  </w:r>
                  <w:r w:rsidRPr="005030BC">
                    <w:t>7</w:t>
                  </w:r>
                  <w:r>
                    <w:t>.2 – Tipo de suporte utilizada em cada sítio, em percentagem.</w:t>
                  </w:r>
                </w:p>
                <w:p w:rsidR="00B34B0F" w:rsidRDefault="00B34B0F" w:rsidP="008E1408"/>
              </w:txbxContent>
            </v:textbox>
          </v:shape>
        </w:pict>
      </w:r>
      <w:r w:rsidR="008E1408">
        <w:rPr>
          <w:noProof/>
        </w:rPr>
        <w:drawing>
          <wp:inline distT="0" distB="0" distL="0" distR="0">
            <wp:extent cx="4572000" cy="3319145"/>
            <wp:effectExtent l="0" t="0" r="0" b="0"/>
            <wp:docPr id="455"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Pr="00AB24F3" w:rsidRDefault="008E1408" w:rsidP="008E1408">
      <w:pPr>
        <w:spacing w:line="360" w:lineRule="auto"/>
        <w:ind w:firstLine="708"/>
        <w:jc w:val="both"/>
      </w:pPr>
      <w:r>
        <w:t xml:space="preserve">Quanto à origem da matéria-prima a que recorreram as populações do Paleolítico médio do Arneiro, verifica-se sempre a presença no registo arqueológico de uma grande percentagem de matéria-prima de origem local (Gráfico </w:t>
      </w:r>
      <w:r w:rsidRPr="005030BC">
        <w:t>7.</w:t>
      </w:r>
      <w:r>
        <w:t>3</w:t>
      </w:r>
      <w:r w:rsidRPr="00AB24F3">
        <w:t>). O maior valor é apr</w:t>
      </w:r>
      <w:r>
        <w:t>e</w:t>
      </w:r>
      <w:r w:rsidRPr="00AB24F3">
        <w:t>s</w:t>
      </w:r>
      <w:r>
        <w:t xml:space="preserve">entado pelo sítio dos Pegos do Tejo onde as rochas recolhidas nas imediações da estação aproximam-se dos 95% do total dos registos feitos. Nos casos da Tapada do Montinho e do Azinhal, os valores de matéria-prima de índole autóctone representam perto de 70% do total da indústria lítica recolhidas nestas estações. </w:t>
      </w:r>
    </w:p>
    <w:p w:rsidR="008E1408" w:rsidRDefault="008E1408" w:rsidP="008E1408">
      <w:pPr>
        <w:spacing w:line="360" w:lineRule="auto"/>
        <w:jc w:val="both"/>
      </w:pPr>
      <w:r>
        <w:rPr>
          <w:noProof/>
        </w:rPr>
        <w:drawing>
          <wp:inline distT="0" distB="0" distL="0" distR="0">
            <wp:extent cx="4572000" cy="2743200"/>
            <wp:effectExtent l="0" t="0" r="0" b="0"/>
            <wp:docPr id="456"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8E1408" w:rsidRDefault="00EA3774" w:rsidP="008E1408">
      <w:pPr>
        <w:spacing w:line="360" w:lineRule="auto"/>
        <w:jc w:val="both"/>
      </w:pPr>
      <w:r>
        <w:rPr>
          <w:lang w:eastAsia="en-US"/>
        </w:rPr>
        <w:pict>
          <v:shape id="_x0000_s1665" type="#_x0000_t202" style="position:absolute;left:0;text-align:left;margin-left:0;margin-top:0;width:361.35pt;height:38.45pt;z-index:251834368;mso-position-horizontal:center;mso-width-relative:margin;mso-height-relative:margin" stroked="f">
            <v:textbox style="mso-next-textbox:#_x0000_s1665">
              <w:txbxContent>
                <w:p w:rsidR="00B34B0F" w:rsidRDefault="00B34B0F" w:rsidP="008E1408">
                  <w:r>
                    <w:t xml:space="preserve">Gráfico </w:t>
                  </w:r>
                  <w:r w:rsidRPr="005030BC">
                    <w:t>7.</w:t>
                  </w:r>
                  <w:r>
                    <w:t>3 – Origem da matéria-prima utilizada em cada sítio, em percentagem.</w:t>
                  </w:r>
                </w:p>
                <w:p w:rsidR="00B34B0F" w:rsidRDefault="00B34B0F" w:rsidP="008E1408"/>
              </w:txbxContent>
            </v:textbox>
          </v:shape>
        </w:pict>
      </w:r>
    </w:p>
    <w:p w:rsidR="008E1408" w:rsidRPr="0022145D" w:rsidRDefault="008E1408" w:rsidP="008E1408">
      <w:pPr>
        <w:spacing w:line="360" w:lineRule="auto"/>
        <w:ind w:firstLine="708"/>
        <w:jc w:val="both"/>
        <w:rPr>
          <w:color w:val="000000"/>
        </w:rPr>
      </w:pPr>
      <w:r w:rsidRPr="00AE0B75">
        <w:lastRenderedPageBreak/>
        <w:t xml:space="preserve">No sul da Alemanha, </w:t>
      </w:r>
      <w:r w:rsidRPr="0048029E">
        <w:t>são os</w:t>
      </w:r>
      <w:r w:rsidRPr="00AE0B75">
        <w:rPr>
          <w:color w:val="FF0000"/>
        </w:rPr>
        <w:t xml:space="preserve"> </w:t>
      </w:r>
      <w:r w:rsidRPr="00901C99">
        <w:t>chertes</w:t>
      </w:r>
      <w:r w:rsidRPr="00AE0B75">
        <w:t xml:space="preserve"> </w:t>
      </w:r>
      <w:r>
        <w:t>jurássicos</w:t>
      </w:r>
      <w:r w:rsidRPr="00AE0B75">
        <w:t xml:space="preserve"> locais</w:t>
      </w:r>
      <w:r>
        <w:t>,</w:t>
      </w:r>
      <w:r w:rsidRPr="00AE0B75">
        <w:t xml:space="preserve"> com origem num raio de 3 km </w:t>
      </w:r>
      <w:r>
        <w:t xml:space="preserve">a contar </w:t>
      </w:r>
      <w:r w:rsidRPr="00AE0B75">
        <w:t>dos sítios</w:t>
      </w:r>
      <w:r>
        <w:t>, que</w:t>
      </w:r>
      <w:r w:rsidRPr="00AE0B75">
        <w:t xml:space="preserve"> domina</w:t>
      </w:r>
      <w:r>
        <w:t>m</w:t>
      </w:r>
      <w:r w:rsidRPr="00AE0B75">
        <w:t xml:space="preserve"> todo o conjunto l</w:t>
      </w:r>
      <w:r>
        <w:t xml:space="preserve">ítico e representam entre </w:t>
      </w:r>
      <w:r w:rsidRPr="00AE0B75">
        <w:t xml:space="preserve">65 </w:t>
      </w:r>
      <w:r>
        <w:t>e</w:t>
      </w:r>
      <w:r w:rsidRPr="00AE0B75">
        <w:t xml:space="preserve"> 90% </w:t>
      </w:r>
      <w:r>
        <w:t>de toda a indústria lítica</w:t>
      </w:r>
      <w:r w:rsidRPr="00AE0B75">
        <w:t xml:space="preserve">. </w:t>
      </w:r>
      <w:r>
        <w:t>A materia-</w:t>
      </w:r>
      <w:r w:rsidRPr="00AE0B75">
        <w:t>prima recolhida até um raio de 20 km nunca representa mais de 5% dos achados. Esta tendência sugere uma baixa mobilidade residencial e log</w:t>
      </w:r>
      <w:r>
        <w:t xml:space="preserve">ística e sugere ainda que os Neandertais passavam a maior parte do ano na região e organizavam a sua vida económica e social localmente </w:t>
      </w:r>
      <w:r w:rsidRPr="0022145D">
        <w:t>(</w:t>
      </w:r>
      <w:r w:rsidRPr="00B5298F">
        <w:t xml:space="preserve">Conard </w:t>
      </w:r>
      <w:r w:rsidRPr="00B5298F">
        <w:rPr>
          <w:i/>
        </w:rPr>
        <w:t>et al</w:t>
      </w:r>
      <w:r>
        <w:rPr>
          <w:i/>
        </w:rPr>
        <w:t>,</w:t>
      </w:r>
      <w:r w:rsidRPr="00B5298F">
        <w:t xml:space="preserve"> </w:t>
      </w:r>
      <w:r>
        <w:t>2012).</w:t>
      </w:r>
      <w:r w:rsidRPr="0022145D">
        <w:rPr>
          <w:color w:val="000066"/>
        </w:rPr>
        <w:t xml:space="preserve"> </w:t>
      </w:r>
      <w:r w:rsidRPr="0022145D">
        <w:rPr>
          <w:color w:val="000000"/>
        </w:rPr>
        <w:t xml:space="preserve"> </w:t>
      </w:r>
    </w:p>
    <w:p w:rsidR="008E1408" w:rsidRPr="00E665AE" w:rsidRDefault="008E1408" w:rsidP="008E1408">
      <w:pPr>
        <w:spacing w:line="360" w:lineRule="auto"/>
        <w:jc w:val="both"/>
      </w:pPr>
      <w:r w:rsidRPr="00224589">
        <w:t xml:space="preserve">A utilização de facetas naturais de quartzo hialino </w:t>
      </w:r>
      <w:r>
        <w:t xml:space="preserve">para obtenção de morfologia especiais </w:t>
      </w:r>
      <w:r w:rsidRPr="00224589">
        <w:t>foi identificada na gruta de L’</w:t>
      </w:r>
      <w:r>
        <w:t xml:space="preserve">Esquilleu, na Cantábria, (Carrión </w:t>
      </w:r>
      <w:r w:rsidRPr="00B5298F">
        <w:rPr>
          <w:i/>
        </w:rPr>
        <w:t>et al</w:t>
      </w:r>
      <w:r>
        <w:rPr>
          <w:i/>
        </w:rPr>
        <w:t>,</w:t>
      </w:r>
      <w:r>
        <w:t xml:space="preserve"> </w:t>
      </w:r>
      <w:r w:rsidRPr="0061098E">
        <w:t>2008</w:t>
      </w:r>
      <w:r>
        <w:t xml:space="preserve">), no nível XXVII datado em mais de 53 Ka. </w:t>
      </w:r>
    </w:p>
    <w:p w:rsidR="008E1408" w:rsidRDefault="008E1408" w:rsidP="008E1408">
      <w:pPr>
        <w:spacing w:line="360" w:lineRule="auto"/>
        <w:ind w:firstLine="708"/>
        <w:jc w:val="both"/>
      </w:pPr>
      <w:r>
        <w:t xml:space="preserve">Os níveis inferiores (51,03/49,7 ka) de L’Esquilleu revelam uma mobilidade elevada, visível nos materiais heterogéneos presentes no registo arqueológico. Pelo contrário os níveis mais recentes </w:t>
      </w:r>
      <w:proofErr w:type="gramStart"/>
      <w:r>
        <w:t>(&lt;36</w:t>
      </w:r>
      <w:proofErr w:type="gramEnd"/>
      <w:r>
        <w:t xml:space="preserve">,5 Ka) apresentam um grau de captação de matéria-prima local de grande intensidade (Carrión </w:t>
      </w:r>
      <w:r w:rsidRPr="00B5298F">
        <w:rPr>
          <w:i/>
        </w:rPr>
        <w:t>et al</w:t>
      </w:r>
      <w:r>
        <w:rPr>
          <w:i/>
        </w:rPr>
        <w:t>,</w:t>
      </w:r>
      <w:r>
        <w:t xml:space="preserve"> </w:t>
      </w:r>
      <w:r w:rsidRPr="0061098E">
        <w:t>2008</w:t>
      </w:r>
      <w:r>
        <w:t>).</w:t>
      </w:r>
    </w:p>
    <w:p w:rsidR="008E1408" w:rsidRDefault="008E1408" w:rsidP="008E1408">
      <w:pPr>
        <w:spacing w:line="360" w:lineRule="auto"/>
        <w:jc w:val="both"/>
      </w:pPr>
    </w:p>
    <w:p w:rsidR="008E1408" w:rsidRDefault="008E1408" w:rsidP="008E1408">
      <w:pPr>
        <w:spacing w:line="360" w:lineRule="auto"/>
        <w:ind w:firstLine="708"/>
        <w:jc w:val="both"/>
      </w:pPr>
      <w:r>
        <w:t xml:space="preserve">Em termos de estado de conservação da indústria lítica no conjunto das ocupações analisadas, nota-se alguma diferença, relativa, de conservação nas peças recolhidas em escavação. De um modo geral as três estações apresentam material bem conservado, num estado que podemos considerar fresco, não aparentando qualquer alteração das suas superfícies. Porém, algumas peças revelaram alguma alteração, verificando-se um certo polimento das superfícies que lhe confere um brilho aquoso, devido a fatores naturais como vento, ou deslocação geológica. Para esta alteração definiu-se o termo patinado. Um número mais raro de peças apresentavam-se roladas, ou seja as suas superfícies e arestas exibiam um polimento mais intenso, aparentando transporte natural significativo entre a zona de abandono e a zona onde foram recolhidos. A menor taxa de conservação surge na estação da Tapada do Montinho mas relacionada com o facto de se terem identificado duas fases diferentes, uma em posição secundária, patinada, e outra, </w:t>
      </w:r>
      <w:r w:rsidRPr="00DF2A94">
        <w:rPr>
          <w:i/>
        </w:rPr>
        <w:t>in sito</w:t>
      </w:r>
      <w:r>
        <w:t xml:space="preserve"> geológico, fresca. Na estação do Azinhal 98% da indústria tem bom nível de conservação, não apresentando indícios de transporte, enquanto na estação dos Pegos do Tejo 2, este valor desse para 92%. De notar que, tendo em conta a dimensão das coleções, os valores dos Pegos do Tejo 2 e Azinhal a quantidade de material rolado ou patinado representa valores residuais.</w:t>
      </w:r>
    </w:p>
    <w:p w:rsidR="008E1408" w:rsidRDefault="008E1408" w:rsidP="008E1408">
      <w:pPr>
        <w:spacing w:line="360" w:lineRule="auto"/>
        <w:jc w:val="both"/>
      </w:pPr>
    </w:p>
    <w:p w:rsidR="008E1408" w:rsidRPr="004D0537" w:rsidRDefault="008E1408" w:rsidP="008E1408">
      <w:pPr>
        <w:spacing w:line="360" w:lineRule="auto"/>
        <w:jc w:val="both"/>
      </w:pPr>
      <w:r>
        <w:lastRenderedPageBreak/>
        <w:t xml:space="preserve"> </w:t>
      </w:r>
      <w:r w:rsidR="00EA3774">
        <w:rPr>
          <w:lang w:eastAsia="en-US"/>
        </w:rPr>
        <w:pict>
          <v:shape id="_x0000_s1666" type="#_x0000_t202" style="position:absolute;left:0;text-align:left;margin-left:33.35pt;margin-top:221.6pt;width:358.5pt;height:37.3pt;z-index:251835392;mso-position-horizontal-relative:text;mso-position-vertical-relative:text;mso-width-relative:margin;mso-height-relative:margin" stroked="f">
            <v:textbox style="mso-next-textbox:#_x0000_s1666">
              <w:txbxContent>
                <w:p w:rsidR="00B34B0F" w:rsidRDefault="00B34B0F" w:rsidP="008E1408">
                  <w:r>
                    <w:t xml:space="preserve">Gráfico </w:t>
                  </w:r>
                  <w:r w:rsidRPr="005030BC">
                    <w:t>7.</w:t>
                  </w:r>
                  <w:r>
                    <w:t>4 – Estado da indústria lítica recolhida em cada sítio, em percentagem.</w:t>
                  </w:r>
                </w:p>
                <w:p w:rsidR="00B34B0F" w:rsidRDefault="00B34B0F" w:rsidP="008E1408"/>
              </w:txbxContent>
            </v:textbox>
          </v:shape>
        </w:pict>
      </w:r>
      <w:r>
        <w:rPr>
          <w:noProof/>
        </w:rPr>
        <w:drawing>
          <wp:inline distT="0" distB="0" distL="0" distR="0">
            <wp:extent cx="4572000" cy="2743200"/>
            <wp:effectExtent l="0" t="0" r="0" b="0"/>
            <wp:docPr id="457"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ind w:firstLine="708"/>
        <w:jc w:val="both"/>
      </w:pPr>
      <w:r>
        <w:t xml:space="preserve">A análise realizada ao material talhado dos sítios alvo do presente estudo permitiu verificar que o tipo de percutor preferencial nas três estações tinha origem mineral (gráfico 7.5). Na estação do Azinhal, o percutor mineral foi utilizado em 98% dos casos, diminuindo para 96% na estação do Azinhal e 92% na ocupação humana pré-histórica da Tapada do Montinho. A identificação de percutores nas estações de pegos do Tejo 2 e Tapada do Montinho informa ainda sobre a aérea da estação que foi intervencionada. Enquanto no sítio dos Pegos do Tejo 2 a presença de possíveis estruturas confirma que se trata da área central da ocupação paleolítica, no caso de sítios como a Tapada do Montinho, onde não se identificaram estruturas, a localização de percutores pode indiciar que também aqui não se estará longe da zona onde se desenvolveu a ocupação humana. Já na jazida do Azinhal, a ausência de percutores permite conjecturar que ainda não se encontrou o núcleo central da estação arqueológica, embora a escavação realizada tenha permitido conhecer a sua extensão. A significativa percentagem de utilização de percutores orgânicos registada na estação dos Pegos do Tejo 2 não poderá ser dissociada da elevada percentagem de utensílios identificados nesta estação como se verá mais à frente (gráfico 7.15). </w:t>
      </w:r>
    </w:p>
    <w:p w:rsidR="008E1408" w:rsidRDefault="008E1408" w:rsidP="008E1408">
      <w:pPr>
        <w:spacing w:line="360" w:lineRule="auto"/>
        <w:jc w:val="both"/>
      </w:pPr>
    </w:p>
    <w:p w:rsidR="008E1408"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67" type="#_x0000_t202" style="position:absolute;left:0;text-align:left;margin-left:28.95pt;margin-top:246.05pt;width:372pt;height:27.6pt;z-index:251836416;mso-width-relative:margin;mso-height-relative:margin" stroked="f">
            <v:textbox style="mso-next-textbox:#_x0000_s1667">
              <w:txbxContent>
                <w:p w:rsidR="00B34B0F" w:rsidRPr="001D73C1" w:rsidRDefault="00B34B0F" w:rsidP="008E1408">
                  <w:pPr>
                    <w:rPr>
                      <w:sz w:val="22"/>
                      <w:szCs w:val="22"/>
                    </w:rPr>
                  </w:pPr>
                  <w:r w:rsidRPr="001D73C1">
                    <w:rPr>
                      <w:sz w:val="22"/>
                      <w:szCs w:val="22"/>
                    </w:rPr>
                    <w:t>Gráfico 7.5 – Tipo de percutor utilizado em cada sítio, em percentagem.</w:t>
                  </w:r>
                </w:p>
                <w:p w:rsidR="00B34B0F" w:rsidRPr="00E665AE" w:rsidRDefault="00B34B0F" w:rsidP="008E1408"/>
              </w:txbxContent>
            </v:textbox>
          </v:shape>
        </w:pict>
      </w:r>
      <w:r w:rsidR="008E1408">
        <w:rPr>
          <w:noProof/>
        </w:rPr>
        <w:drawing>
          <wp:inline distT="0" distB="0" distL="0" distR="0">
            <wp:extent cx="4572000" cy="3096260"/>
            <wp:effectExtent l="0" t="0" r="0" b="0"/>
            <wp:docPr id="458"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ind w:firstLine="708"/>
        <w:jc w:val="both"/>
      </w:pPr>
      <w:r>
        <w:t xml:space="preserve">As indústrias recolhidas nas estações dos Pegos do Tejo 2, Azinhal e Tapada do Montinho podem caracterizar-se tecno-morfologicamente como indústria sobre lascas. Este facto é notório quando se observa a caracterização morfológica presente no gráfico 7. 6. O conjunto arqueológico identificado como lascas atinge um valor de cerca de 92% na estação dos Pegos do Tejo 2, atinge também cerca de 92% na colecção lítica do Azinhal e representa cerca de 94 % do espólio recolhido na Tapada do Montinho. Ainda sobre as lascas, deve realçar-se o caso das esquírolas recolhidas na estação da Tapada do Montinho, que pela sua morfologia podem ser consideradas lascas mas que, devido às suas reduzidas dimensões, se optou por diferenciar noutra categoria. No que diz respeito aos núcleos, verifica-se que representam um pouco menos de 6 % do espólio recolhido nos Pegos do Tejo 2, correspondem a cerca de 7 % da colecção da estação do Azinhal e, finalmente, a cerca de 2% do conjunto lítico recolhido na Tapada do Montinho. Os percutores identificados nas colecções dos Pegos do Tejo 2 e Tapada do Montinho somaram, respectivamente, 2% do conjunto e cerca de 0,2 %. A estação do Azinhal aparece como a única onde se identificaram, de forma residual, a presença de bifaces (o único exemplar recolhido nos Pegos do Tejo 2, embora exista, não tem peso estatístico) e lâminas. </w:t>
      </w:r>
    </w:p>
    <w:p w:rsidR="008E1408" w:rsidRDefault="00EA3774" w:rsidP="008E1408">
      <w:pPr>
        <w:spacing w:line="360" w:lineRule="auto"/>
        <w:jc w:val="both"/>
      </w:pPr>
      <w:r>
        <w:rPr>
          <w:lang w:eastAsia="en-US"/>
        </w:rPr>
        <w:lastRenderedPageBreak/>
        <w:pict>
          <v:shape id="_x0000_s1668" type="#_x0000_t202" style="position:absolute;left:0;text-align:left;margin-left:32.95pt;margin-top:217pt;width:359.25pt;height:49pt;z-index:251837440;mso-width-relative:margin;mso-height-relative:margin" stroked="f">
            <v:textbox style="mso-next-textbox:#_x0000_s1668">
              <w:txbxContent>
                <w:p w:rsidR="00B34B0F" w:rsidRPr="001D73C1" w:rsidRDefault="00B34B0F" w:rsidP="008E1408">
                  <w:pPr>
                    <w:rPr>
                      <w:sz w:val="22"/>
                      <w:szCs w:val="22"/>
                    </w:rPr>
                  </w:pPr>
                  <w:r w:rsidRPr="001D73C1">
                    <w:rPr>
                      <w:sz w:val="22"/>
                      <w:szCs w:val="22"/>
                    </w:rPr>
                    <w:t>Gráfico 7.6 – Categorias da indústria lítica recolhida em cada sítio, em percentagem.</w:t>
                  </w:r>
                </w:p>
                <w:p w:rsidR="00B34B0F" w:rsidRDefault="00B34B0F" w:rsidP="008E1408"/>
              </w:txbxContent>
            </v:textbox>
          </v:shape>
        </w:pict>
      </w:r>
      <w:r w:rsidR="008E1408">
        <w:rPr>
          <w:noProof/>
        </w:rPr>
        <w:drawing>
          <wp:inline distT="0" distB="0" distL="0" distR="0">
            <wp:extent cx="4572000" cy="2743200"/>
            <wp:effectExtent l="0" t="0" r="0" b="0"/>
            <wp:docPr id="459"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Pr="006179B9" w:rsidRDefault="008E1408" w:rsidP="008E1408">
      <w:pPr>
        <w:spacing w:line="360" w:lineRule="auto"/>
        <w:jc w:val="both"/>
      </w:pPr>
    </w:p>
    <w:p w:rsidR="008E1408" w:rsidRPr="00CB05B0" w:rsidRDefault="008E1408" w:rsidP="008E1408">
      <w:pPr>
        <w:spacing w:line="360" w:lineRule="auto"/>
        <w:jc w:val="both"/>
      </w:pPr>
    </w:p>
    <w:p w:rsidR="008E1408" w:rsidRDefault="008E1408" w:rsidP="008E1408">
      <w:pPr>
        <w:spacing w:line="360" w:lineRule="auto"/>
        <w:ind w:firstLine="708"/>
        <w:jc w:val="both"/>
      </w:pPr>
      <w:r>
        <w:t xml:space="preserve">Como acaba de ser apresentado, a maior parte do conjunto lítico recolhido nos Pegos do Tejo 2, no Azinhal e na Tapada do Montinho corresponde a lascas. Em termos morfológicos, e de um modo geral, a grande maioria destas lascas recolhidas nestas três estações enquadra-se num padrão dimensional definido por 60 mm de comprimento por 40 de largura. Porém, é possível verificar algumas diferenças de formato entre o material lascado de cada um dos sítios em análise. Entre as colecções dos Pegos do Tejo 2 e Azinhal verifica-se uma grande similitude nas dimensões das lascas observadas, apenas diferenciadas pela tendência demonstrada pelos suportes dos Pegos do Tejo 2 em serem mais compridas, como se pode verificar pelo linear das duas estações. De qualquer forma, estes dois conjuntos diferenciam-se significativamente da colecção recolhida na estação da Tapada do Montinho. De facto, neste último local o conjunto </w:t>
      </w:r>
      <w:proofErr w:type="gramStart"/>
      <w:r>
        <w:t>lascar</w:t>
      </w:r>
      <w:proofErr w:type="gramEnd"/>
      <w:r>
        <w:t xml:space="preserve"> </w:t>
      </w:r>
      <w:proofErr w:type="gramStart"/>
      <w:r>
        <w:t>apresenta</w:t>
      </w:r>
      <w:proofErr w:type="gramEnd"/>
      <w:r>
        <w:t xml:space="preserve"> dimensões mais reduzidas circunscrevendo-se, a grande maioria deste conjunto, entre os 40 mm de comprimento por 20 de largura. O linear das medidas das lascas desta estação apresenta-se mais paralelo, e por isso com maior semelhanças de razão comprimento/ largura, com o sítio Pegos do Tejo 2 mas nitidamente mais abaixo na grelha devido às pequenas dimensões do conjunto lascado.</w:t>
      </w:r>
      <w:r w:rsidR="00531563">
        <w:t xml:space="preserve"> Curiosamente,</w:t>
      </w:r>
      <w:r>
        <w:t xml:space="preserve"> as dimensões mais reduzidas apresentadas pelas lascas recolhidas na estação da Tapada do Montinho não se refletem nas dimensões dos núcleos originários desta mesma estação, como se poderá ver mais adiante no gráfico 7.13. </w:t>
      </w:r>
    </w:p>
    <w:p w:rsidR="008E1408" w:rsidRDefault="008E1408" w:rsidP="008E1408">
      <w:pPr>
        <w:spacing w:line="360" w:lineRule="auto"/>
        <w:jc w:val="both"/>
      </w:pPr>
    </w:p>
    <w:p w:rsidR="008E1408" w:rsidRDefault="008E1408" w:rsidP="008E1408">
      <w:pPr>
        <w:spacing w:line="360" w:lineRule="auto"/>
        <w:jc w:val="both"/>
      </w:pPr>
    </w:p>
    <w:p w:rsidR="008E1408" w:rsidRDefault="00EA3774" w:rsidP="008E1408">
      <w:pPr>
        <w:spacing w:line="360" w:lineRule="auto"/>
        <w:ind w:hanging="284"/>
        <w:jc w:val="both"/>
      </w:pPr>
      <w:r>
        <w:rPr>
          <w:lang w:eastAsia="en-US"/>
        </w:rPr>
        <w:pict>
          <v:shape id="_x0000_s1669" type="#_x0000_t202" style="position:absolute;left:0;text-align:left;margin-left:33.25pt;margin-top:310.55pt;width:425.45pt;height:46.85pt;z-index:251838464;mso-height-percent:200;mso-height-percent:200;mso-width-relative:margin;mso-height-relative:margin" stroked="f">
            <v:textbox style="mso-next-textbox:#_x0000_s1669;mso-fit-shape-to-text:t">
              <w:txbxContent>
                <w:p w:rsidR="00B34B0F" w:rsidRPr="001D73C1" w:rsidRDefault="00B34B0F" w:rsidP="008E1408">
                  <w:pPr>
                    <w:rPr>
                      <w:sz w:val="22"/>
                      <w:szCs w:val="22"/>
                    </w:rPr>
                  </w:pPr>
                  <w:r w:rsidRPr="001D73C1">
                    <w:rPr>
                      <w:sz w:val="22"/>
                      <w:szCs w:val="22"/>
                    </w:rPr>
                    <w:t>Gráfico 7.7 – Relação comprimento/largura</w:t>
                  </w:r>
                  <w:r>
                    <w:rPr>
                      <w:sz w:val="22"/>
                      <w:szCs w:val="22"/>
                    </w:rPr>
                    <w:t xml:space="preserve"> (em mm)</w:t>
                  </w:r>
                  <w:r w:rsidRPr="001D73C1">
                    <w:rPr>
                      <w:sz w:val="22"/>
                      <w:szCs w:val="22"/>
                    </w:rPr>
                    <w:t xml:space="preserve"> das lascas recolhidas em cada sítio.</w:t>
                  </w:r>
                </w:p>
                <w:p w:rsidR="00B34B0F" w:rsidRDefault="00B34B0F" w:rsidP="008E1408"/>
              </w:txbxContent>
            </v:textbox>
          </v:shape>
        </w:pict>
      </w:r>
      <w:r w:rsidR="008E1408">
        <w:rPr>
          <w:noProof/>
        </w:rPr>
        <w:drawing>
          <wp:inline distT="0" distB="0" distL="0" distR="0">
            <wp:extent cx="5615940" cy="4075430"/>
            <wp:effectExtent l="0" t="0" r="0" b="0"/>
            <wp:docPr id="460"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8E1408" w:rsidRDefault="008E1408" w:rsidP="008E1408">
      <w:pPr>
        <w:spacing w:line="360" w:lineRule="auto"/>
        <w:jc w:val="both"/>
      </w:pPr>
    </w:p>
    <w:p w:rsidR="008E1408" w:rsidRDefault="008E1408" w:rsidP="00531563">
      <w:pPr>
        <w:spacing w:line="360" w:lineRule="auto"/>
        <w:ind w:firstLine="708"/>
        <w:jc w:val="both"/>
      </w:pPr>
      <w:r>
        <w:t xml:space="preserve">Outro factor observado prende-se com o registo dos negativos de levantamentos anteriores registados na face dorsal das lascas (figura 7.8). Este registo pode informar sobre a complexidade das cadeias operatórias realizadas em cada uma das estações estudadas. </w:t>
      </w:r>
    </w:p>
    <w:p w:rsidR="008E1408" w:rsidRDefault="008E1408" w:rsidP="00531563">
      <w:pPr>
        <w:spacing w:line="360" w:lineRule="auto"/>
        <w:ind w:firstLine="708"/>
        <w:jc w:val="both"/>
      </w:pPr>
      <w:r>
        <w:t xml:space="preserve">Neste caso, e para os três sítios em análise, verifica-se o predomínio da existência de apenas um, dois ou três negativos de levantamentos anteriores na face dorsal. Esta tendência parece indiciar a prevalência de cadeias operatórias expeditas. Este indicador permite, ainda, alguma indicação sobre a produção de lascas em cada uma das estações. Percebe-se que o sítio que apresentou mais produtos </w:t>
      </w:r>
      <w:proofErr w:type="gramStart"/>
      <w:r>
        <w:t>lascares</w:t>
      </w:r>
      <w:proofErr w:type="gramEnd"/>
      <w:r>
        <w:t xml:space="preserve">, com a devida atenção às diferentes dimensões dos conjuntos em análise, foi a Tapada do Montinho. </w:t>
      </w:r>
      <w:r w:rsidR="00531563">
        <w:t>Verifica-se, nas</w:t>
      </w:r>
      <w:r>
        <w:t xml:space="preserve"> estações dos Pegos do Tejo 2 e do Azinhal a existência de um número menor de lascas, em termos percentuais, sendo a primeira estação o local onde essa diferença é maior. Na estação do Azinhal essa particularidade pode estar intrinseca com o fato de ainda não se ter identificado a zona central da estação. </w:t>
      </w:r>
    </w:p>
    <w:p w:rsidR="008E1408"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70" type="#_x0000_t202" style="position:absolute;left:0;text-align:left;margin-left:16.35pt;margin-top:294.35pt;width:381.1pt;height:37.5pt;z-index:251839488;mso-width-relative:margin;mso-height-relative:margin" stroked="f">
            <v:textbox style="mso-next-textbox:#_x0000_s1670">
              <w:txbxContent>
                <w:p w:rsidR="00B34B0F" w:rsidRPr="001D73C1" w:rsidRDefault="00B34B0F" w:rsidP="008E1408">
                  <w:pPr>
                    <w:rPr>
                      <w:sz w:val="22"/>
                      <w:szCs w:val="22"/>
                    </w:rPr>
                  </w:pPr>
                  <w:r w:rsidRPr="001D73C1">
                    <w:rPr>
                      <w:sz w:val="22"/>
                      <w:szCs w:val="22"/>
                    </w:rPr>
                    <w:t>Gráfico 7.8 – Número de negativos identificados na face dorsal das lascas recolhidas em cada sítio.</w:t>
                  </w:r>
                </w:p>
                <w:p w:rsidR="00B34B0F" w:rsidRDefault="00B34B0F" w:rsidP="008E1408"/>
              </w:txbxContent>
            </v:textbox>
          </v:shape>
        </w:pict>
      </w:r>
      <w:r w:rsidR="008E1408">
        <w:rPr>
          <w:noProof/>
        </w:rPr>
        <w:drawing>
          <wp:inline distT="0" distB="0" distL="0" distR="0">
            <wp:extent cx="5313680" cy="3722370"/>
            <wp:effectExtent l="0" t="0" r="0" b="0"/>
            <wp:docPr id="461"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 xml:space="preserve">No que se refere aos talões, ao invés das lascas que os suportam, existe uma semelhança de dimensões entre os três conjuntos em análise (figura 7.9). Na generalidade, verifica-se que as três colecções apresentam uma sobreposição da razão comprimento/largura evidenciada pelo linear dos três sítios que além de paralelos se sobrepõe quase perfeitamente. </w:t>
      </w:r>
    </w:p>
    <w:p w:rsidR="008E1408" w:rsidRDefault="00EA3774" w:rsidP="008E1408">
      <w:pPr>
        <w:spacing w:line="360" w:lineRule="auto"/>
        <w:jc w:val="both"/>
      </w:pPr>
      <w:r>
        <w:rPr>
          <w:lang w:eastAsia="en-US"/>
        </w:rPr>
        <w:lastRenderedPageBreak/>
        <w:pict>
          <v:shape id="_x0000_s1671" type="#_x0000_t202" style="position:absolute;left:0;text-align:left;margin-left:-6.9pt;margin-top:267.35pt;width:436.6pt;height:37.05pt;z-index:251840512;mso-width-relative:margin;mso-height-relative:margin" stroked="f">
            <v:textbox style="mso-next-textbox:#_x0000_s1671">
              <w:txbxContent>
                <w:p w:rsidR="00B34B0F" w:rsidRPr="001D73C1" w:rsidRDefault="00B34B0F" w:rsidP="008E1408">
                  <w:pPr>
                    <w:rPr>
                      <w:sz w:val="22"/>
                      <w:szCs w:val="22"/>
                    </w:rPr>
                  </w:pPr>
                  <w:r w:rsidRPr="001D73C1">
                    <w:rPr>
                      <w:sz w:val="22"/>
                      <w:szCs w:val="22"/>
                    </w:rPr>
                    <w:t xml:space="preserve">Gráfico 7. 9 – Relação comprimento/largura </w:t>
                  </w:r>
                  <w:r>
                    <w:rPr>
                      <w:sz w:val="22"/>
                      <w:szCs w:val="22"/>
                    </w:rPr>
                    <w:t xml:space="preserve">(em mm) </w:t>
                  </w:r>
                  <w:r w:rsidRPr="001D73C1">
                    <w:rPr>
                      <w:sz w:val="22"/>
                      <w:szCs w:val="22"/>
                    </w:rPr>
                    <w:t>dos talões das lascas recolhidas em cada sítio.</w:t>
                  </w:r>
                </w:p>
                <w:p w:rsidR="00B34B0F" w:rsidRDefault="00B34B0F" w:rsidP="008E1408"/>
                <w:p w:rsidR="00B34B0F" w:rsidRDefault="00B34B0F" w:rsidP="008E1408"/>
              </w:txbxContent>
            </v:textbox>
          </v:shape>
        </w:pict>
      </w:r>
      <w:r w:rsidR="008E1408">
        <w:rPr>
          <w:noProof/>
        </w:rPr>
        <w:drawing>
          <wp:inline distT="0" distB="0" distL="0" distR="0">
            <wp:extent cx="5608955" cy="3456305"/>
            <wp:effectExtent l="0" t="0" r="0" b="0"/>
            <wp:docPr id="462"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 xml:space="preserve">Quanto ao perfil destes talões, observa-se uma tendência geral similar às três estações, com o predomínio de três tipos de talões: os convexos, os côncavos e os planos (gráfico 7.10). No entanto, a percentagem destes três perfis de talões </w:t>
      </w:r>
      <w:proofErr w:type="gramStart"/>
      <w:r>
        <w:t>varia</w:t>
      </w:r>
      <w:proofErr w:type="gramEnd"/>
      <w:r>
        <w:t xml:space="preserve"> de estação para estação. Nos Pegos do Tejo 2 predominam os talões de perfil plano (45%), seguido de talões convexos (um pouco mais de 30%) e de talões concâvos (cerca de 20%). No sítio do Azinhal, dominam ligeiramente os talões convexos (um pouco mais de 35%), os talões de perfil côncavo são o segundo conjunto mais representado (cerca de 30%) e finalmente os talões planos registam, nesta estação, o seu menor valor (um pouco menos de 30%). Na estação do Azinhal verifica-se o aparecimento de um novo tipo de talões, os talões facetados, que representam quase 5% do total. A estação da Tapada do Montinho apresenta uma equivalência entre talões de perfil plano e convexo (um pouco menos de 30% cada um). Os talões côncavos parecem em terceiro lugar mas ainda com um pouco mais de 25% do total do conjunto. Os talões facetados, que começaram a aparecer, no registo arqueológico aqui em estudo, no Azinhal, atingem na Tapada do Montinho cerca de 10% da globalidade da colecção.</w:t>
      </w:r>
    </w:p>
    <w:p w:rsidR="008E1408"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72" type="#_x0000_t202" style="position:absolute;left:0;text-align:left;margin-left:35.7pt;margin-top:262.1pt;width:362.3pt;height:28.1pt;z-index:251841536;mso-width-relative:margin;mso-height-relative:margin" stroked="f">
            <v:textbox style="mso-next-textbox:#_x0000_s1672">
              <w:txbxContent>
                <w:p w:rsidR="00B34B0F" w:rsidRPr="001D73C1" w:rsidRDefault="00B34B0F" w:rsidP="008E1408">
                  <w:pPr>
                    <w:rPr>
                      <w:sz w:val="22"/>
                      <w:szCs w:val="22"/>
                    </w:rPr>
                  </w:pPr>
                  <w:r w:rsidRPr="001D73C1">
                    <w:rPr>
                      <w:sz w:val="22"/>
                      <w:szCs w:val="22"/>
                    </w:rPr>
                    <w:t>Gráfico 7.10 – Perfil dos talões das lascas recolhidas em cada sítio.</w:t>
                  </w:r>
                </w:p>
                <w:p w:rsidR="00B34B0F" w:rsidRDefault="00B34B0F" w:rsidP="008E1408"/>
                <w:p w:rsidR="00B34B0F" w:rsidRDefault="00B34B0F" w:rsidP="008E1408"/>
              </w:txbxContent>
            </v:textbox>
          </v:shape>
        </w:pict>
      </w:r>
      <w:r w:rsidR="008E1408" w:rsidRPr="00FE2B2E">
        <w:t xml:space="preserve"> </w:t>
      </w:r>
      <w:r w:rsidR="008E1408">
        <w:rPr>
          <w:noProof/>
        </w:rPr>
        <w:drawing>
          <wp:inline distT="0" distB="0" distL="0" distR="0">
            <wp:extent cx="4572000" cy="3282950"/>
            <wp:effectExtent l="0" t="0" r="0" b="0"/>
            <wp:docPr id="463"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No que à morfologia dos talões diz respeito, verifica-se um claro domínio dos talões de morfologia trapezoidal, e isso nos três sítios arqueológicos pré-históricos em análise (gráfico 7.11). Este tipo de morfologia atinge quase os 50% na estação do Azinhal, mais de 45% na Tapada do Montinho, registando o seu mais baixo valor nos Pegos do Tejo 2 com um pouco menos de 40%. É nesta última estação que o talão de morfologia triangular atinge a sua maior expressão com um pouco mais de 30%. Na Tapada do Montinho este indicador chega aos 25% para se ficar no Azinhal em pouco mais de 20%. O talão com morfologia em “hífen”</w:t>
      </w:r>
      <w:proofErr w:type="gramStart"/>
      <w:r>
        <w:t>,</w:t>
      </w:r>
      <w:proofErr w:type="gramEnd"/>
      <w:r>
        <w:t xml:space="preserve"> vai aumentando de percentagem diacronicamente, começando nos Pegos do Tejo 2 com um pouco mais de 10 % do total, passando para quase 20 % na ocupação humana do Azinhal e terminando na Tapada do Montinho com um pouco mais de 20 % do total dos talões. O talão de morfologia linear atinge a sua maior expressão no sítio dos Pegos do Tejo 2, com quase 10 % do contingente. No Azinhal este tipo de talão torna-se residual (cerca de 2%) enquanto na tapada do Montinho representa quase 5% dos talões analisados. Os talões punctiformes marcam presença nas estações dos Pegos do Tejo 2 e do Azinhal, com cerca de 5% e 2% respectivamente. Finalmente, os talões de morfologia facetada representam aproximadamente 5% da população nos Pegos do Tejo 2 e no Azinhal, não sendo registado nenhum talão com estas características na estação da Tapada do Montinho. A </w:t>
      </w:r>
      <w:r>
        <w:lastRenderedPageBreak/>
        <w:t>presença de talões lineares ou puntiformes, geralmente associados a processo de talhe por pressão, pode ocorrer com percutores de origem mineral, como já foi verificado em situações de prática experimental (Mejias, 2009). A baixa presença deste</w:t>
      </w:r>
      <w:r w:rsidR="00531563">
        <w:t>s</w:t>
      </w:r>
      <w:r>
        <w:t xml:space="preserve"> dois tipos de talões parecem confirmar esta possibilidade. </w:t>
      </w:r>
    </w:p>
    <w:p w:rsidR="008E1408" w:rsidRDefault="008E1408" w:rsidP="008E1408">
      <w:pPr>
        <w:spacing w:line="360" w:lineRule="auto"/>
        <w:jc w:val="both"/>
      </w:pPr>
    </w:p>
    <w:p w:rsidR="008E1408" w:rsidRDefault="00EA3774" w:rsidP="008E1408">
      <w:pPr>
        <w:spacing w:line="360" w:lineRule="auto"/>
        <w:jc w:val="both"/>
      </w:pPr>
      <w:r>
        <w:rPr>
          <w:lang w:eastAsia="en-US"/>
        </w:rPr>
        <w:pict>
          <v:shape id="_x0000_s1673" type="#_x0000_t202" style="position:absolute;left:0;text-align:left;margin-left:28.05pt;margin-top:245pt;width:364.65pt;height:28.65pt;z-index:251842560;mso-width-relative:margin;mso-height-relative:margin" stroked="f">
            <v:textbox style="mso-next-textbox:#_x0000_s1673">
              <w:txbxContent>
                <w:p w:rsidR="00B34B0F" w:rsidRPr="001D73C1" w:rsidRDefault="00B34B0F" w:rsidP="008E1408">
                  <w:pPr>
                    <w:rPr>
                      <w:sz w:val="22"/>
                      <w:szCs w:val="22"/>
                    </w:rPr>
                  </w:pPr>
                  <w:r w:rsidRPr="001D73C1">
                    <w:rPr>
                      <w:sz w:val="22"/>
                      <w:szCs w:val="22"/>
                    </w:rPr>
                    <w:t>Gráfico 7.11 – Morfologia dos talões das lascas recolhidas em cada sítio.</w:t>
                  </w:r>
                </w:p>
                <w:p w:rsidR="00B34B0F" w:rsidRDefault="00B34B0F" w:rsidP="008E1408"/>
                <w:p w:rsidR="00B34B0F" w:rsidRPr="006B0C46" w:rsidRDefault="00B34B0F" w:rsidP="008E1408"/>
              </w:txbxContent>
            </v:textbox>
          </v:shape>
        </w:pict>
      </w:r>
      <w:r w:rsidR="008E1408">
        <w:rPr>
          <w:noProof/>
        </w:rPr>
        <w:drawing>
          <wp:inline distT="0" distB="0" distL="0" distR="0">
            <wp:extent cx="4572000" cy="3088640"/>
            <wp:effectExtent l="0" t="0" r="0" b="0"/>
            <wp:docPr id="464"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A presença de córtex nas indústrias líticas recolhida nas estações dos Pegos do Tejo 2, Azinhal e Tapada do Montinho permite retirar algumas considerações (gráfico 7.12). Em termos gerais verifica-se uma diminuição progressiva da percentagem de córtex presente nas colecções em estudo. A maior percentagem de indústria com córtex regista-se nos Pegos do Tejo 2 com um total de 78% do espólio a apresentarem esta característica. Na estação do Azinhal essa percentagem reduz-se para cerca de 55%, enquanto no sítio Tapada do Montinho já apenas cerca de 40 % do total da debitagem revela vestígios da camada exterior d</w:t>
      </w:r>
      <w:r w:rsidR="00531563">
        <w:t>a</w:t>
      </w:r>
      <w:r>
        <w:t xml:space="preserve">s peças de matéria-prima </w:t>
      </w:r>
      <w:r w:rsidR="00531563">
        <w:t xml:space="preserve">a </w:t>
      </w:r>
      <w:r>
        <w:t xml:space="preserve">que se recorreu. </w:t>
      </w:r>
    </w:p>
    <w:p w:rsidR="008E1408" w:rsidRDefault="008E1408" w:rsidP="008E1408">
      <w:pPr>
        <w:spacing w:line="360" w:lineRule="auto"/>
        <w:jc w:val="both"/>
      </w:pPr>
    </w:p>
    <w:p w:rsidR="008E1408" w:rsidRPr="004D0537"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74" type="#_x0000_t202" style="position:absolute;left:0;text-align:left;margin-left:56.7pt;margin-top:254.6pt;width:306pt;height:40.3pt;z-index:251843584;mso-width-relative:margin;mso-height-relative:margin" stroked="f">
            <v:textbox style="mso-next-textbox:#_x0000_s1674">
              <w:txbxContent>
                <w:p w:rsidR="00B34B0F" w:rsidRPr="001D73C1" w:rsidRDefault="00B34B0F" w:rsidP="008E1408">
                  <w:pPr>
                    <w:rPr>
                      <w:sz w:val="22"/>
                      <w:szCs w:val="22"/>
                    </w:rPr>
                  </w:pPr>
                  <w:r w:rsidRPr="001D73C1">
                    <w:rPr>
                      <w:sz w:val="22"/>
                      <w:szCs w:val="22"/>
                    </w:rPr>
                    <w:t>Gráfico 7.12 – Presença de cortex na indústria lítica recolhida em cada sítio.</w:t>
                  </w:r>
                </w:p>
                <w:p w:rsidR="00B34B0F" w:rsidRDefault="00B34B0F" w:rsidP="008E1408"/>
                <w:p w:rsidR="00B34B0F" w:rsidRDefault="00B34B0F" w:rsidP="008E1408"/>
              </w:txbxContent>
            </v:textbox>
          </v:shape>
        </w:pict>
      </w:r>
      <w:r w:rsidR="008E1408">
        <w:rPr>
          <w:noProof/>
        </w:rPr>
        <w:drawing>
          <wp:inline distT="0" distB="0" distL="0" distR="0">
            <wp:extent cx="3837305" cy="3211195"/>
            <wp:effectExtent l="0" t="0" r="0" b="0"/>
            <wp:docPr id="465"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Pr="00747EE6" w:rsidRDefault="008E1408" w:rsidP="00531563">
      <w:pPr>
        <w:spacing w:line="360" w:lineRule="auto"/>
        <w:ind w:firstLine="708"/>
        <w:jc w:val="both"/>
      </w:pPr>
      <w:r>
        <w:t>No sítio de Bel-Soleil (Haute –</w:t>
      </w:r>
      <w:r w:rsidR="00531563">
        <w:t xml:space="preserve"> Garronne</w:t>
      </w:r>
      <w:r>
        <w:t xml:space="preserve">, França) a indústria lítica exumada revela preferencia pela debitagem discoíde, com planos de percussão neocorticais, o que origina um maior índice de peças com cortex </w:t>
      </w:r>
      <w:r w:rsidRPr="00747EE6">
        <w:t xml:space="preserve">(Bruxelles </w:t>
      </w:r>
      <w:r w:rsidRPr="008A5A93">
        <w:rPr>
          <w:i/>
        </w:rPr>
        <w:t>et al</w:t>
      </w:r>
      <w:r w:rsidRPr="00747EE6">
        <w:t>, 2008)</w:t>
      </w:r>
      <w:r>
        <w:t>.</w:t>
      </w:r>
    </w:p>
    <w:p w:rsidR="008E1408" w:rsidRPr="00747EE6"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rsidRPr="00E10D4F">
        <w:t xml:space="preserve">Sobre </w:t>
      </w:r>
      <w:r w:rsidR="00531563" w:rsidRPr="00E10D4F">
        <w:t>a</w:t>
      </w:r>
      <w:r w:rsidR="00531563">
        <w:rPr>
          <w:b/>
        </w:rPr>
        <w:t xml:space="preserve"> </w:t>
      </w:r>
      <w:r w:rsidR="00531563">
        <w:t>c</w:t>
      </w:r>
      <w:r w:rsidR="00531563" w:rsidRPr="004D0537">
        <w:t>aracterização</w:t>
      </w:r>
      <w:r w:rsidRPr="004D0537">
        <w:t xml:space="preserve"> tecnológica</w:t>
      </w:r>
      <w:r>
        <w:t xml:space="preserve"> da indústria</w:t>
      </w:r>
      <w:r w:rsidRPr="004D0537">
        <w:t xml:space="preserve"> lítica</w:t>
      </w:r>
      <w:r>
        <w:t xml:space="preserve"> existem todo um conjunto de dados interessantes e que se irão abordar de seguida.</w:t>
      </w:r>
    </w:p>
    <w:p w:rsidR="008E1408" w:rsidRPr="009B184C" w:rsidRDefault="008E1408" w:rsidP="008E1408">
      <w:pPr>
        <w:spacing w:line="360" w:lineRule="auto"/>
        <w:jc w:val="both"/>
      </w:pPr>
      <w:r>
        <w:tab/>
        <w:t>A análise das dimensões dos núcleos identificados no presente estudo e nas três estações arqueológicas pré-históricas revela uma grande similitude nas peças identificadas como tal. Os conjuntos relativos aos sítios dos Pegos de Tejo 2, do Azinhal e da Tapada do Montinho sobrepõe</w:t>
      </w:r>
      <w:r w:rsidR="00531563">
        <w:t>m</w:t>
      </w:r>
      <w:r>
        <w:t xml:space="preserve">-se no </w:t>
      </w:r>
      <w:r w:rsidRPr="00F54B27">
        <w:t>gráfico 7.13,</w:t>
      </w:r>
      <w:r>
        <w:rPr>
          <w:color w:val="FF0000"/>
        </w:rPr>
        <w:t xml:space="preserve"> </w:t>
      </w:r>
      <w:r>
        <w:t>revelando uma homogeneidade da razão comprimento/largura nestas três colecções. Não é de estranhar portanto que os lineares das três estações tenham orientações simil</w:t>
      </w:r>
      <w:r w:rsidR="00531563">
        <w:t>ares e muito próximas entre si.</w:t>
      </w:r>
      <w:r>
        <w:t xml:space="preserve"> Esta homogeneidade nas dimensões dos núcleos não se reflecte, como se pode ver acima, nas dimensões dos suportes obtidos a partir destes.</w:t>
      </w:r>
    </w:p>
    <w:p w:rsidR="008E1408" w:rsidRDefault="008E1408" w:rsidP="008E1408">
      <w:pPr>
        <w:spacing w:line="360" w:lineRule="auto"/>
        <w:jc w:val="both"/>
      </w:pPr>
    </w:p>
    <w:p w:rsidR="008E1408" w:rsidRDefault="00EA3774" w:rsidP="008E1408">
      <w:pPr>
        <w:spacing w:line="360" w:lineRule="auto"/>
        <w:ind w:hanging="284"/>
        <w:jc w:val="both"/>
      </w:pPr>
      <w:r>
        <w:rPr>
          <w:lang w:eastAsia="en-US"/>
        </w:rPr>
        <w:lastRenderedPageBreak/>
        <w:pict>
          <v:shape id="_x0000_s1675" type="#_x0000_t202" style="position:absolute;left:0;text-align:left;margin-left:-15.3pt;margin-top:192.5pt;width:430.5pt;height:26.5pt;z-index:251844608;mso-width-relative:margin;mso-height-relative:margin" stroked="f">
            <v:textbox style="mso-next-textbox:#_x0000_s1675">
              <w:txbxContent>
                <w:p w:rsidR="00B34B0F" w:rsidRPr="001D73C1" w:rsidRDefault="00B34B0F" w:rsidP="008E1408">
                  <w:pPr>
                    <w:rPr>
                      <w:sz w:val="22"/>
                      <w:szCs w:val="22"/>
                    </w:rPr>
                  </w:pPr>
                  <w:r w:rsidRPr="001D73C1">
                    <w:rPr>
                      <w:sz w:val="22"/>
                      <w:szCs w:val="22"/>
                    </w:rPr>
                    <w:t xml:space="preserve">Gráfico 7.13 – Relação comprimento/largura </w:t>
                  </w:r>
                  <w:r>
                    <w:rPr>
                      <w:sz w:val="22"/>
                      <w:szCs w:val="22"/>
                    </w:rPr>
                    <w:t xml:space="preserve">(em mm) </w:t>
                  </w:r>
                  <w:r w:rsidRPr="001D73C1">
                    <w:rPr>
                      <w:sz w:val="22"/>
                      <w:szCs w:val="22"/>
                    </w:rPr>
                    <w:t>dos núcleos recolhidas em cada sítio.</w:t>
                  </w:r>
                </w:p>
                <w:p w:rsidR="00B34B0F" w:rsidRDefault="00B34B0F" w:rsidP="008E1408"/>
                <w:p w:rsidR="00B34B0F" w:rsidRDefault="00B34B0F" w:rsidP="008E1408"/>
                <w:p w:rsidR="00B34B0F" w:rsidRDefault="00B34B0F" w:rsidP="008E1408"/>
              </w:txbxContent>
            </v:textbox>
          </v:shape>
        </w:pict>
      </w:r>
      <w:r w:rsidR="008E1408">
        <w:rPr>
          <w:noProof/>
        </w:rPr>
        <w:drawing>
          <wp:inline distT="0" distB="0" distL="0" distR="0">
            <wp:extent cx="5608955" cy="2541905"/>
            <wp:effectExtent l="0" t="0" r="0" b="0"/>
            <wp:docPr id="466"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 xml:space="preserve">Em termos de levantamentos identificados nos núcleos verifica-se que, embora todos os conjuntos apresentem uma maioria de núcleos com poucos levantamentos, notam-se algumas diferenças (gráfico 7.14). De facto, enquanto nas estações dos Pegos do Tejo 2 e da Tapada do Montinho os núcleos que apresentem três, quatro e cinco levantamentos constituem a quase totalidade do conjunto nuclear, na estação do Azinhal a supremacia assiste aos núcleos com seis, sete e oito levantamentos. De notar que no caso dos Pegos do Tejo 2, o maior número de núcleos apresenta quatro levantamentos enquanto no Azinhal são os núcleos com cinco levantamentos que dominam ligeiramente. Em qualquer dos </w:t>
      </w:r>
      <w:r w:rsidR="00531563">
        <w:t>casos, núcleos</w:t>
      </w:r>
      <w:r>
        <w:t xml:space="preserve"> com mais de oito levantamentos são residuais. </w:t>
      </w:r>
    </w:p>
    <w:p w:rsidR="008E1408" w:rsidRDefault="008E1408" w:rsidP="008E1408">
      <w:pPr>
        <w:spacing w:line="360" w:lineRule="auto"/>
        <w:jc w:val="both"/>
      </w:pPr>
      <w:r>
        <w:rPr>
          <w:noProof/>
        </w:rPr>
        <w:drawing>
          <wp:inline distT="0" distB="0" distL="0" distR="0">
            <wp:extent cx="4572000" cy="2743200"/>
            <wp:effectExtent l="0" t="0" r="0" b="0"/>
            <wp:docPr id="467"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8E1408" w:rsidRDefault="00EA3774" w:rsidP="008E1408">
      <w:pPr>
        <w:spacing w:line="360" w:lineRule="auto"/>
        <w:jc w:val="both"/>
      </w:pPr>
      <w:r>
        <w:rPr>
          <w:lang w:eastAsia="en-US"/>
        </w:rPr>
        <w:pict>
          <v:shape id="_x0000_s1676" type="#_x0000_t202" style="position:absolute;left:0;text-align:left;margin-left:0;margin-top:0;width:362.55pt;height:34pt;z-index:251845632;mso-position-horizontal:center;mso-width-relative:margin;mso-height-relative:margin" stroked="f">
            <v:textbox style="mso-next-textbox:#_x0000_s1676">
              <w:txbxContent>
                <w:p w:rsidR="00B34B0F" w:rsidRPr="001D73C1" w:rsidRDefault="00B34B0F" w:rsidP="008E1408">
                  <w:pPr>
                    <w:rPr>
                      <w:sz w:val="22"/>
                      <w:szCs w:val="22"/>
                    </w:rPr>
                  </w:pPr>
                  <w:r w:rsidRPr="001D73C1">
                    <w:rPr>
                      <w:sz w:val="22"/>
                      <w:szCs w:val="22"/>
                    </w:rPr>
                    <w:t>Gráfico 7.14- Número de negativos de levantamentos dos núcleos recolhidas em cada sítio.</w:t>
                  </w:r>
                </w:p>
                <w:p w:rsidR="00B34B0F" w:rsidRDefault="00B34B0F" w:rsidP="008E1408"/>
              </w:txbxContent>
            </v:textbox>
          </v:shape>
        </w:pict>
      </w:r>
    </w:p>
    <w:p w:rsidR="008E1408" w:rsidRDefault="008E1408" w:rsidP="00531563">
      <w:pPr>
        <w:spacing w:line="360" w:lineRule="auto"/>
        <w:ind w:firstLine="708"/>
        <w:jc w:val="both"/>
      </w:pPr>
      <w:r>
        <w:lastRenderedPageBreak/>
        <w:t xml:space="preserve">De um modo geral, e no que aos núcleos das três estações estudadas diz respeito, o que se verifica é uma grande variabilidade na sua morfologia e na forma de abordar a massa de matéria-prima disponível. Ao lado de cadeias operatórias elaboradas, de tipo Levallois no sentido clássico do termo, e discoídes, aparecem outros tipos de debitagem mais oportunísticas, cujo objectivo é suprir uma necessidade imediata de suportes em que o esquema mental subjacente se reduz à sua mais simples expressão. Esses produtos revelam uma habilidade de adaptar as capacidades técnicas às necessidades imediatas, sem floreados desnecessários quando o que se pretende é rapidez. </w:t>
      </w:r>
    </w:p>
    <w:p w:rsidR="008E1408" w:rsidRDefault="008E1408" w:rsidP="00531563">
      <w:pPr>
        <w:pStyle w:val="Corpodetexto"/>
        <w:spacing w:after="0" w:line="360" w:lineRule="auto"/>
        <w:ind w:firstLine="708"/>
        <w:jc w:val="both"/>
      </w:pPr>
      <w:r w:rsidRPr="00D22457">
        <w:t>E</w:t>
      </w:r>
      <w:r>
        <w:t>mbora em determinada bibliografia se insista na definição das ocupações em termos de exclusividade dos esquemas de produção, apenas se admitindo uma variabilidade imposta pela matéria-prima,</w:t>
      </w:r>
      <w:r w:rsidRPr="005B2FB2">
        <w:t xml:space="preserve"> </w:t>
      </w:r>
      <w:r>
        <w:t xml:space="preserve">esta diversidade tecnológica tem sido observada noutros locais, nomeadamente nos conjuntos cantábricos. De facto, na realidade destes conjuntos, com suficiente validade estatística, não se encontra uma exclusividade absoluta de um só esquema, aparecendo sempre processos alternativos ao esquema principal. E isso verifica-se em elementos procedentes de fases iniciais de processos principais ou em relação a outras cadeias operativas independentes, com os seus próprios ritmos e tecnicamente diferenciadas desde a captação </w:t>
      </w:r>
      <w:r w:rsidRPr="001B1BAB">
        <w:t xml:space="preserve">(Carríon </w:t>
      </w:r>
      <w:r w:rsidRPr="004232EA">
        <w:rPr>
          <w:i/>
        </w:rPr>
        <w:t>et al</w:t>
      </w:r>
      <w:r>
        <w:rPr>
          <w:i/>
        </w:rPr>
        <w:t>,</w:t>
      </w:r>
      <w:r w:rsidRPr="001B1BAB">
        <w:t xml:space="preserve"> 2008)</w:t>
      </w:r>
      <w:r>
        <w:t>.</w:t>
      </w:r>
    </w:p>
    <w:p w:rsidR="008E1408" w:rsidRDefault="008E1408" w:rsidP="00531563">
      <w:pPr>
        <w:pStyle w:val="Corpodetexto"/>
        <w:spacing w:after="0" w:line="360" w:lineRule="auto"/>
        <w:ind w:firstLine="708"/>
        <w:jc w:val="both"/>
      </w:pPr>
      <w:r>
        <w:t xml:space="preserve">No caso do Arneiro, parece sugerir-se uma diferenciação entre as cadeias operatórias mais complexas que poderão corresponder à produção de núcleos cujo objectivo é a exportação, no sentido em que a sua função é fazer parte de um conjunto lítico a ser transportado e que possa ser utilizado como base para suportes, em locais onde a matéria-prima pode não existir ou não haja tempo para andar a recolhê-la. Outros tipos de cadeias operatórias indiciam uma permanência numa área onde a matéria-prima é abundante e onde o essencial restringe-se à resolução de uma necessidade imediata de um gume cortante. </w:t>
      </w:r>
    </w:p>
    <w:p w:rsidR="008E1408" w:rsidRDefault="008E1408" w:rsidP="00531563">
      <w:pPr>
        <w:pStyle w:val="Corpodetexto"/>
        <w:spacing w:after="0" w:line="360" w:lineRule="auto"/>
        <w:ind w:firstLine="708"/>
        <w:jc w:val="both"/>
      </w:pPr>
      <w:r>
        <w:t xml:space="preserve">A indústria lítica do Arneiro, salvo a estação dos Pegos do Tejo 2, é reduzida em termos de utensílios retocados (gráfico 7.15). Na estação da Tapada do Montinho as lascas que apresentam trabalho de retoque, representam apenas 10% do total das lascas recolhidas em escavação. No conjunto arqueológico do Azinhal, as lascas com alteração secundária intencional, correspondem a cerca de 15 % do total das lascas recolhidas na estação. Na estação dos Pegos do Tejo 2 os valores de utensílios sobem astronomicamente quando comparado com as duas outras estações, representando cerca de 60% das lascas identificadas nesta colecção. Esta diferença poderá estar intimamente </w:t>
      </w:r>
      <w:r>
        <w:lastRenderedPageBreak/>
        <w:t>ligada à tipologia e duração da ocupação humana aqui documentada. Mas não podemos esquecer que, como se viu acima, esta estação apresentou uma percentagem menor de lascas em relação ao total do espólio lítico. A conjunção destes dois dados poderá indiciar que</w:t>
      </w:r>
      <w:r w:rsidR="00531563">
        <w:t>,</w:t>
      </w:r>
      <w:r>
        <w:t xml:space="preserve"> parte do material lascado terá sido transportado para fora da estação, ou poderá concentrar-se noutra zona da estação ainda não escavada.</w:t>
      </w:r>
    </w:p>
    <w:p w:rsidR="008E1408" w:rsidRPr="00D22457" w:rsidRDefault="008E1408" w:rsidP="008E1408">
      <w:pPr>
        <w:pStyle w:val="Corpodetexto"/>
        <w:spacing w:after="0" w:line="360" w:lineRule="auto"/>
        <w:jc w:val="both"/>
      </w:pPr>
    </w:p>
    <w:p w:rsidR="008E1408" w:rsidRPr="009F0B0A" w:rsidRDefault="00EA3774" w:rsidP="008E1408">
      <w:pPr>
        <w:spacing w:line="360" w:lineRule="auto"/>
        <w:jc w:val="both"/>
      </w:pPr>
      <w:r>
        <w:rPr>
          <w:lang w:eastAsia="en-US"/>
        </w:rPr>
        <w:pict>
          <v:shape id="_x0000_s1678" type="#_x0000_t202" style="position:absolute;left:0;text-align:left;margin-left:25.45pt;margin-top:218pt;width:373.5pt;height:45.15pt;z-index:251847680;mso-height-percent:200;mso-height-percent:200;mso-width-relative:margin;mso-height-relative:margin" stroked="f">
            <v:textbox style="mso-next-textbox:#_x0000_s1678;mso-fit-shape-to-text:t">
              <w:txbxContent>
                <w:p w:rsidR="00B34B0F" w:rsidRPr="001D73C1" w:rsidRDefault="00B34B0F" w:rsidP="008E1408">
                  <w:pPr>
                    <w:rPr>
                      <w:sz w:val="22"/>
                      <w:szCs w:val="22"/>
                    </w:rPr>
                  </w:pPr>
                  <w:r w:rsidRPr="001D73C1">
                    <w:rPr>
                      <w:sz w:val="22"/>
                      <w:szCs w:val="22"/>
                    </w:rPr>
                    <w:t xml:space="preserve">Gráfico 7.15- Percentagem de alteração secundária intencional nas colecções líticas dos Pegos do Tejo 2, Azinhal e Tapada do Montinho em relação ao total do conjunto das lascas. </w:t>
                  </w:r>
                </w:p>
              </w:txbxContent>
            </v:textbox>
          </v:shape>
        </w:pict>
      </w:r>
      <w:r w:rsidR="008E1408">
        <w:rPr>
          <w:noProof/>
        </w:rPr>
        <w:drawing>
          <wp:inline distT="0" distB="0" distL="0" distR="0">
            <wp:extent cx="4572000" cy="2743200"/>
            <wp:effectExtent l="0" t="0" r="0" b="0"/>
            <wp:docPr id="468"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Default="008E1408" w:rsidP="00531563">
      <w:pPr>
        <w:spacing w:line="360" w:lineRule="auto"/>
        <w:ind w:firstLine="708"/>
        <w:jc w:val="both"/>
      </w:pPr>
      <w:r>
        <w:t xml:space="preserve">De realçar que as lascas sem qualquer retoque, entalhe ou denticulado constituem, </w:t>
      </w:r>
      <w:r w:rsidRPr="00143824">
        <w:rPr>
          <w:i/>
        </w:rPr>
        <w:t>per si</w:t>
      </w:r>
      <w:r>
        <w:rPr>
          <w:i/>
        </w:rPr>
        <w:t>,</w:t>
      </w:r>
      <w:r>
        <w:t xml:space="preserve"> uma excelente ferramenta. Os gumes “</w:t>
      </w:r>
      <w:r w:rsidRPr="00E8205E">
        <w:rPr>
          <w:i/>
        </w:rPr>
        <w:t>brut de debitage</w:t>
      </w:r>
      <w:r>
        <w:t>” apresentam todas as características físicas para poderem ser utilizados sem qualquer outra modificação.</w:t>
      </w:r>
    </w:p>
    <w:p w:rsidR="008E1408" w:rsidRDefault="008E1408" w:rsidP="00531563">
      <w:pPr>
        <w:spacing w:line="360" w:lineRule="auto"/>
        <w:ind w:firstLine="708"/>
        <w:jc w:val="both"/>
      </w:pPr>
      <w:r>
        <w:t>É o que acontece no sítio de Bel-Soleil (Haute –</w:t>
      </w:r>
      <w:r w:rsidR="00531563">
        <w:t xml:space="preserve"> Garronne</w:t>
      </w:r>
      <w:r>
        <w:t xml:space="preserve">, França) </w:t>
      </w:r>
      <w:r w:rsidR="0019110D">
        <w:t>onde a</w:t>
      </w:r>
      <w:r>
        <w:t xml:space="preserve"> utensilagem retocada é rara e atípica. Actualmente</w:t>
      </w:r>
      <w:proofErr w:type="gramStart"/>
      <w:r>
        <w:t>,</w:t>
      </w:r>
      <w:proofErr w:type="gramEnd"/>
      <w:r>
        <w:t xml:space="preserve"> tem sido aceite que a utensilagem não se reduz apenas a peças retocadas e sabe-se que os produtos de debitagem foram frequentemente utilizados em bruto. Os produtos com gumes robustos e eficazes não necessitam praticamente de qualquer tipo de retoque, o que confere a estas indústrias um putativo carácter grosseiro </w:t>
      </w:r>
      <w:r w:rsidRPr="00CB05B0">
        <w:t xml:space="preserve">(Bruxelles </w:t>
      </w:r>
      <w:r w:rsidRPr="00C45D65">
        <w:rPr>
          <w:i/>
        </w:rPr>
        <w:t>et al</w:t>
      </w:r>
      <w:r w:rsidRPr="00CB05B0">
        <w:t>, 2008)</w:t>
      </w:r>
      <w:r>
        <w:t>.</w:t>
      </w:r>
    </w:p>
    <w:p w:rsidR="008E1408" w:rsidRPr="00CD4786" w:rsidRDefault="008E1408" w:rsidP="00531563">
      <w:pPr>
        <w:spacing w:line="360" w:lineRule="auto"/>
        <w:ind w:firstLine="708"/>
        <w:jc w:val="both"/>
      </w:pPr>
      <w:r w:rsidRPr="00CD4786">
        <w:t>Nas ocupações do Paleolítico médio do Vale do Ródano o tipo</w:t>
      </w:r>
      <w:r>
        <w:t xml:space="preserve"> de actividades não parece infe</w:t>
      </w:r>
      <w:r w:rsidRPr="00CD4786">
        <w:t>rir</w:t>
      </w:r>
      <w:r>
        <w:t xml:space="preserve"> com a escolha de um determinad</w:t>
      </w:r>
      <w:r w:rsidRPr="00CD4786">
        <w:t>o tipo de talhe, com a intensidade do retoque dos produtos e na composição tipológica das ferramentas</w:t>
      </w:r>
      <w:r>
        <w:t>. A única exce</w:t>
      </w:r>
      <w:r w:rsidRPr="00CD4786">
        <w:t>ção</w:t>
      </w:r>
      <w:r>
        <w:t xml:space="preserve"> </w:t>
      </w:r>
      <w:r>
        <w:lastRenderedPageBreak/>
        <w:t xml:space="preserve">identificada prende-se com a </w:t>
      </w:r>
      <w:r w:rsidR="00531563">
        <w:t xml:space="preserve">existência </w:t>
      </w:r>
      <w:r w:rsidR="0019110D" w:rsidRPr="00CD4786">
        <w:t>de</w:t>
      </w:r>
      <w:r w:rsidR="0019110D">
        <w:t xml:space="preserve"> </w:t>
      </w:r>
      <w:r w:rsidR="0019110D" w:rsidRPr="00CD4786">
        <w:t>utensilios</w:t>
      </w:r>
      <w:r w:rsidRPr="00CD4786">
        <w:t xml:space="preserve"> de grandes dimensões do sítio de Payre que provavelmente serviram para proce</w:t>
      </w:r>
      <w:r>
        <w:t>ssamento</w:t>
      </w:r>
      <w:r w:rsidRPr="00CD4786">
        <w:t xml:space="preserve"> de </w:t>
      </w:r>
      <w:r>
        <w:t>grandes ongulados como o rinoceronte (Moncel e</w:t>
      </w:r>
      <w:r w:rsidRPr="00637159">
        <w:t xml:space="preserve"> Daujeard</w:t>
      </w:r>
      <w:r>
        <w:t xml:space="preserve">, </w:t>
      </w:r>
      <w:r w:rsidRPr="00637159">
        <w:t>2012)</w:t>
      </w:r>
      <w:r>
        <w:t>.</w:t>
      </w:r>
      <w:r w:rsidRPr="00637159">
        <w:t xml:space="preserve"> </w:t>
      </w:r>
    </w:p>
    <w:p w:rsidR="008E1408" w:rsidRPr="00E16EC9" w:rsidRDefault="008E1408" w:rsidP="00531563">
      <w:pPr>
        <w:spacing w:line="360" w:lineRule="auto"/>
        <w:ind w:firstLine="708"/>
        <w:jc w:val="both"/>
      </w:pPr>
      <w:r w:rsidRPr="00CD4786">
        <w:t>Nas ocupações do Paleolítico médio do Vale do Ródano</w:t>
      </w:r>
      <w:r>
        <w:t xml:space="preserve">, enquanto a percentagem de utensílios é um bom indicador da duração da ocupação, a diversidade tipológica é pouco variada excepto no sítio de Payre. As percentagens mais baixas </w:t>
      </w:r>
      <w:proofErr w:type="gramStart"/>
      <w:r w:rsidRPr="00E16EC9">
        <w:t>(&lt;10%</w:t>
      </w:r>
      <w:proofErr w:type="gramEnd"/>
      <w:r w:rsidRPr="00E16EC9">
        <w:t>) registam-se em ocupações de longa duraç</w:t>
      </w:r>
      <w:r>
        <w:t xml:space="preserve">ão onde as cadeias operatórias aparecem completas </w:t>
      </w:r>
      <w:r w:rsidRPr="00E16EC9">
        <w:t>(&gt;30%)</w:t>
      </w:r>
      <w:r>
        <w:t xml:space="preserve"> e as mais latas aparecem no acampamento de Balazuc , de curta duração, onde as cadeias operatórias são parciais (38%). Esta tendência só não se verifica no Abri des Pêcheurs (9%) talvez devido ao uso de quartzo em muito breves ocupações (Moncel</w:t>
      </w:r>
      <w:r w:rsidR="0019110D">
        <w:t xml:space="preserve"> e Daujeard</w:t>
      </w:r>
      <w:r>
        <w:t xml:space="preserve">, </w:t>
      </w:r>
      <w:r w:rsidRPr="00E16EC9">
        <w:t xml:space="preserve">2012) </w:t>
      </w:r>
    </w:p>
    <w:p w:rsidR="008E1408" w:rsidRDefault="008E1408" w:rsidP="008E1408">
      <w:pPr>
        <w:pStyle w:val="Corpodetexto"/>
        <w:spacing w:line="360" w:lineRule="auto"/>
        <w:jc w:val="both"/>
      </w:pPr>
      <w:r>
        <w:t xml:space="preserve"> </w:t>
      </w:r>
      <w:r>
        <w:tab/>
        <w:t xml:space="preserve">Para outros autores (Pereira e Benedetti, 2013) existe a possibilidade que o acesso à matéria-prima, decorrente de condições climatéricas adversas, tenha também influenciado as estratégias de produção lítica. </w:t>
      </w:r>
    </w:p>
    <w:p w:rsidR="008E1408" w:rsidRDefault="008E1408" w:rsidP="008E1408">
      <w:pPr>
        <w:spacing w:line="360" w:lineRule="auto"/>
        <w:jc w:val="both"/>
      </w:pPr>
    </w:p>
    <w:p w:rsidR="008E1408" w:rsidRPr="009859AF" w:rsidRDefault="008E1408" w:rsidP="00531563">
      <w:pPr>
        <w:spacing w:line="360" w:lineRule="auto"/>
        <w:ind w:firstLine="708"/>
        <w:jc w:val="both"/>
      </w:pPr>
      <w:r>
        <w:t xml:space="preserve">Além da análise comparativa entre a indústria lítica dos três sítios estudados acima apresentada, existem peculiaridades inerentes a cada ocupação que merecem uma referência. Dos resultados obtidos com a análise do registo arqueológico recolhido na estação dos Pegos do Tejo 2 é possível retirar algumas perspectivas mais gerais quanto à indústria lítica presente nesta ocupação humana do final do Plistocénico médio. A </w:t>
      </w:r>
      <w:r w:rsidRPr="00B9727F">
        <w:t>presença relevante de lascas com</w:t>
      </w:r>
      <w:r>
        <w:t xml:space="preserve"> acidentes de Siret (N=</w:t>
      </w:r>
      <w:r w:rsidRPr="00B9727F">
        <w:t>9</w:t>
      </w:r>
      <w:r>
        <w:t xml:space="preserve">) é indicadora do uso de percutor duro (Turq, 2000). </w:t>
      </w:r>
      <w:r w:rsidRPr="009859AF">
        <w:t xml:space="preserve">Esta abundância de fracturas de tipo Siret é reconhecida também na grotte du Figuier (Ardèche) na ocupação das salas profundas (2 e 3), atribuídas ao Paleolítico médio (Moncel </w:t>
      </w:r>
      <w:r w:rsidRPr="009859AF">
        <w:rPr>
          <w:i/>
        </w:rPr>
        <w:t>et al</w:t>
      </w:r>
      <w:r>
        <w:rPr>
          <w:i/>
        </w:rPr>
        <w:t>,</w:t>
      </w:r>
      <w:r w:rsidRPr="009859AF">
        <w:t xml:space="preserve"> 2012)</w:t>
      </w:r>
      <w:r>
        <w:t>.</w:t>
      </w:r>
    </w:p>
    <w:p w:rsidR="008E1408" w:rsidRDefault="008E1408" w:rsidP="00531563">
      <w:pPr>
        <w:spacing w:line="360" w:lineRule="auto"/>
        <w:ind w:firstLine="708"/>
        <w:jc w:val="both"/>
      </w:pPr>
      <w:r w:rsidRPr="00134F16">
        <w:t>A grande</w:t>
      </w:r>
      <w:r>
        <w:t xml:space="preserve"> percentagem de lascas com córtex e o reduzido número de lascas sem córtex</w:t>
      </w:r>
      <w:proofErr w:type="gramStart"/>
      <w:r>
        <w:t>,</w:t>
      </w:r>
      <w:proofErr w:type="gramEnd"/>
      <w:r>
        <w:t xml:space="preserve"> indiciam que neste local se produziram muitos suportes que foram transportados para outros locais. O grande número de utensílios sobre lascas corticais e sobre fragmentos naturais indiciam que estes suportes eram utilizados localmente para as tarefas do dia-a-dia.</w:t>
      </w:r>
    </w:p>
    <w:p w:rsidR="008E1408" w:rsidRDefault="008E1408" w:rsidP="00531563">
      <w:pPr>
        <w:spacing w:line="360" w:lineRule="auto"/>
        <w:ind w:firstLine="708"/>
        <w:jc w:val="both"/>
      </w:pPr>
      <w:r>
        <w:t xml:space="preserve">Aparecem utensílios com características próprias, apresentando retoque e realizados preferencialmente sobre acidentes de Siret. Estes utensílios não seriam armaturas para ferramentas compósitas? Esta possibilidade é levantada também por Carríon e co-autores (2008), para lascas de pequena dimensão encontrada no sítio </w:t>
      </w:r>
      <w:r w:rsidR="00531563">
        <w:t xml:space="preserve">de </w:t>
      </w:r>
      <w:r w:rsidR="00531563">
        <w:lastRenderedPageBreak/>
        <w:t>L’Esquilleu</w:t>
      </w:r>
      <w:r>
        <w:t xml:space="preserve"> (Cantábria) </w:t>
      </w:r>
      <w:r w:rsidR="00531563">
        <w:t>e que resultaram</w:t>
      </w:r>
      <w:r>
        <w:t xml:space="preserve"> de uma debitagem discoíde. De facto estes autores apontam como finalidade para estes suportes o uso em ferramentas compósitas.  </w:t>
      </w:r>
    </w:p>
    <w:p w:rsidR="008E1408" w:rsidRDefault="008E1408" w:rsidP="00531563">
      <w:pPr>
        <w:spacing w:line="360" w:lineRule="auto"/>
        <w:ind w:firstLine="708"/>
        <w:jc w:val="both"/>
      </w:pPr>
      <w:r>
        <w:t xml:space="preserve">Na estação dos Pegos do Tejo 2 a presença de percutores é muito numerosa (tabela 7.1). No sítio de Les Bosses, localizado na região do Lot, no sudoeste de França, foram identificados 14 percutores, permitindo alguma comparação com o registo arqueológico dos Pegos do Tejo 2. Existe uma grande diferença entre as áreas escavadas nos dois </w:t>
      </w:r>
      <w:r w:rsidR="00531563">
        <w:t>sítios, 8</w:t>
      </w:r>
      <w:r>
        <w:t xml:space="preserve"> m² nos pegos do Tejo 2, ±1000 </w:t>
      </w:r>
      <w:r w:rsidR="00531563">
        <w:t>m² na</w:t>
      </w:r>
      <w:r>
        <w:t xml:space="preserve"> estação de Les Bosses (</w:t>
      </w:r>
      <w:r w:rsidRPr="00134F16">
        <w:t>Jarry</w:t>
      </w:r>
      <w:r w:rsidRPr="00134F16">
        <w:rPr>
          <w:i/>
        </w:rPr>
        <w:t xml:space="preserve"> et al</w:t>
      </w:r>
      <w:r>
        <w:t>, 2004). Em termos de comparação, se o sítio de Les Bosses apresentasse a mesma percentagem de percutores que a estação de Pegos do Tejo 2, deveria apresentar mais de 1000 percutores! Além disso mais de metade dos percutores identificados na estação de Les Bosses encontram-se fragmentados e por isso incompletos. (Mourre</w:t>
      </w:r>
      <w:r w:rsidRPr="00D35F5B">
        <w:t xml:space="preserve"> </w:t>
      </w:r>
      <w:r w:rsidRPr="00134F16">
        <w:rPr>
          <w:i/>
        </w:rPr>
        <w:t>et al</w:t>
      </w:r>
      <w:r>
        <w:t xml:space="preserve">, </w:t>
      </w:r>
      <w:r w:rsidRPr="00D35F5B">
        <w:t>2007</w:t>
      </w:r>
      <w:r>
        <w:t>).</w:t>
      </w:r>
      <w:r w:rsidRPr="00134F16">
        <w:t xml:space="preserve"> </w:t>
      </w:r>
      <w:r>
        <w:t xml:space="preserve">Estamos perante um sítio onde se talhou muito, o que o registo arqueológico não confirma ou estes “percutores” teriam outra finalidade? </w:t>
      </w:r>
    </w:p>
    <w:tbl>
      <w:tblPr>
        <w:tblW w:w="7797" w:type="dxa"/>
        <w:tblInd w:w="70" w:type="dxa"/>
        <w:tblCellMar>
          <w:left w:w="70" w:type="dxa"/>
          <w:right w:w="70" w:type="dxa"/>
        </w:tblCellMar>
        <w:tblLook w:val="04A0"/>
      </w:tblPr>
      <w:tblGrid>
        <w:gridCol w:w="7797"/>
      </w:tblGrid>
      <w:tr w:rsidR="008E1408" w:rsidRPr="00661992" w:rsidTr="00E56A28">
        <w:trPr>
          <w:trHeight w:val="300"/>
        </w:trPr>
        <w:tc>
          <w:tcPr>
            <w:tcW w:w="7797" w:type="dxa"/>
            <w:tcBorders>
              <w:top w:val="nil"/>
              <w:left w:val="nil"/>
              <w:bottom w:val="nil"/>
              <w:right w:val="nil"/>
            </w:tcBorders>
            <w:shd w:val="clear" w:color="auto" w:fill="auto"/>
            <w:noWrap/>
            <w:vAlign w:val="bottom"/>
            <w:hideMark/>
          </w:tcPr>
          <w:tbl>
            <w:tblPr>
              <w:tblStyle w:val="SombreadoClaro-Cor5"/>
              <w:tblpPr w:leftFromText="141" w:rightFromText="141" w:vertAnchor="text" w:horzAnchor="page" w:tblpX="1186" w:tblpY="214"/>
              <w:tblOverlap w:val="never"/>
              <w:tblW w:w="5698" w:type="dxa"/>
              <w:tblLook w:val="04A0"/>
            </w:tblPr>
            <w:tblGrid>
              <w:gridCol w:w="1539"/>
              <w:gridCol w:w="19"/>
              <w:gridCol w:w="2207"/>
              <w:gridCol w:w="352"/>
              <w:gridCol w:w="1581"/>
            </w:tblGrid>
            <w:tr w:rsidR="008E1408" w:rsidRPr="00473D22" w:rsidTr="00E56A28">
              <w:trPr>
                <w:cnfStyle w:val="100000000000"/>
                <w:trHeight w:val="413"/>
              </w:trPr>
              <w:tc>
                <w:tcPr>
                  <w:cnfStyle w:val="001000000000"/>
                  <w:tcW w:w="1558" w:type="dxa"/>
                  <w:gridSpan w:val="2"/>
                </w:tcPr>
                <w:p w:rsidR="008E1408" w:rsidRPr="00E56A28" w:rsidRDefault="008E1408" w:rsidP="008E1408">
                  <w:pPr>
                    <w:spacing w:line="360" w:lineRule="auto"/>
                    <w:ind w:left="32"/>
                    <w:jc w:val="both"/>
                    <w:rPr>
                      <w:b w:val="0"/>
                      <w:color w:val="auto"/>
                      <w:sz w:val="22"/>
                      <w:szCs w:val="22"/>
                    </w:rPr>
                  </w:pPr>
                  <w:r w:rsidRPr="00E56A28">
                    <w:rPr>
                      <w:color w:val="auto"/>
                      <w:sz w:val="22"/>
                      <w:szCs w:val="22"/>
                    </w:rPr>
                    <w:t>Classe (g)</w:t>
                  </w:r>
                </w:p>
              </w:tc>
              <w:tc>
                <w:tcPr>
                  <w:tcW w:w="2207" w:type="dxa"/>
                </w:tcPr>
                <w:p w:rsidR="008E1408" w:rsidRPr="00E56A28" w:rsidRDefault="008E1408" w:rsidP="008E1408">
                  <w:pPr>
                    <w:spacing w:line="360" w:lineRule="auto"/>
                    <w:jc w:val="both"/>
                    <w:cnfStyle w:val="100000000000"/>
                    <w:rPr>
                      <w:b w:val="0"/>
                      <w:color w:val="auto"/>
                      <w:sz w:val="22"/>
                      <w:szCs w:val="22"/>
                    </w:rPr>
                  </w:pPr>
                  <w:r w:rsidRPr="00E56A28">
                    <w:rPr>
                      <w:color w:val="auto"/>
                      <w:sz w:val="22"/>
                      <w:szCs w:val="22"/>
                    </w:rPr>
                    <w:t>Pegos do Tejo 2</w:t>
                  </w:r>
                </w:p>
              </w:tc>
              <w:tc>
                <w:tcPr>
                  <w:tcW w:w="352" w:type="dxa"/>
                </w:tcPr>
                <w:p w:rsidR="008E1408" w:rsidRPr="00E56A28" w:rsidRDefault="008E1408" w:rsidP="008E1408">
                  <w:pPr>
                    <w:spacing w:line="360" w:lineRule="auto"/>
                    <w:jc w:val="both"/>
                    <w:cnfStyle w:val="100000000000"/>
                    <w:rPr>
                      <w:b w:val="0"/>
                      <w:color w:val="auto"/>
                      <w:sz w:val="22"/>
                      <w:szCs w:val="22"/>
                    </w:rPr>
                  </w:pPr>
                </w:p>
              </w:tc>
              <w:tc>
                <w:tcPr>
                  <w:tcW w:w="1581" w:type="dxa"/>
                </w:tcPr>
                <w:p w:rsidR="008E1408" w:rsidRPr="00E56A28" w:rsidRDefault="008E1408" w:rsidP="008E1408">
                  <w:pPr>
                    <w:spacing w:line="360" w:lineRule="auto"/>
                    <w:jc w:val="both"/>
                    <w:cnfStyle w:val="100000000000"/>
                    <w:rPr>
                      <w:b w:val="0"/>
                      <w:color w:val="auto"/>
                      <w:sz w:val="22"/>
                      <w:szCs w:val="22"/>
                    </w:rPr>
                  </w:pPr>
                  <w:r w:rsidRPr="00E56A28">
                    <w:rPr>
                      <w:color w:val="auto"/>
                      <w:sz w:val="22"/>
                      <w:szCs w:val="22"/>
                    </w:rPr>
                    <w:t>Les Bosses</w:t>
                  </w:r>
                </w:p>
              </w:tc>
            </w:tr>
            <w:tr w:rsidR="00531563" w:rsidRPr="00473D22" w:rsidTr="00E56A28">
              <w:trPr>
                <w:cnfStyle w:val="000000100000"/>
                <w:trHeight w:val="249"/>
              </w:trPr>
              <w:tc>
                <w:tcPr>
                  <w:cnfStyle w:val="001000000000"/>
                  <w:tcW w:w="1539" w:type="dxa"/>
                </w:tcPr>
                <w:p w:rsidR="008E1408" w:rsidRPr="00E56A28" w:rsidRDefault="008E1408" w:rsidP="008E1408">
                  <w:pPr>
                    <w:spacing w:line="360" w:lineRule="auto"/>
                    <w:jc w:val="both"/>
                    <w:rPr>
                      <w:color w:val="auto"/>
                      <w:sz w:val="22"/>
                      <w:szCs w:val="22"/>
                    </w:rPr>
                  </w:pPr>
                  <w:r w:rsidRPr="00E56A28">
                    <w:rPr>
                      <w:color w:val="auto"/>
                      <w:sz w:val="22"/>
                      <w:szCs w:val="22"/>
                    </w:rPr>
                    <w:t>0/100</w:t>
                  </w: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78</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43</w:t>
                  </w:r>
                </w:p>
              </w:tc>
            </w:tr>
            <w:tr w:rsidR="008E1408" w:rsidRPr="00473D22" w:rsidTr="00E56A28">
              <w:trPr>
                <w:trHeight w:val="261"/>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65</w:t>
                  </w:r>
                </w:p>
              </w:tc>
            </w:tr>
            <w:tr w:rsidR="00531563" w:rsidRPr="00473D22" w:rsidTr="00E56A28">
              <w:trPr>
                <w:cnfStyle w:val="000000100000"/>
                <w:trHeight w:val="239"/>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84</w:t>
                  </w:r>
                </w:p>
              </w:tc>
            </w:tr>
            <w:tr w:rsidR="008E1408" w:rsidRPr="00473D22" w:rsidTr="00E56A28">
              <w:trPr>
                <w:trHeight w:val="245"/>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91</w:t>
                  </w:r>
                </w:p>
              </w:tc>
            </w:tr>
            <w:tr w:rsidR="00531563" w:rsidRPr="00473D22" w:rsidTr="00E56A28">
              <w:trPr>
                <w:cnfStyle w:val="000000100000"/>
                <w:trHeight w:val="251"/>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100/200</w:t>
                  </w: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156</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100</w:t>
                  </w:r>
                </w:p>
              </w:tc>
            </w:tr>
            <w:tr w:rsidR="008E1408" w:rsidRPr="00473D22" w:rsidTr="00E56A28">
              <w:trPr>
                <w:trHeight w:val="271"/>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104</w:t>
                  </w:r>
                </w:p>
              </w:tc>
            </w:tr>
            <w:tr w:rsidR="00531563" w:rsidRPr="00473D22" w:rsidTr="00E56A28">
              <w:trPr>
                <w:cnfStyle w:val="000000100000"/>
                <w:trHeight w:val="277"/>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139</w:t>
                  </w:r>
                </w:p>
              </w:tc>
            </w:tr>
            <w:tr w:rsidR="008E1408" w:rsidRPr="00473D22" w:rsidTr="00E56A28">
              <w:trPr>
                <w:trHeight w:val="297"/>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163</w:t>
                  </w:r>
                </w:p>
              </w:tc>
            </w:tr>
            <w:tr w:rsidR="00531563" w:rsidRPr="00473D22" w:rsidTr="00E56A28">
              <w:trPr>
                <w:cnfStyle w:val="000000100000"/>
                <w:trHeight w:val="303"/>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168</w:t>
                  </w:r>
                </w:p>
              </w:tc>
            </w:tr>
            <w:tr w:rsidR="008E1408" w:rsidRPr="00473D22" w:rsidTr="00E56A28">
              <w:trPr>
                <w:trHeight w:val="309"/>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200/300</w:t>
                  </w: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p>
              </w:tc>
            </w:tr>
            <w:tr w:rsidR="00531563" w:rsidRPr="00473D22" w:rsidTr="00E56A28">
              <w:trPr>
                <w:cnfStyle w:val="000000100000"/>
                <w:trHeight w:val="329"/>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300/400</w:t>
                  </w: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314</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309</w:t>
                  </w:r>
                </w:p>
              </w:tc>
            </w:tr>
            <w:tr w:rsidR="008E1408" w:rsidRPr="00473D22" w:rsidTr="00E56A28">
              <w:trPr>
                <w:trHeight w:val="335"/>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r w:rsidRPr="00E56A28">
                    <w:rPr>
                      <w:color w:val="auto"/>
                      <w:sz w:val="22"/>
                      <w:szCs w:val="22"/>
                    </w:rPr>
                    <w:t>317</w:t>
                  </w: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p>
              </w:tc>
            </w:tr>
            <w:tr w:rsidR="00531563" w:rsidRPr="00473D22" w:rsidTr="00E56A28">
              <w:trPr>
                <w:cnfStyle w:val="000000100000"/>
                <w:trHeight w:val="214"/>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341</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p>
              </w:tc>
            </w:tr>
            <w:tr w:rsidR="008E1408" w:rsidRPr="00473D22" w:rsidTr="00E56A28">
              <w:trPr>
                <w:trHeight w:val="219"/>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400/500</w:t>
                  </w: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r w:rsidRPr="00E56A28">
                    <w:rPr>
                      <w:color w:val="auto"/>
                      <w:sz w:val="22"/>
                      <w:szCs w:val="22"/>
                    </w:rPr>
                    <w:t>422</w:t>
                  </w: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p>
              </w:tc>
            </w:tr>
            <w:tr w:rsidR="00531563" w:rsidRPr="00473D22" w:rsidTr="00E56A28">
              <w:trPr>
                <w:cnfStyle w:val="000000100000"/>
                <w:trHeight w:val="225"/>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495</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p>
              </w:tc>
            </w:tr>
            <w:tr w:rsidR="008E1408" w:rsidRPr="00473D22" w:rsidTr="00E56A28">
              <w:trPr>
                <w:trHeight w:val="103"/>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500/600</w:t>
                  </w: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r w:rsidRPr="00E56A28">
                    <w:rPr>
                      <w:color w:val="auto"/>
                      <w:sz w:val="22"/>
                      <w:szCs w:val="22"/>
                    </w:rPr>
                    <w:t>517</w:t>
                  </w: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537</w:t>
                  </w:r>
                </w:p>
              </w:tc>
            </w:tr>
            <w:tr w:rsidR="00531563" w:rsidRPr="00473D22" w:rsidTr="00E56A28">
              <w:trPr>
                <w:cnfStyle w:val="000000100000"/>
                <w:trHeight w:val="443"/>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r w:rsidRPr="00E56A28">
                    <w:rPr>
                      <w:color w:val="auto"/>
                      <w:sz w:val="22"/>
                      <w:szCs w:val="22"/>
                    </w:rPr>
                    <w:t>586</w:t>
                  </w: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547</w:t>
                  </w:r>
                </w:p>
              </w:tc>
            </w:tr>
            <w:tr w:rsidR="008E1408" w:rsidRPr="00473D22" w:rsidTr="00E56A28">
              <w:trPr>
                <w:trHeight w:val="242"/>
              </w:trPr>
              <w:tc>
                <w:tcPr>
                  <w:cnfStyle w:val="001000000000"/>
                  <w:tcW w:w="1539" w:type="dxa"/>
                </w:tcPr>
                <w:p w:rsidR="008E1408" w:rsidRPr="00E56A28" w:rsidRDefault="008E1408" w:rsidP="008E1408">
                  <w:pPr>
                    <w:spacing w:line="360" w:lineRule="auto"/>
                    <w:ind w:left="32"/>
                    <w:jc w:val="both"/>
                    <w:rPr>
                      <w:color w:val="auto"/>
                      <w:sz w:val="22"/>
                      <w:szCs w:val="22"/>
                    </w:rPr>
                  </w:pPr>
                  <w:r w:rsidRPr="00E56A28">
                    <w:rPr>
                      <w:color w:val="auto"/>
                      <w:sz w:val="22"/>
                      <w:szCs w:val="22"/>
                    </w:rPr>
                    <w:t>800/900</w:t>
                  </w:r>
                </w:p>
              </w:tc>
              <w:tc>
                <w:tcPr>
                  <w:tcW w:w="2226" w:type="dxa"/>
                  <w:gridSpan w:val="2"/>
                </w:tcPr>
                <w:p w:rsidR="008E1408" w:rsidRPr="00E56A28" w:rsidRDefault="008E1408" w:rsidP="008E1408">
                  <w:pPr>
                    <w:spacing w:line="360" w:lineRule="auto"/>
                    <w:ind w:left="32"/>
                    <w:jc w:val="both"/>
                    <w:cnfStyle w:val="000000000000"/>
                    <w:rPr>
                      <w:color w:val="auto"/>
                      <w:sz w:val="22"/>
                      <w:szCs w:val="22"/>
                    </w:rPr>
                  </w:pPr>
                </w:p>
              </w:tc>
              <w:tc>
                <w:tcPr>
                  <w:tcW w:w="352" w:type="dxa"/>
                </w:tcPr>
                <w:p w:rsidR="008E1408" w:rsidRPr="00E56A28" w:rsidRDefault="008E1408" w:rsidP="008E1408">
                  <w:pPr>
                    <w:spacing w:line="360" w:lineRule="auto"/>
                    <w:jc w:val="both"/>
                    <w:cnfStyle w:val="000000000000"/>
                    <w:rPr>
                      <w:color w:val="auto"/>
                      <w:sz w:val="22"/>
                      <w:szCs w:val="22"/>
                    </w:rPr>
                  </w:pPr>
                </w:p>
              </w:tc>
              <w:tc>
                <w:tcPr>
                  <w:tcW w:w="1581" w:type="dxa"/>
                </w:tcPr>
                <w:p w:rsidR="008E1408" w:rsidRPr="00E56A28" w:rsidRDefault="008E1408" w:rsidP="008E1408">
                  <w:pPr>
                    <w:spacing w:line="360" w:lineRule="auto"/>
                    <w:jc w:val="both"/>
                    <w:cnfStyle w:val="000000000000"/>
                    <w:rPr>
                      <w:color w:val="auto"/>
                      <w:sz w:val="22"/>
                      <w:szCs w:val="22"/>
                    </w:rPr>
                  </w:pPr>
                  <w:r w:rsidRPr="00E56A28">
                    <w:rPr>
                      <w:color w:val="auto"/>
                      <w:sz w:val="22"/>
                      <w:szCs w:val="22"/>
                    </w:rPr>
                    <w:t>850</w:t>
                  </w:r>
                </w:p>
              </w:tc>
            </w:tr>
            <w:tr w:rsidR="00531563" w:rsidRPr="00473D22" w:rsidTr="00E56A28">
              <w:trPr>
                <w:cnfStyle w:val="000000100000"/>
                <w:trHeight w:val="285"/>
              </w:trPr>
              <w:tc>
                <w:tcPr>
                  <w:cnfStyle w:val="001000000000"/>
                  <w:tcW w:w="1539" w:type="dxa"/>
                </w:tcPr>
                <w:p w:rsidR="008E1408" w:rsidRPr="00E56A28" w:rsidRDefault="008E1408" w:rsidP="008E1408">
                  <w:pPr>
                    <w:spacing w:line="360" w:lineRule="auto"/>
                    <w:ind w:left="32"/>
                    <w:jc w:val="both"/>
                    <w:rPr>
                      <w:color w:val="auto"/>
                      <w:sz w:val="22"/>
                      <w:szCs w:val="22"/>
                    </w:rPr>
                  </w:pPr>
                </w:p>
              </w:tc>
              <w:tc>
                <w:tcPr>
                  <w:tcW w:w="2226" w:type="dxa"/>
                  <w:gridSpan w:val="2"/>
                </w:tcPr>
                <w:p w:rsidR="008E1408" w:rsidRPr="00E56A28" w:rsidRDefault="008E1408" w:rsidP="008E1408">
                  <w:pPr>
                    <w:spacing w:line="360" w:lineRule="auto"/>
                    <w:ind w:left="32"/>
                    <w:jc w:val="both"/>
                    <w:cnfStyle w:val="000000100000"/>
                    <w:rPr>
                      <w:color w:val="auto"/>
                      <w:sz w:val="22"/>
                      <w:szCs w:val="22"/>
                    </w:rPr>
                  </w:pPr>
                </w:p>
              </w:tc>
              <w:tc>
                <w:tcPr>
                  <w:tcW w:w="352" w:type="dxa"/>
                </w:tcPr>
                <w:p w:rsidR="008E1408" w:rsidRPr="00E56A28" w:rsidRDefault="008E1408" w:rsidP="008E1408">
                  <w:pPr>
                    <w:spacing w:line="360" w:lineRule="auto"/>
                    <w:jc w:val="both"/>
                    <w:cnfStyle w:val="000000100000"/>
                    <w:rPr>
                      <w:color w:val="auto"/>
                      <w:sz w:val="22"/>
                      <w:szCs w:val="22"/>
                    </w:rPr>
                  </w:pPr>
                </w:p>
              </w:tc>
              <w:tc>
                <w:tcPr>
                  <w:tcW w:w="1581" w:type="dxa"/>
                </w:tcPr>
                <w:p w:rsidR="008E1408" w:rsidRPr="00E56A28" w:rsidRDefault="008E1408" w:rsidP="008E1408">
                  <w:pPr>
                    <w:spacing w:line="360" w:lineRule="auto"/>
                    <w:jc w:val="both"/>
                    <w:cnfStyle w:val="000000100000"/>
                    <w:rPr>
                      <w:color w:val="auto"/>
                      <w:sz w:val="22"/>
                      <w:szCs w:val="22"/>
                    </w:rPr>
                  </w:pPr>
                  <w:r w:rsidRPr="00E56A28">
                    <w:rPr>
                      <w:color w:val="auto"/>
                      <w:sz w:val="22"/>
                      <w:szCs w:val="22"/>
                    </w:rPr>
                    <w:t>872</w:t>
                  </w:r>
                </w:p>
              </w:tc>
            </w:tr>
          </w:tbl>
          <w:p w:rsidR="008E1408" w:rsidRDefault="008E1408" w:rsidP="008E1408">
            <w:pPr>
              <w:spacing w:line="360" w:lineRule="auto"/>
              <w:ind w:left="781" w:hanging="73"/>
              <w:jc w:val="both"/>
            </w:pPr>
          </w:p>
          <w:p w:rsidR="008E1408" w:rsidRPr="00661992" w:rsidRDefault="008E1408" w:rsidP="00E56A28">
            <w:pPr>
              <w:spacing w:line="360" w:lineRule="auto"/>
              <w:jc w:val="both"/>
            </w:pPr>
          </w:p>
        </w:tc>
      </w:tr>
      <w:tr w:rsidR="008E1408" w:rsidRPr="00661992" w:rsidTr="00E56A28">
        <w:trPr>
          <w:trHeight w:val="300"/>
        </w:trPr>
        <w:tc>
          <w:tcPr>
            <w:tcW w:w="7797" w:type="dxa"/>
            <w:tcBorders>
              <w:top w:val="nil"/>
              <w:left w:val="nil"/>
              <w:bottom w:val="nil"/>
              <w:right w:val="nil"/>
            </w:tcBorders>
            <w:shd w:val="clear" w:color="auto" w:fill="auto"/>
            <w:noWrap/>
            <w:vAlign w:val="bottom"/>
            <w:hideMark/>
          </w:tcPr>
          <w:p w:rsidR="008E1408" w:rsidRPr="00661992" w:rsidRDefault="00EA3774" w:rsidP="008E1408">
            <w:pPr>
              <w:spacing w:line="360" w:lineRule="auto"/>
              <w:jc w:val="both"/>
              <w:rPr>
                <w:rFonts w:ascii="Calibri" w:hAnsi="Calibri"/>
                <w:color w:val="000000"/>
                <w:sz w:val="22"/>
                <w:szCs w:val="22"/>
              </w:rPr>
            </w:pPr>
            <w:r w:rsidRPr="00EA3774">
              <w:rPr>
                <w:lang w:eastAsia="en-US"/>
              </w:rPr>
              <w:pict>
                <v:shape id="_x0000_s1685" type="#_x0000_t202" style="position:absolute;left:0;text-align:left;margin-left:49.2pt;margin-top:2.25pt;width:296.5pt;height:45.15pt;z-index:251854848;mso-height-percent:200;mso-position-horizontal-relative:text;mso-position-vertical-relative:text;mso-height-percent:200;mso-width-relative:margin;mso-height-relative:margin" stroked="f">
                  <v:textbox style="mso-next-textbox:#_x0000_s1685;mso-fit-shape-to-text:t">
                    <w:txbxContent>
                      <w:p w:rsidR="00B34B0F" w:rsidRPr="004E0CA2" w:rsidRDefault="00B34B0F" w:rsidP="008E1408">
                        <w:pPr>
                          <w:rPr>
                            <w:sz w:val="22"/>
                            <w:szCs w:val="22"/>
                          </w:rPr>
                        </w:pPr>
                        <w:r w:rsidRPr="004E0CA2">
                          <w:rPr>
                            <w:sz w:val="22"/>
                            <w:szCs w:val="22"/>
                          </w:rPr>
                          <w:t xml:space="preserve">Tabela 7.1- Comparação dos </w:t>
                        </w:r>
                        <w:r>
                          <w:rPr>
                            <w:sz w:val="22"/>
                            <w:szCs w:val="22"/>
                          </w:rPr>
                          <w:t xml:space="preserve">percutores (peso) entre o sítio </w:t>
                        </w:r>
                        <w:r w:rsidRPr="004E0CA2">
                          <w:rPr>
                            <w:sz w:val="22"/>
                            <w:szCs w:val="22"/>
                          </w:rPr>
                          <w:t xml:space="preserve">do Paleolítico médio inicial de Les Bosses, região do Lot, França e Pegos do Tejo 2. </w:t>
                        </w:r>
                      </w:p>
                    </w:txbxContent>
                  </v:textbox>
                </v:shape>
              </w:pict>
            </w:r>
          </w:p>
        </w:tc>
      </w:tr>
      <w:tr w:rsidR="008E1408" w:rsidRPr="00661992" w:rsidTr="00E56A28">
        <w:trPr>
          <w:trHeight w:val="300"/>
        </w:trPr>
        <w:tc>
          <w:tcPr>
            <w:tcW w:w="7797" w:type="dxa"/>
            <w:tcBorders>
              <w:top w:val="nil"/>
              <w:left w:val="nil"/>
              <w:bottom w:val="nil"/>
              <w:right w:val="nil"/>
            </w:tcBorders>
            <w:shd w:val="clear" w:color="auto" w:fill="auto"/>
            <w:noWrap/>
            <w:vAlign w:val="bottom"/>
            <w:hideMark/>
          </w:tcPr>
          <w:p w:rsidR="008E1408" w:rsidRPr="00661992" w:rsidRDefault="008E1408" w:rsidP="008E1408">
            <w:pPr>
              <w:spacing w:line="360" w:lineRule="auto"/>
              <w:jc w:val="both"/>
            </w:pPr>
          </w:p>
        </w:tc>
      </w:tr>
      <w:tr w:rsidR="008E1408" w:rsidRPr="00661992" w:rsidTr="00E56A28">
        <w:trPr>
          <w:trHeight w:val="300"/>
        </w:trPr>
        <w:tc>
          <w:tcPr>
            <w:tcW w:w="7797" w:type="dxa"/>
            <w:tcBorders>
              <w:top w:val="nil"/>
              <w:left w:val="nil"/>
              <w:bottom w:val="nil"/>
              <w:right w:val="nil"/>
            </w:tcBorders>
            <w:shd w:val="clear" w:color="auto" w:fill="auto"/>
            <w:noWrap/>
            <w:vAlign w:val="bottom"/>
            <w:hideMark/>
          </w:tcPr>
          <w:p w:rsidR="008E1408" w:rsidRPr="00661992" w:rsidRDefault="008E1408" w:rsidP="008E1408">
            <w:pPr>
              <w:spacing w:line="360" w:lineRule="auto"/>
              <w:jc w:val="both"/>
            </w:pPr>
          </w:p>
        </w:tc>
      </w:tr>
    </w:tbl>
    <w:p w:rsidR="008E1408" w:rsidRDefault="008E1408" w:rsidP="008E1408">
      <w:pPr>
        <w:spacing w:line="360" w:lineRule="auto"/>
        <w:jc w:val="both"/>
      </w:pPr>
    </w:p>
    <w:p w:rsidR="008E1408" w:rsidRDefault="008E1408" w:rsidP="00E56A28">
      <w:pPr>
        <w:spacing w:line="360" w:lineRule="auto"/>
        <w:ind w:firstLine="708"/>
        <w:jc w:val="both"/>
      </w:pPr>
      <w:r>
        <w:t>A projecção do material coincide com a couraça pétrea. O nível pétreo e os materiais arqueológicos estão distribuídos verticalmente e horiz</w:t>
      </w:r>
      <w:r w:rsidR="00E56A28">
        <w:t>ontalmente no mesmo nível. Esta</w:t>
      </w:r>
      <w:r>
        <w:t xml:space="preserve"> projecção de material arqueológico parece evidenciar dois níveis distintos de ocupação. O primeiro coincide com o limite espacial da couraça pétrea e com o limite definido pelos buracos de poste. O nível inferior parece alastrar para o corte Norte. No entanto, os dois níveis estão interligados devendo corresponder a sucessivas ocupações do mesmo local. </w:t>
      </w:r>
    </w:p>
    <w:p w:rsidR="008E1408" w:rsidRPr="00E82224" w:rsidRDefault="008E1408" w:rsidP="00E56A28">
      <w:pPr>
        <w:spacing w:line="360" w:lineRule="auto"/>
        <w:ind w:firstLine="708"/>
        <w:jc w:val="both"/>
      </w:pPr>
      <w:r>
        <w:t xml:space="preserve">O nível superior, devido à elaboração das infra-estruras criadas (buracos de poste, lareira), parece indicar uma intenção de permanência sucessiva ou intermitente no mesmo lugar. Este pode ser um indicador que a deslocação destas comunidades não se regia por um padrão aleatório mas sim por uma migração sazonal, entre diferentes áreas de permanência. Esta faceta comportamental pode indicar um planeamento de longo prazo. </w:t>
      </w:r>
    </w:p>
    <w:p w:rsidR="008E1408" w:rsidRPr="00E82224" w:rsidRDefault="008E1408" w:rsidP="00E56A28">
      <w:pPr>
        <w:spacing w:line="360" w:lineRule="auto"/>
        <w:ind w:firstLine="708"/>
        <w:jc w:val="both"/>
        <w:rPr>
          <w:color w:val="FF0000"/>
        </w:rPr>
      </w:pPr>
      <w:r>
        <w:t>O biface encontrado junto à</w:t>
      </w:r>
      <w:r w:rsidRPr="00AB720F">
        <w:t xml:space="preserve"> lareira foi reutilizado. Tem duas patines diferentes coincidindo a parte menos patinada com o reavivamento para uso como raspadeira lateral. A matéria-prima apresenta características únicas e peculiares. Poderá ter sido recolhido por ser uma peça atractiva visualmente? </w:t>
      </w:r>
    </w:p>
    <w:p w:rsidR="008E1408" w:rsidRPr="004E0CA2" w:rsidRDefault="008E1408" w:rsidP="00E56A28">
      <w:pPr>
        <w:spacing w:line="360" w:lineRule="auto"/>
        <w:ind w:firstLine="708"/>
        <w:jc w:val="both"/>
        <w:rPr>
          <w:color w:val="FF0000"/>
        </w:rPr>
      </w:pPr>
      <w:r>
        <w:t>Nos Pegos do Tejo 2</w:t>
      </w:r>
      <w:r w:rsidRPr="00CF36F6">
        <w:t xml:space="preserve"> verificou-se a existência de bases naturais com apenas um ou dois levantamentos. </w:t>
      </w:r>
    </w:p>
    <w:p w:rsidR="008E1408" w:rsidRPr="00055E7F" w:rsidRDefault="008E1408" w:rsidP="00E56A28">
      <w:pPr>
        <w:spacing w:line="360" w:lineRule="auto"/>
        <w:ind w:firstLine="708"/>
        <w:jc w:val="both"/>
      </w:pPr>
      <w:r>
        <w:t>Nesta estação merece ainda referência os vestígios arqueológicos que materializam espaços estruturados. Como espaço estruturado entende-se a presença de dois tipos de estruturas localizadas na estação dos Pegos do Tejo 2 e que poderão estar interligadas.</w:t>
      </w:r>
    </w:p>
    <w:p w:rsidR="008E1408" w:rsidRDefault="008E1408" w:rsidP="00E56A28">
      <w:pPr>
        <w:spacing w:line="360" w:lineRule="auto"/>
        <w:ind w:firstLine="708"/>
        <w:jc w:val="both"/>
      </w:pPr>
      <w:r>
        <w:t>A primeira estrutura identificada corresponde a uma</w:t>
      </w:r>
      <w:r w:rsidRPr="00F80AD9">
        <w:t xml:space="preserve"> lareira</w:t>
      </w:r>
      <w:r>
        <w:t>, caracterizada como tal no capítulo 6.1.7. e está obviamente associada ao controlo e uso do fogo de forma consistente</w:t>
      </w:r>
      <w:r w:rsidRPr="00F80AD9">
        <w:t xml:space="preserve"> no sítio Pegos do Tejo 2</w:t>
      </w:r>
      <w:r>
        <w:t>. O uso do fogo</w:t>
      </w:r>
      <w:r w:rsidRPr="00F80AD9">
        <w:t xml:space="preserve"> </w:t>
      </w:r>
      <w:r>
        <w:t>neste local parece corroborado ainda pela presença do utensílio de quartzito queimado</w:t>
      </w:r>
      <w:r w:rsidRPr="00F80AD9">
        <w:t>.</w:t>
      </w:r>
      <w:r>
        <w:t xml:space="preserve"> O denticulado sobre lasca apresenta alteração cromática que indica que o quartzito foi aquecido embora não existem evidências que possam definir se este aquecimento foi intencional ou simplesmente acidental. Este comportamento </w:t>
      </w:r>
      <w:r w:rsidRPr="00F80AD9">
        <w:t>vem trazer novos dados sobre o mod</w:t>
      </w:r>
      <w:r>
        <w:t>o de vida durante o final do Pl</w:t>
      </w:r>
      <w:r w:rsidRPr="00F80AD9">
        <w:t>istocénico médio</w:t>
      </w:r>
      <w:r>
        <w:t>,</w:t>
      </w:r>
      <w:r w:rsidRPr="00F80AD9">
        <w:t xml:space="preserve"> no território nacional</w:t>
      </w:r>
      <w:r>
        <w:t>.</w:t>
      </w:r>
    </w:p>
    <w:p w:rsidR="008E1408" w:rsidRDefault="008E1408" w:rsidP="00E56A28">
      <w:pPr>
        <w:spacing w:line="360" w:lineRule="auto"/>
        <w:ind w:firstLine="708"/>
        <w:jc w:val="both"/>
      </w:pPr>
      <w:r>
        <w:lastRenderedPageBreak/>
        <w:t xml:space="preserve">A maioria dos investigadores concorda que a adaptação tecnológica, que consiste no controlo e uso do fogo, constitui uma mudança decisiva na forma de vida das populações pré-históricas. A conservação de vestígios de combustão em sítios de ar livre é mais problemática. Caso não existam vestígios estruturados torna-se impossível conseguir identificar áreas de combustão. </w:t>
      </w:r>
    </w:p>
    <w:p w:rsidR="008E1408" w:rsidRPr="008C3E13" w:rsidRDefault="008E1408" w:rsidP="00E56A28">
      <w:pPr>
        <w:spacing w:line="360" w:lineRule="auto"/>
        <w:ind w:firstLine="708"/>
        <w:jc w:val="both"/>
      </w:pPr>
      <w:r>
        <w:t xml:space="preserve">O aparecimento do fogo no registo arqueológico tem sido alvo de amplo debate e várias explicações e localizações têm sido propostas. </w:t>
      </w:r>
      <w:r w:rsidR="00E56A28">
        <w:t>Os registos mais antigos de associações entre grupos humanos e o fogo têm sido apresentados</w:t>
      </w:r>
      <w:r>
        <w:t xml:space="preserve"> em sítios do Plio-Plistocénico africano, datados de entre 2.0 e 1.5 Ma. Porém, o uso controlado do fogo nestes locais tem sido muito questionado, sendo apresentadas causas naturais para justificar a presença de fogo. Fora de África, a presença de faunas, vegetais e líticos queimados foram documentados no sítio de Gesher Benor Ya’aqov, com uma cronologia de 790 Ka </w:t>
      </w:r>
      <w:r w:rsidRPr="00A028A0">
        <w:t xml:space="preserve">(Goren-Inbar </w:t>
      </w:r>
      <w:r w:rsidRPr="00423EED">
        <w:rPr>
          <w:i/>
        </w:rPr>
        <w:t>et al</w:t>
      </w:r>
      <w:r w:rsidRPr="00A028A0">
        <w:t>., 2004).</w:t>
      </w:r>
    </w:p>
    <w:p w:rsidR="008E1408" w:rsidRDefault="008E1408" w:rsidP="00E56A28">
      <w:pPr>
        <w:spacing w:line="360" w:lineRule="auto"/>
        <w:ind w:firstLine="708"/>
        <w:jc w:val="both"/>
      </w:pPr>
      <w:r>
        <w:t xml:space="preserve">As </w:t>
      </w:r>
      <w:r w:rsidR="00E56A28">
        <w:t>evidências</w:t>
      </w:r>
      <w:r>
        <w:t xml:space="preserve"> registadas na Europa sugerem fortemente que o uso habitual e continuado do fogo datará da segunda metade do Plistocénico médio. Isso não inviabiliza que possam ter ocorrido usos oportunísticos e ocasionais antes deste período.  </w:t>
      </w:r>
    </w:p>
    <w:p w:rsidR="008E1408" w:rsidRPr="00D8592A" w:rsidRDefault="008E1408" w:rsidP="008E1408">
      <w:pPr>
        <w:spacing w:line="360" w:lineRule="auto"/>
        <w:jc w:val="both"/>
      </w:pPr>
      <w:r>
        <w:t>Os primeiros vestígios que indiciam a utilização reiterada do uso do fogo na Europa aparecem durante o Plistocenico médio, entre o Estádio Isotópico 13 e 9 (</w:t>
      </w:r>
      <w:r w:rsidRPr="000C4510">
        <w:t xml:space="preserve">Gowlett, 2006). </w:t>
      </w:r>
      <w:r>
        <w:t xml:space="preserve">No MIS 6 apenas 9 sítios apresentam provas evidentes do uso do fogo (Roebroeks e Villa, </w:t>
      </w:r>
      <w:r w:rsidRPr="00D733D9">
        <w:t>2011)</w:t>
      </w:r>
      <w:r>
        <w:t>. Os sítios europeus com vestígios do uso de fogo incluem Vértesszolos ma Hungria</w:t>
      </w:r>
      <w:r w:rsidRPr="00E042CF">
        <w:t>, (Kretzoi and Dobosi, 1990)</w:t>
      </w:r>
      <w:r w:rsidRPr="00E52D6E">
        <w:rPr>
          <w:color w:val="000000"/>
        </w:rPr>
        <w:t xml:space="preserve">; Menez-Dregan </w:t>
      </w:r>
      <w:r w:rsidRPr="00E042CF">
        <w:t xml:space="preserve">(Monnier </w:t>
      </w:r>
      <w:r w:rsidRPr="00E042CF">
        <w:rPr>
          <w:i/>
        </w:rPr>
        <w:t>et al.</w:t>
      </w:r>
      <w:r w:rsidRPr="00E042CF">
        <w:t xml:space="preserve">, </w:t>
      </w:r>
      <w:r>
        <w:t>1994, 2001</w:t>
      </w:r>
      <w:r w:rsidRPr="003757D1">
        <w:rPr>
          <w:color w:val="000000"/>
        </w:rPr>
        <w:t xml:space="preserve">), Terra Amata </w:t>
      </w:r>
      <w:r w:rsidRPr="009C4D77">
        <w:t>(Villa, 1982)</w:t>
      </w:r>
      <w:r w:rsidRPr="003757D1">
        <w:rPr>
          <w:color w:val="000000"/>
        </w:rPr>
        <w:t>, Bilzingsleben</w:t>
      </w:r>
      <w:r>
        <w:t xml:space="preserve"> </w:t>
      </w:r>
      <w:r w:rsidRPr="00E52D6E">
        <w:rPr>
          <w:color w:val="000000"/>
        </w:rPr>
        <w:t>and Schöningen (Germany) (</w:t>
      </w:r>
      <w:r w:rsidRPr="002D623A">
        <w:t>Mania e Mania,</w:t>
      </w:r>
      <w:r>
        <w:t xml:space="preserve"> </w:t>
      </w:r>
      <w:r w:rsidRPr="002D623A">
        <w:t>2005;</w:t>
      </w:r>
      <w:r w:rsidRPr="00E52D6E">
        <w:rPr>
          <w:color w:val="000066"/>
        </w:rPr>
        <w:t xml:space="preserve"> </w:t>
      </w:r>
      <w:r w:rsidRPr="002D623A">
        <w:t>Richter e Thieme, 2012)</w:t>
      </w:r>
      <w:r w:rsidRPr="00E52D6E">
        <w:rPr>
          <w:color w:val="000000"/>
        </w:rPr>
        <w:t xml:space="preserve"> and Beeches Pit (England) (</w:t>
      </w:r>
      <w:r w:rsidRPr="00186FC2">
        <w:t>Gowlett, 2006).</w:t>
      </w:r>
      <w:r w:rsidRPr="00E52D6E">
        <w:rPr>
          <w:color w:val="000000"/>
        </w:rPr>
        <w:t xml:space="preserve"> </w:t>
      </w:r>
      <w:r>
        <w:rPr>
          <w:color w:val="000000"/>
        </w:rPr>
        <w:t xml:space="preserve">Porém, têm surgido alguns problemas de cronologia com estes sítios. No sul da Europa, em Portugal, Italia ou Grécia não existem evidências de lareiras datadas do Plistocénico médio. Em Espanha, a gruta de Bolomor, apresenta claras evidências de um uso reiterado e controlado do fogo </w:t>
      </w:r>
      <w:r>
        <w:t>(Fernández Peris</w:t>
      </w:r>
      <w:r w:rsidRPr="00BF1C8E">
        <w:t xml:space="preserve"> </w:t>
      </w:r>
      <w:r w:rsidRPr="00E52D6E">
        <w:rPr>
          <w:i/>
        </w:rPr>
        <w:t>et al</w:t>
      </w:r>
      <w:r>
        <w:rPr>
          <w:i/>
        </w:rPr>
        <w:t>,</w:t>
      </w:r>
      <w:r w:rsidRPr="00BF1C8E">
        <w:t>2012)</w:t>
      </w:r>
      <w:r>
        <w:t>. Neste local, os vestígios mais antigos do uso de fogo foram datados por racemização dos aminoácidos em 228±53 ka ou seja do estádio isotópico MIS 7c. As lareiras (até agora identificaram-se 14) são morfologicamente simples, tendo uma base plana. São colocadas directamente sobre o solo sem qualquer preparação prévia e aparecem no registo arqueológico em formas lenticulares, com diâmetros entre os 30 e os 120 cm e com uma espessura entre os 5 e os 10 cm (Fernández Peris</w:t>
      </w:r>
      <w:r w:rsidRPr="00BF1C8E">
        <w:t xml:space="preserve"> </w:t>
      </w:r>
      <w:r w:rsidRPr="00423EED">
        <w:rPr>
          <w:i/>
        </w:rPr>
        <w:t>et al</w:t>
      </w:r>
      <w:r>
        <w:rPr>
          <w:i/>
        </w:rPr>
        <w:t>,</w:t>
      </w:r>
      <w:r w:rsidRPr="00BF1C8E">
        <w:t xml:space="preserve"> 2012)</w:t>
      </w:r>
      <w:r>
        <w:t xml:space="preserve">. </w:t>
      </w:r>
      <w:r>
        <w:tab/>
      </w:r>
    </w:p>
    <w:p w:rsidR="008E1408" w:rsidRPr="001C3A91" w:rsidRDefault="008E1408" w:rsidP="00E56A28">
      <w:pPr>
        <w:spacing w:line="360" w:lineRule="auto"/>
        <w:ind w:firstLine="708"/>
        <w:jc w:val="both"/>
      </w:pPr>
      <w:r w:rsidRPr="001C3A91">
        <w:lastRenderedPageBreak/>
        <w:t xml:space="preserve">A recente hipótese apresentada por Wrangham (2009) </w:t>
      </w:r>
      <w:r>
        <w:t xml:space="preserve">assenta numa cronologia longa no sentido em que o uso do fogo é apresentado como a principal força evolutiva que levou ao aumento do cérebro. Segundo esta teoria, a cozedura dos alimentos tornou a digestão mais fácil, sendo a energia dispendida com o fenómeno da digestão direccionado para a expansão do cérebro. O fogo, ou mais precisamente o lugar onde se produz o fogo, passou a deter uma importância acrescida no sentido em que passou a ser o lugar onde se reparte os alimentos, tornando-se locais de interacção social entre indivíduos (Roebroeks e Villa, </w:t>
      </w:r>
      <w:r w:rsidRPr="00D733D9">
        <w:t>2011)</w:t>
      </w:r>
      <w:r>
        <w:t>.</w:t>
      </w:r>
    </w:p>
    <w:p w:rsidR="008E1408" w:rsidRDefault="008E1408" w:rsidP="00E56A28">
      <w:pPr>
        <w:spacing w:line="360" w:lineRule="auto"/>
        <w:ind w:firstLine="708"/>
        <w:jc w:val="both"/>
      </w:pPr>
      <w:r w:rsidRPr="00A8231F">
        <w:t>Neste sentido</w:t>
      </w:r>
      <w:r>
        <w:t>,</w:t>
      </w:r>
      <w:r w:rsidRPr="00A8231F">
        <w:t xml:space="preserve"> o aparecimento do fogo controlado </w:t>
      </w:r>
      <w:r>
        <w:t>pode ser considerado como indicador da existência de capacidades sociais e intelectuais complexas nas sociedades humanas do Plistocenico final (Fernández Peris</w:t>
      </w:r>
      <w:r w:rsidRPr="00A8231F">
        <w:t xml:space="preserve"> </w:t>
      </w:r>
      <w:r w:rsidRPr="00041F69">
        <w:rPr>
          <w:i/>
        </w:rPr>
        <w:t>et al</w:t>
      </w:r>
      <w:r>
        <w:rPr>
          <w:i/>
        </w:rPr>
        <w:t>,</w:t>
      </w:r>
      <w:r w:rsidRPr="00A8231F">
        <w:t xml:space="preserve"> 2012)</w:t>
      </w:r>
      <w:r>
        <w:t>.</w:t>
      </w:r>
    </w:p>
    <w:p w:rsidR="008E1408" w:rsidRPr="00A8231F" w:rsidRDefault="008E1408" w:rsidP="00E56A28">
      <w:pPr>
        <w:spacing w:line="360" w:lineRule="auto"/>
        <w:ind w:firstLine="708"/>
        <w:jc w:val="both"/>
      </w:pPr>
      <w:r w:rsidRPr="004D35A9">
        <w:t>Para outros autores</w:t>
      </w:r>
      <w:r>
        <w:t>,</w:t>
      </w:r>
      <w:r w:rsidRPr="004D35A9">
        <w:t xml:space="preserve"> o uso de fogo </w:t>
      </w:r>
      <w:r>
        <w:t xml:space="preserve">é algo mais recente, uma vez que os neandertais raramente usavam fogo durante ocupações prolongadas nas grutas do sul de França. Segundo estes mesmos autores, se os neandertais tivessem capacidade de fazer fogo à descrição, essa evidência deveria aparecer mais frequentemente no registo arqueológico principalmente nas ocupações de períodos mais frios. </w:t>
      </w:r>
      <w:r w:rsidRPr="00D733D9">
        <w:t xml:space="preserve">(Sandgathe </w:t>
      </w:r>
      <w:r w:rsidRPr="00241EFB">
        <w:rPr>
          <w:i/>
        </w:rPr>
        <w:t>et al</w:t>
      </w:r>
      <w:r>
        <w:rPr>
          <w:i/>
        </w:rPr>
        <w:t>,</w:t>
      </w:r>
      <w:r w:rsidRPr="00D733D9">
        <w:t xml:space="preserve"> 2011)</w:t>
      </w:r>
      <w:r>
        <w:t>.</w:t>
      </w:r>
    </w:p>
    <w:p w:rsidR="008E1408" w:rsidRDefault="008E1408" w:rsidP="00E56A28">
      <w:pPr>
        <w:spacing w:line="360" w:lineRule="auto"/>
        <w:ind w:firstLine="708"/>
        <w:jc w:val="both"/>
      </w:pPr>
      <w:r>
        <w:t xml:space="preserve">A associação entre a lareira e a sua função de fonte de aquecimento parece uma aproximação reduzida da problemática. A existência de lareiras deverá ser visto de forma mais abrangente, com várias outras funções desde a conservação de alimentos, preparação de utensílios de caça e até de funções medicinais ou mágicas. De facto, verifica-se que contrariamente ao que seria de prever não é nas latitudes mais setentrionais que há mais registos de lareiras. Esta aparente contradição só o é se se atribuir ao uso do fogo uma funcionalidade restrita, de mero aporte calorífico. No entanto esta visão redutora não se coaduna com as outras propriedades do fogo. Nas latitudes mais quentes a conservação dos alimentos é mais problemática, podendo ser melhorada com a secagem e fumagem de carnes e peixes junto de uma lareira. </w:t>
      </w:r>
    </w:p>
    <w:p w:rsidR="008E1408" w:rsidRPr="00FC4A72" w:rsidRDefault="008E1408" w:rsidP="008E1408">
      <w:pPr>
        <w:spacing w:line="360" w:lineRule="auto"/>
        <w:jc w:val="both"/>
        <w:rPr>
          <w:color w:val="000000"/>
        </w:rPr>
      </w:pPr>
      <w:r w:rsidRPr="00CE581C">
        <w:t xml:space="preserve">As várias funções das lareiras </w:t>
      </w:r>
      <w:r>
        <w:t xml:space="preserve">nas ocupações mousterienses </w:t>
      </w:r>
      <w:r w:rsidRPr="00CE581C">
        <w:t>s</w:t>
      </w:r>
      <w:r>
        <w:t>ão o argumento para o abundante número de estruturas de combustão registadas no nível</w:t>
      </w:r>
      <w:r w:rsidRPr="00CE581C">
        <w:t xml:space="preserve"> O </w:t>
      </w:r>
      <w:r>
        <w:t xml:space="preserve">do </w:t>
      </w:r>
      <w:r w:rsidRPr="00CE581C">
        <w:t>Abric Romaní</w:t>
      </w:r>
      <w:r w:rsidRPr="00CE581C">
        <w:rPr>
          <w:color w:val="000000"/>
        </w:rPr>
        <w:t xml:space="preserve"> (Valverdú </w:t>
      </w:r>
      <w:r w:rsidRPr="00241EFB">
        <w:rPr>
          <w:i/>
          <w:color w:val="000000"/>
        </w:rPr>
        <w:t>et al</w:t>
      </w:r>
      <w:r>
        <w:rPr>
          <w:i/>
          <w:color w:val="000000"/>
        </w:rPr>
        <w:t>,</w:t>
      </w:r>
      <w:r>
        <w:rPr>
          <w:color w:val="000000"/>
        </w:rPr>
        <w:t xml:space="preserve"> </w:t>
      </w:r>
      <w:r w:rsidRPr="00CE581C">
        <w:rPr>
          <w:color w:val="000000"/>
        </w:rPr>
        <w:t>2012).</w:t>
      </w:r>
      <w:r>
        <w:rPr>
          <w:color w:val="000000"/>
        </w:rPr>
        <w:t xml:space="preserve"> </w:t>
      </w:r>
      <w:r w:rsidRPr="00725BA8">
        <w:rPr>
          <w:color w:val="000000"/>
        </w:rPr>
        <w:t xml:space="preserve">Nesta estação, a </w:t>
      </w:r>
      <w:r>
        <w:rPr>
          <w:color w:val="000000"/>
        </w:rPr>
        <w:t>identificação</w:t>
      </w:r>
      <w:r w:rsidRPr="00725BA8">
        <w:rPr>
          <w:color w:val="000000"/>
        </w:rPr>
        <w:t xml:space="preserve"> de polimorfos carbonatados associados a micro-facies de combust</w:t>
      </w:r>
      <w:r>
        <w:rPr>
          <w:color w:val="000000"/>
        </w:rPr>
        <w:t>ão distintas e a superfícies bem preparadas permitem calcular a sofisticação da piro-tecnologia Neandertal</w:t>
      </w:r>
      <w:r w:rsidRPr="00725BA8">
        <w:t xml:space="preserve"> </w:t>
      </w:r>
      <w:r>
        <w:t>(</w:t>
      </w:r>
      <w:r w:rsidRPr="00AD4096">
        <w:t xml:space="preserve">Courty </w:t>
      </w:r>
      <w:r w:rsidRPr="00725BA8">
        <w:rPr>
          <w:i/>
        </w:rPr>
        <w:t>et al</w:t>
      </w:r>
      <w:r>
        <w:t xml:space="preserve">, 2012). </w:t>
      </w:r>
      <w:r>
        <w:rPr>
          <w:color w:val="000000"/>
        </w:rPr>
        <w:t xml:space="preserve">Também nos sítios MSA africano esta diferenciação no uso das estruturas de combustão é evidente </w:t>
      </w:r>
      <w:r w:rsidRPr="0058048F">
        <w:t>(Wadley</w:t>
      </w:r>
      <w:r w:rsidRPr="00241EFB">
        <w:t>, 2012).</w:t>
      </w:r>
    </w:p>
    <w:p w:rsidR="008E1408" w:rsidRDefault="008E1408" w:rsidP="00E56A28">
      <w:pPr>
        <w:spacing w:line="360" w:lineRule="auto"/>
        <w:ind w:firstLine="708"/>
        <w:jc w:val="both"/>
        <w:rPr>
          <w:color w:val="000000"/>
        </w:rPr>
      </w:pPr>
      <w:r>
        <w:lastRenderedPageBreak/>
        <w:t xml:space="preserve">Nos sítios Moustierenses de Pech de L’Azé e Roc de Marsal, em França, verificaram-se diferenças nas estruturas de combustão identificadas nas duas estações tendo sido interpretadas essas diferenças como resultantes de divergências no tipo de ocupação que cada uma delas representa. Assim a sazonalidade da ocupação, a localização da estrutura de combustão e a diferença de preservação pode resultar em diferenças significativas no registo arqueológico (Goldberg </w:t>
      </w:r>
      <w:r w:rsidRPr="00241EFB">
        <w:rPr>
          <w:i/>
        </w:rPr>
        <w:t>et al</w:t>
      </w:r>
      <w:r>
        <w:t xml:space="preserve">, </w:t>
      </w:r>
      <w:r w:rsidRPr="00725BA8">
        <w:t>2012)</w:t>
      </w:r>
      <w:r>
        <w:t xml:space="preserve">. </w:t>
      </w:r>
      <w:r w:rsidRPr="008C3E13">
        <w:t>Curiosamente, na gruta de Kebara,</w:t>
      </w:r>
      <w:r>
        <w:t xml:space="preserve"> localizada no Monte Carmel, I</w:t>
      </w:r>
      <w:r w:rsidRPr="008C3E13">
        <w:t>srael</w:t>
      </w:r>
      <w:r>
        <w:t>, foram documentadas numerosas lareiras nos estratos atribuídos ao Paleolítico médio enquanto nas ocupações do Paleolítico superior subsequentes este tipo de estruturas são consideravelmente menos abundantes</w:t>
      </w:r>
      <w:r w:rsidRPr="008C3E13">
        <w:rPr>
          <w:color w:val="000000"/>
        </w:rPr>
        <w:t xml:space="preserve"> </w:t>
      </w:r>
      <w:r w:rsidRPr="00D215B6">
        <w:rPr>
          <w:color w:val="000000"/>
        </w:rPr>
        <w:t>(Albert</w:t>
      </w:r>
      <w:r w:rsidRPr="00D215B6">
        <w:rPr>
          <w:color w:val="000066"/>
        </w:rPr>
        <w:t xml:space="preserve"> </w:t>
      </w:r>
      <w:r w:rsidRPr="00041F69">
        <w:rPr>
          <w:i/>
        </w:rPr>
        <w:t>et al</w:t>
      </w:r>
      <w:r>
        <w:rPr>
          <w:i/>
        </w:rPr>
        <w:t>,</w:t>
      </w:r>
      <w:r w:rsidRPr="00D215B6">
        <w:rPr>
          <w:color w:val="000066"/>
        </w:rPr>
        <w:t xml:space="preserve"> </w:t>
      </w:r>
      <w:r w:rsidRPr="00D215B6">
        <w:rPr>
          <w:color w:val="000000"/>
        </w:rPr>
        <w:t>2012)</w:t>
      </w:r>
      <w:r>
        <w:rPr>
          <w:color w:val="000000"/>
        </w:rPr>
        <w:t>.</w:t>
      </w:r>
    </w:p>
    <w:p w:rsidR="008E1408" w:rsidRPr="0017398B" w:rsidRDefault="008E1408" w:rsidP="00E56A28">
      <w:pPr>
        <w:spacing w:line="360" w:lineRule="auto"/>
        <w:ind w:firstLine="708"/>
        <w:jc w:val="both"/>
        <w:rPr>
          <w:b/>
        </w:rPr>
      </w:pPr>
      <w:r>
        <w:t>Em Portugal, os vestígios de estruturas de combustão são mais numerosos no Paleolítico superior, embora também existam no Paleolítico médio. Na gruta da Buraca escura foi identificada uma lareira associada ao Paleolítico médio. Esta seria uma das estruturas de combustão mais antigas, juntamente com a lareira identificada na camada 14 da Gruta da Oliveira (Angelucci e Zilhão, 2009) e as estruturas de combustão de Vilas Ruivas. Nesta estação, foi registada a existência de duas estruturas em arco constituídas por pedras, cujo intuito parece ser a protecção de três lareiras inseridas nessa mesma estrutura (figura 7.3). Além destes “para-ventos” foram detectadas ainda o que poderão ser quatro buracos de poste, com cerca de 20 cm de circunferência (Raposo, 1995; Silva e Raposo, 1982, GEPP, 1977)</w:t>
      </w:r>
      <w:r w:rsidRPr="00F41ABD">
        <w:t>.</w:t>
      </w:r>
      <w:r>
        <w:t xml:space="preserve"> </w:t>
      </w:r>
    </w:p>
    <w:p w:rsidR="008E1408" w:rsidRPr="009B345B" w:rsidRDefault="008E1408" w:rsidP="008E1408">
      <w:pPr>
        <w:spacing w:line="360" w:lineRule="auto"/>
        <w:jc w:val="both"/>
        <w:rPr>
          <w:lang w:val="en-US"/>
        </w:rPr>
      </w:pPr>
      <w:r>
        <w:rPr>
          <w:noProof/>
        </w:rPr>
        <w:lastRenderedPageBreak/>
        <w:drawing>
          <wp:inline distT="0" distB="0" distL="0" distR="0">
            <wp:extent cx="4312920" cy="5349875"/>
            <wp:effectExtent l="19050" t="0" r="0" b="0"/>
            <wp:docPr id="469" name="Imagem 18" descr="VilasRuivas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lasRuivasPlanta"/>
                    <pic:cNvPicPr>
                      <a:picLocks noChangeAspect="1" noChangeArrowheads="1"/>
                    </pic:cNvPicPr>
                  </pic:nvPicPr>
                  <pic:blipFill>
                    <a:blip r:embed="rId241" cstate="print"/>
                    <a:srcRect/>
                    <a:stretch>
                      <a:fillRect/>
                    </a:stretch>
                  </pic:blipFill>
                  <pic:spPr bwMode="auto">
                    <a:xfrm>
                      <a:off x="0" y="0"/>
                      <a:ext cx="4312920" cy="5349875"/>
                    </a:xfrm>
                    <a:prstGeom prst="rect">
                      <a:avLst/>
                    </a:prstGeom>
                    <a:noFill/>
                    <a:ln w="9525">
                      <a:noFill/>
                      <a:miter lim="800000"/>
                      <a:headEnd/>
                      <a:tailEnd/>
                    </a:ln>
                  </pic:spPr>
                </pic:pic>
              </a:graphicData>
            </a:graphic>
          </wp:inline>
        </w:drawing>
      </w:r>
    </w:p>
    <w:p w:rsidR="008E1408" w:rsidRPr="00DB7924" w:rsidRDefault="00EA3774" w:rsidP="008E1408">
      <w:pPr>
        <w:spacing w:line="360" w:lineRule="auto"/>
        <w:jc w:val="both"/>
        <w:rPr>
          <w:lang w:val="en-US"/>
        </w:rPr>
      </w:pPr>
      <w:r w:rsidRPr="00EA3774">
        <w:rPr>
          <w:b/>
          <w:lang w:val="en-US" w:eastAsia="en-US"/>
        </w:rPr>
        <w:pict>
          <v:shape id="_x0000_s1680" type="#_x0000_t202" style="position:absolute;left:0;text-align:left;margin-left:268.85pt;margin-top:3pt;width:148.75pt;height:84.35pt;z-index:251849728;mso-width-relative:margin;mso-height-relative:margin" stroked="f">
            <v:textbox style="mso-next-textbox:#_x0000_s1680">
              <w:txbxContent>
                <w:p w:rsidR="00B34B0F" w:rsidRPr="000E162E" w:rsidRDefault="00B34B0F" w:rsidP="008E1408">
                  <w:pPr>
                    <w:rPr>
                      <w:sz w:val="22"/>
                      <w:szCs w:val="22"/>
                    </w:rPr>
                  </w:pPr>
                  <w:r>
                    <w:rPr>
                      <w:sz w:val="22"/>
                      <w:szCs w:val="22"/>
                    </w:rPr>
                    <w:t xml:space="preserve">Fig.7.3- </w:t>
                  </w:r>
                  <w:r w:rsidRPr="000E162E">
                    <w:rPr>
                      <w:sz w:val="22"/>
                      <w:szCs w:val="22"/>
                    </w:rPr>
                    <w:t xml:space="preserve">Vilas Ruivas. Estruturas identificadas como corta-ventos com estruturas de combustão associadas </w:t>
                  </w:r>
                  <w:proofErr w:type="gramStart"/>
                  <w:r w:rsidRPr="000E162E">
                    <w:rPr>
                      <w:sz w:val="22"/>
                      <w:szCs w:val="22"/>
                    </w:rPr>
                    <w:t>e</w:t>
                  </w:r>
                  <w:proofErr w:type="gramEnd"/>
                  <w:r w:rsidRPr="000E162E">
                    <w:rPr>
                      <w:sz w:val="22"/>
                      <w:szCs w:val="22"/>
                    </w:rPr>
                    <w:t xml:space="preserve"> (Silva e Raposo, 1982)</w:t>
                  </w:r>
                </w:p>
              </w:txbxContent>
            </v:textbox>
          </v:shape>
        </w:pict>
      </w:r>
      <w:r w:rsidR="008E1408">
        <w:rPr>
          <w:noProof/>
        </w:rPr>
        <w:drawing>
          <wp:inline distT="0" distB="0" distL="0" distR="0">
            <wp:extent cx="2952115" cy="2008505"/>
            <wp:effectExtent l="19050" t="0" r="635" b="0"/>
            <wp:docPr id="470" name="Imagem 19" descr="VRuivas estrut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Ruivas estruturas"/>
                    <pic:cNvPicPr>
                      <a:picLocks noChangeAspect="1" noChangeArrowheads="1"/>
                    </pic:cNvPicPr>
                  </pic:nvPicPr>
                  <pic:blipFill>
                    <a:blip r:embed="rId242" cstate="print"/>
                    <a:srcRect/>
                    <a:stretch>
                      <a:fillRect/>
                    </a:stretch>
                  </pic:blipFill>
                  <pic:spPr bwMode="auto">
                    <a:xfrm>
                      <a:off x="0" y="0"/>
                      <a:ext cx="2952115" cy="2008505"/>
                    </a:xfrm>
                    <a:prstGeom prst="rect">
                      <a:avLst/>
                    </a:prstGeom>
                    <a:noFill/>
                    <a:ln w="9525">
                      <a:noFill/>
                      <a:miter lim="800000"/>
                      <a:headEnd/>
                      <a:tailEnd/>
                    </a:ln>
                  </pic:spPr>
                </pic:pic>
              </a:graphicData>
            </a:graphic>
          </wp:inline>
        </w:drawing>
      </w:r>
    </w:p>
    <w:p w:rsidR="008E1408" w:rsidRDefault="008E1408" w:rsidP="008E1408">
      <w:pPr>
        <w:spacing w:line="360" w:lineRule="auto"/>
        <w:jc w:val="both"/>
        <w:rPr>
          <w:lang w:val="en-US"/>
        </w:rPr>
      </w:pPr>
    </w:p>
    <w:p w:rsidR="008E1408" w:rsidRPr="0017398B" w:rsidRDefault="008E1408" w:rsidP="008E1408">
      <w:pPr>
        <w:spacing w:line="360" w:lineRule="auto"/>
        <w:jc w:val="both"/>
      </w:pPr>
    </w:p>
    <w:p w:rsidR="008E1408" w:rsidRDefault="008E1408" w:rsidP="00E56A28">
      <w:pPr>
        <w:spacing w:line="360" w:lineRule="auto"/>
        <w:ind w:firstLine="708"/>
        <w:jc w:val="both"/>
      </w:pPr>
      <w:r>
        <w:t>O segundo elemento que serviu para definir o espaço estruturado corresponde aos quatro buracos de poste</w:t>
      </w:r>
      <w:r w:rsidRPr="00DB7924">
        <w:t xml:space="preserve"> </w:t>
      </w:r>
      <w:r>
        <w:t xml:space="preserve">detectados na estação dos Pegos do Tejo 2, alinhados e com aproximadamente o mesmo afastamento entre si. Como já foi dito no </w:t>
      </w:r>
      <w:r w:rsidR="00E56A28">
        <w:t>capítulo</w:t>
      </w:r>
      <w:r>
        <w:t xml:space="preserve"> 6.1.7 </w:t>
      </w:r>
      <w:r>
        <w:lastRenderedPageBreak/>
        <w:t xml:space="preserve">estes buracos de poste deveriam servir para suportar uma estrutura ligeira que servia de abrigo contra o vento. </w:t>
      </w:r>
    </w:p>
    <w:p w:rsidR="008E1408" w:rsidRDefault="008E1408" w:rsidP="00E56A28">
      <w:pPr>
        <w:spacing w:line="360" w:lineRule="auto"/>
        <w:ind w:firstLine="708"/>
        <w:jc w:val="both"/>
      </w:pPr>
      <w:r w:rsidRPr="00515163">
        <w:t>Voltando ao sítio de Vila</w:t>
      </w:r>
      <w:r>
        <w:t xml:space="preserve">s Ruivas anteriormente referido, verificou-se que as estruturas de combustão aí detectadas se encontravam inseridas em estruturas, em forma de arco, materializadas por seixos e pedras (Figura 7.3). Estas estruturas foram definidas como para-ventos de protecção das lareiras </w:t>
      </w:r>
      <w:r>
        <w:rPr>
          <w:color w:val="000000"/>
        </w:rPr>
        <w:t>(Raposo, 1995; Silva e Raposo, 1982, GEPP, 1977) e interpretadas por João Zilhão (Zilhão,1992) como esperas de caça</w:t>
      </w:r>
      <w:r w:rsidRPr="00F41ABD">
        <w:t>.</w:t>
      </w:r>
      <w:r>
        <w:t xml:space="preserve"> Estas eram as estruturas humanas mais antigas conhecidas em Portugal. Também na estação de Santa Cita se identificaram estruturas que poderiam corresponder a buracos de poste. Estes elementos, em número de cinco, delimitariam uma estrutura de forma trapezoidal possivelmente com função residencial </w:t>
      </w:r>
      <w:r>
        <w:rPr>
          <w:color w:val="000000"/>
        </w:rPr>
        <w:t>(Bicho e Ferring, 2001).</w:t>
      </w:r>
    </w:p>
    <w:p w:rsidR="008E1408" w:rsidRDefault="008E1408" w:rsidP="00E56A28">
      <w:pPr>
        <w:spacing w:line="360" w:lineRule="auto"/>
        <w:ind w:firstLine="708"/>
        <w:jc w:val="both"/>
      </w:pPr>
      <w:r>
        <w:t xml:space="preserve">Existem outros paralelos de estruturas associadas ao Paleolítico médio na Europa. Em França, na Bretanha, nos sítios de Gélétan e Port-Pignot, as escavações realizadas permitiram identificar estruturas bem conservadas que poderão corresponder a lareiras e blocos estruturados. Estes sítios são datados estratigraficamente dos estádios isotópicos 7 e 6 (Cliquet e Lautridou, </w:t>
      </w:r>
      <w:r w:rsidRPr="005B7243">
        <w:t>2009)</w:t>
      </w:r>
      <w:r>
        <w:t>.</w:t>
      </w:r>
    </w:p>
    <w:p w:rsidR="008E1408" w:rsidRDefault="008E1408" w:rsidP="008E1408">
      <w:pPr>
        <w:spacing w:line="360" w:lineRule="auto"/>
        <w:jc w:val="both"/>
      </w:pPr>
    </w:p>
    <w:p w:rsidR="008E1408" w:rsidRDefault="00EA3774" w:rsidP="008E1408">
      <w:pPr>
        <w:spacing w:line="360" w:lineRule="auto"/>
        <w:jc w:val="both"/>
      </w:pPr>
      <w:r>
        <w:rPr>
          <w:lang w:eastAsia="en-US"/>
        </w:rPr>
        <w:pict>
          <v:shape id="_x0000_s1684" type="#_x0000_t202" style="position:absolute;left:0;text-align:left;margin-left:46.45pt;margin-top:227.35pt;width:325.1pt;height:45.15pt;z-index:251853824;mso-height-percent:200;mso-height-percent:200;mso-width-relative:margin;mso-height-relative:margin" stroked="f">
            <v:textbox style="mso-next-textbox:#_x0000_s1684;mso-fit-shape-to-text:t">
              <w:txbxContent>
                <w:p w:rsidR="00B34B0F" w:rsidRPr="000E162E" w:rsidRDefault="00B34B0F" w:rsidP="008E1408">
                  <w:pPr>
                    <w:rPr>
                      <w:sz w:val="22"/>
                      <w:szCs w:val="22"/>
                    </w:rPr>
                  </w:pPr>
                  <w:r w:rsidRPr="000E162E">
                    <w:rPr>
                      <w:sz w:val="22"/>
                      <w:szCs w:val="22"/>
                    </w:rPr>
                    <w:t>Fig. 7.4- Estação do Port-Pignot (Bretanha, França): Estruturas pétreas interpretadas como lareira (retirado de Cliquet e Lautridou, 2009).</w:t>
                  </w:r>
                </w:p>
              </w:txbxContent>
            </v:textbox>
          </v:shape>
        </w:pict>
      </w:r>
      <w:r w:rsidR="008E1408">
        <w:rPr>
          <w:noProof/>
        </w:rPr>
        <w:drawing>
          <wp:inline distT="0" distB="0" distL="0" distR="0">
            <wp:extent cx="4075430" cy="2858135"/>
            <wp:effectExtent l="19050" t="0" r="1270" b="0"/>
            <wp:docPr id="471"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3" cstate="print"/>
                    <a:srcRect/>
                    <a:stretch>
                      <a:fillRect/>
                    </a:stretch>
                  </pic:blipFill>
                  <pic:spPr bwMode="auto">
                    <a:xfrm>
                      <a:off x="0" y="0"/>
                      <a:ext cx="4075430" cy="2858135"/>
                    </a:xfrm>
                    <a:prstGeom prst="rect">
                      <a:avLst/>
                    </a:prstGeom>
                    <a:noFill/>
                    <a:ln w="9525">
                      <a:noFill/>
                      <a:miter lim="800000"/>
                      <a:headEnd/>
                      <a:tailEnd/>
                    </a:ln>
                  </pic:spPr>
                </pic:pic>
              </a:graphicData>
            </a:graphic>
          </wp:inline>
        </w:drawing>
      </w:r>
    </w:p>
    <w:p w:rsidR="008E1408" w:rsidRPr="005B7243" w:rsidRDefault="008E1408" w:rsidP="008E1408">
      <w:pPr>
        <w:spacing w:line="360" w:lineRule="auto"/>
        <w:jc w:val="both"/>
      </w:pPr>
    </w:p>
    <w:p w:rsidR="008E1408" w:rsidRDefault="008E1408" w:rsidP="008E1408">
      <w:pPr>
        <w:spacing w:line="360" w:lineRule="auto"/>
        <w:jc w:val="both"/>
      </w:pPr>
    </w:p>
    <w:p w:rsidR="008E1408" w:rsidRDefault="008E1408" w:rsidP="008E1408">
      <w:pPr>
        <w:spacing w:line="360" w:lineRule="auto"/>
        <w:jc w:val="both"/>
      </w:pPr>
    </w:p>
    <w:p w:rsidR="008E1408" w:rsidRPr="005B7243" w:rsidRDefault="008E1408" w:rsidP="00E56A28">
      <w:pPr>
        <w:spacing w:line="360" w:lineRule="auto"/>
        <w:ind w:firstLine="708"/>
        <w:jc w:val="both"/>
      </w:pPr>
      <w:r>
        <w:lastRenderedPageBreak/>
        <w:t xml:space="preserve">Na Alemanha ocidental, perto da antiga capital da República Federal Alemã, no sítio Micoquense de Inden- </w:t>
      </w:r>
      <w:r w:rsidR="00E56A28">
        <w:t>Altdorf,</w:t>
      </w:r>
      <w:r>
        <w:t xml:space="preserve"> foram identificadas um conjunto de estruturas que se interpretaram como estruturas habitacionais</w:t>
      </w:r>
      <w:r w:rsidRPr="00AF42B5">
        <w:t xml:space="preserve"> (Pawlik</w:t>
      </w:r>
      <w:r>
        <w:t xml:space="preserve"> e</w:t>
      </w:r>
      <w:r w:rsidRPr="00AF42B5">
        <w:t xml:space="preserve"> Thissen</w:t>
      </w:r>
      <w:r>
        <w:t xml:space="preserve">, </w:t>
      </w:r>
      <w:r w:rsidRPr="00AF42B5">
        <w:t>2011)</w:t>
      </w:r>
      <w:r>
        <w:t xml:space="preserve">. </w:t>
      </w:r>
    </w:p>
    <w:p w:rsidR="008E1408" w:rsidRDefault="008E1408" w:rsidP="008E1408">
      <w:pPr>
        <w:spacing w:line="360" w:lineRule="auto"/>
        <w:jc w:val="both"/>
      </w:pPr>
      <w:r>
        <w:rPr>
          <w:noProof/>
        </w:rPr>
        <w:drawing>
          <wp:inline distT="0" distB="0" distL="0" distR="0">
            <wp:extent cx="4406265" cy="3772535"/>
            <wp:effectExtent l="19050" t="0" r="0" b="0"/>
            <wp:docPr id="472"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4" cstate="print"/>
                    <a:srcRect/>
                    <a:stretch>
                      <a:fillRect/>
                    </a:stretch>
                  </pic:blipFill>
                  <pic:spPr bwMode="auto">
                    <a:xfrm>
                      <a:off x="0" y="0"/>
                      <a:ext cx="4406265" cy="3772535"/>
                    </a:xfrm>
                    <a:prstGeom prst="rect">
                      <a:avLst/>
                    </a:prstGeom>
                    <a:noFill/>
                    <a:ln w="9525">
                      <a:noFill/>
                      <a:miter lim="800000"/>
                      <a:headEnd/>
                      <a:tailEnd/>
                    </a:ln>
                  </pic:spPr>
                </pic:pic>
              </a:graphicData>
            </a:graphic>
          </wp:inline>
        </w:drawing>
      </w:r>
    </w:p>
    <w:p w:rsidR="008E1408" w:rsidRDefault="00EA3774" w:rsidP="008E1408">
      <w:pPr>
        <w:spacing w:line="360" w:lineRule="auto"/>
        <w:jc w:val="both"/>
      </w:pPr>
      <w:r>
        <w:rPr>
          <w:lang w:eastAsia="en-US"/>
        </w:rPr>
        <w:pict>
          <v:shape id="_x0000_s1683" type="#_x0000_t202" style="position:absolute;left:0;text-align:left;margin-left:0;margin-top:0;width:390.4pt;height:45.15pt;z-index:251852800;mso-height-percent:200;mso-position-horizontal:center;mso-height-percent:200;mso-width-relative:margin;mso-height-relative:margin" stroked="f">
            <v:textbox style="mso-next-textbox:#_x0000_s1683;mso-fit-shape-to-text:t">
              <w:txbxContent>
                <w:p w:rsidR="00B34B0F" w:rsidRPr="000E162E" w:rsidRDefault="00B34B0F" w:rsidP="008E1408">
                  <w:pPr>
                    <w:rPr>
                      <w:sz w:val="22"/>
                      <w:szCs w:val="22"/>
                    </w:rPr>
                  </w:pPr>
                  <w:r w:rsidRPr="000E162E">
                    <w:rPr>
                      <w:sz w:val="22"/>
                      <w:szCs w:val="22"/>
                    </w:rPr>
                    <w:t>Fig. 7.5 – Sítio de Inden- Altdorf (Bona): Planta das estruturas identificadas: pontos pretos: indústria e pedras; cinzento claro: buracos; cinzento-escuro: lareiras; branco: cabanas/abrigos (retirado de Pawlik e Thissen, 2011).</w:t>
                  </w:r>
                </w:p>
              </w:txbxContent>
            </v:textbox>
          </v:shape>
        </w:pict>
      </w:r>
    </w:p>
    <w:p w:rsidR="008E1408" w:rsidRDefault="008E1408" w:rsidP="008E1408">
      <w:pPr>
        <w:spacing w:line="360" w:lineRule="auto"/>
        <w:jc w:val="both"/>
      </w:pPr>
    </w:p>
    <w:p w:rsidR="008E1408" w:rsidRDefault="008E1408" w:rsidP="008E1408">
      <w:pPr>
        <w:spacing w:line="360" w:lineRule="auto"/>
        <w:jc w:val="both"/>
      </w:pPr>
    </w:p>
    <w:p w:rsidR="008E1408" w:rsidRPr="00AF42B5" w:rsidRDefault="008E1408" w:rsidP="00E56A28">
      <w:pPr>
        <w:spacing w:line="360" w:lineRule="auto"/>
        <w:ind w:firstLine="708"/>
        <w:jc w:val="both"/>
      </w:pPr>
      <w:r>
        <w:t xml:space="preserve">A esta ocupação foi atribuída uma cronologia interglaciar, mais propriamente ao penúltimo interglaciar, o Emiano (Estádio Isotópico 5e). Os trabalhos de escavação abrangeram uma área de 3000 m², sendo detectados em 2006 três estruturas circulares que se interpretaram como buracos de árvore à volta dos quais se identificaram várias lareiras e pedras de grande </w:t>
      </w:r>
      <w:r w:rsidRPr="00AF42B5">
        <w:t>dimensão</w:t>
      </w:r>
      <w:r>
        <w:t>, buracos e 600 peças líticas (Fig. 7.5)</w:t>
      </w:r>
    </w:p>
    <w:p w:rsidR="008E1408" w:rsidRPr="0029322D" w:rsidRDefault="008E1408" w:rsidP="00E56A28">
      <w:pPr>
        <w:spacing w:line="360" w:lineRule="auto"/>
        <w:ind w:firstLine="708"/>
        <w:jc w:val="both"/>
      </w:pPr>
      <w:r>
        <w:t>Mais a sul, em França,</w:t>
      </w:r>
      <w:r w:rsidRPr="0020319E">
        <w:t xml:space="preserve"> </w:t>
      </w:r>
      <w:r>
        <w:t>Perto de Poitiers, no sítio de La Folie, foram identificados vestígios mousterienses bem conservados</w:t>
      </w:r>
      <w:r w:rsidRPr="0029322D">
        <w:t xml:space="preserve"> </w:t>
      </w:r>
      <w:r>
        <w:t xml:space="preserve">durante trabalhos de acompanhamento arqueológico de obra (Bourguignon </w:t>
      </w:r>
      <w:r w:rsidRPr="0029322D">
        <w:rPr>
          <w:i/>
        </w:rPr>
        <w:t>et al</w:t>
      </w:r>
      <w:r>
        <w:t xml:space="preserve">, 2002, 2006). A rápida inumação natural dos restos arqueológicos permitiu a preservação de vestígios vegetais, de lareiras, de buracos de poste e de uma indústria lítica, </w:t>
      </w:r>
      <w:r>
        <w:rPr>
          <w:i/>
        </w:rPr>
        <w:t xml:space="preserve">in sito </w:t>
      </w:r>
      <w:r>
        <w:t>(Figura 7.6).</w:t>
      </w:r>
      <w:r>
        <w:rPr>
          <w:i/>
        </w:rPr>
        <w:t xml:space="preserve"> </w:t>
      </w:r>
    </w:p>
    <w:p w:rsidR="008E1408" w:rsidRDefault="008E1408" w:rsidP="008E1408">
      <w:pPr>
        <w:spacing w:line="360" w:lineRule="auto"/>
        <w:jc w:val="both"/>
      </w:pPr>
      <w:r>
        <w:rPr>
          <w:noProof/>
        </w:rPr>
        <w:lastRenderedPageBreak/>
        <w:drawing>
          <wp:inline distT="0" distB="0" distL="0" distR="0">
            <wp:extent cx="5176520" cy="3484880"/>
            <wp:effectExtent l="19050" t="0" r="5080" b="0"/>
            <wp:docPr id="473" name="Imagem 22" descr="La Folie_planFou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 Folie_planFouille"/>
                    <pic:cNvPicPr>
                      <a:picLocks noChangeAspect="1" noChangeArrowheads="1"/>
                    </pic:cNvPicPr>
                  </pic:nvPicPr>
                  <pic:blipFill>
                    <a:blip r:embed="rId245" cstate="print"/>
                    <a:srcRect/>
                    <a:stretch>
                      <a:fillRect/>
                    </a:stretch>
                  </pic:blipFill>
                  <pic:spPr bwMode="auto">
                    <a:xfrm>
                      <a:off x="0" y="0"/>
                      <a:ext cx="5176520" cy="3484880"/>
                    </a:xfrm>
                    <a:prstGeom prst="rect">
                      <a:avLst/>
                    </a:prstGeom>
                    <a:noFill/>
                    <a:ln w="9525">
                      <a:noFill/>
                      <a:miter lim="800000"/>
                      <a:headEnd/>
                      <a:tailEnd/>
                    </a:ln>
                  </pic:spPr>
                </pic:pic>
              </a:graphicData>
            </a:graphic>
          </wp:inline>
        </w:drawing>
      </w:r>
    </w:p>
    <w:p w:rsidR="008E1408" w:rsidRPr="0081182D" w:rsidRDefault="008E1408" w:rsidP="008E1408">
      <w:pPr>
        <w:pStyle w:val="Legenda"/>
        <w:rPr>
          <w:sz w:val="24"/>
          <w:szCs w:val="24"/>
        </w:rPr>
      </w:pPr>
      <w:r>
        <w:t xml:space="preserve">A </w:t>
      </w:r>
    </w:p>
    <w:p w:rsidR="008E1408" w:rsidRDefault="008E1408" w:rsidP="008E1408">
      <w:pPr>
        <w:spacing w:line="360" w:lineRule="auto"/>
        <w:jc w:val="both"/>
      </w:pPr>
      <w:r>
        <w:rPr>
          <w:noProof/>
        </w:rPr>
        <w:drawing>
          <wp:inline distT="0" distB="0" distL="0" distR="0">
            <wp:extent cx="5126355" cy="3189605"/>
            <wp:effectExtent l="19050" t="0" r="0" b="0"/>
            <wp:docPr id="474" name="Imagem 23" descr="La Folie_re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a Folie_restitution"/>
                    <pic:cNvPicPr>
                      <a:picLocks noChangeAspect="1" noChangeArrowheads="1"/>
                    </pic:cNvPicPr>
                  </pic:nvPicPr>
                  <pic:blipFill>
                    <a:blip r:embed="rId246" cstate="print"/>
                    <a:srcRect/>
                    <a:stretch>
                      <a:fillRect/>
                    </a:stretch>
                  </pic:blipFill>
                  <pic:spPr bwMode="auto">
                    <a:xfrm>
                      <a:off x="0" y="0"/>
                      <a:ext cx="5126355" cy="3189605"/>
                    </a:xfrm>
                    <a:prstGeom prst="rect">
                      <a:avLst/>
                    </a:prstGeom>
                    <a:noFill/>
                    <a:ln w="9525">
                      <a:noFill/>
                      <a:miter lim="800000"/>
                      <a:headEnd/>
                      <a:tailEnd/>
                    </a:ln>
                  </pic:spPr>
                </pic:pic>
              </a:graphicData>
            </a:graphic>
          </wp:inline>
        </w:drawing>
      </w:r>
    </w:p>
    <w:p w:rsidR="008E1408" w:rsidRPr="005013BC" w:rsidRDefault="008E1408" w:rsidP="008E1408">
      <w:pPr>
        <w:pStyle w:val="Legenda"/>
        <w:rPr>
          <w:color w:val="FF0000"/>
        </w:rPr>
      </w:pPr>
      <w:r>
        <w:t>B</w:t>
      </w:r>
    </w:p>
    <w:p w:rsidR="008E1408" w:rsidRDefault="00EA3774" w:rsidP="008E1408">
      <w:pPr>
        <w:spacing w:line="360" w:lineRule="auto"/>
        <w:jc w:val="both"/>
      </w:pPr>
      <w:r w:rsidRPr="00EA3774">
        <w:rPr>
          <w:lang w:val="en-US" w:eastAsia="en-US"/>
        </w:rPr>
        <w:pict>
          <v:shape id="_x0000_s1681" type="#_x0000_t202" style="position:absolute;left:0;text-align:left;margin-left:2.2pt;margin-top:8.5pt;width:416.25pt;height:32.5pt;z-index:251850752;mso-height-percent:200;mso-height-percent:200;mso-width-relative:margin;mso-height-relative:margin" stroked="f">
            <v:textbox style="mso-next-textbox:#_x0000_s1681;mso-fit-shape-to-text:t">
              <w:txbxContent>
                <w:p w:rsidR="00B34B0F" w:rsidRPr="000E162E" w:rsidRDefault="00B34B0F" w:rsidP="008E1408">
                  <w:pPr>
                    <w:rPr>
                      <w:sz w:val="22"/>
                      <w:szCs w:val="22"/>
                    </w:rPr>
                  </w:pPr>
                  <w:r w:rsidRPr="00656D39">
                    <w:rPr>
                      <w:sz w:val="22"/>
                      <w:szCs w:val="22"/>
                      <w:lang w:val="fr-FR"/>
                    </w:rPr>
                    <w:t xml:space="preserve">Fig.  7.6- Sítio de La Folie, Poitiers, França. </w:t>
                  </w:r>
                  <w:r w:rsidRPr="000E162E">
                    <w:rPr>
                      <w:sz w:val="22"/>
                      <w:szCs w:val="22"/>
                    </w:rPr>
                    <w:t xml:space="preserve">A- Planta dos vestígios do habitat identificado e, B, reconstituição desse mesmo habitat. </w:t>
                  </w:r>
                  <w:r>
                    <w:rPr>
                      <w:sz w:val="22"/>
                      <w:szCs w:val="22"/>
                    </w:rPr>
                    <w:t>(retirado de</w:t>
                  </w:r>
                  <w:r w:rsidRPr="000E162E">
                    <w:rPr>
                      <w:sz w:val="22"/>
                      <w:szCs w:val="22"/>
                    </w:rPr>
                    <w:t>:</w:t>
                  </w:r>
                  <w:r>
                    <w:rPr>
                      <w:sz w:val="22"/>
                      <w:szCs w:val="22"/>
                    </w:rPr>
                    <w:t xml:space="preserve"> </w:t>
                  </w:r>
                  <w:r w:rsidRPr="000E162E">
                    <w:rPr>
                      <w:sz w:val="22"/>
                      <w:szCs w:val="22"/>
                    </w:rPr>
                    <w:t>http//www.inrap.fr.)</w:t>
                  </w:r>
                </w:p>
              </w:txbxContent>
            </v:textbox>
          </v:shape>
        </w:pict>
      </w:r>
    </w:p>
    <w:p w:rsidR="008E1408" w:rsidRDefault="008E1408" w:rsidP="008E1408">
      <w:pPr>
        <w:spacing w:line="360" w:lineRule="auto"/>
        <w:jc w:val="both"/>
      </w:pPr>
    </w:p>
    <w:p w:rsidR="008E1408" w:rsidRPr="0081182D" w:rsidRDefault="008E1408" w:rsidP="008E1408">
      <w:pPr>
        <w:spacing w:line="360" w:lineRule="auto"/>
        <w:jc w:val="both"/>
      </w:pPr>
    </w:p>
    <w:p w:rsidR="008E1408" w:rsidRDefault="008E1408" w:rsidP="00E56A28">
      <w:pPr>
        <w:spacing w:line="360" w:lineRule="auto"/>
        <w:ind w:firstLine="708"/>
        <w:jc w:val="both"/>
      </w:pPr>
      <w:r>
        <w:t xml:space="preserve">As datações de termoluminisciência, realizadas sobre sílex, apresentaram um resultado de 57 700 ± 2 400 anos (Bourguignon </w:t>
      </w:r>
      <w:r w:rsidRPr="0029322D">
        <w:rPr>
          <w:i/>
        </w:rPr>
        <w:t>et al</w:t>
      </w:r>
      <w:r>
        <w:t xml:space="preserve">, 2006). O bom estado de conservação do nível arqueológico permitiu a reconstituição do habitat de uma </w:t>
      </w:r>
      <w:r>
        <w:lastRenderedPageBreak/>
        <w:t>comunidade, que se desenvolvia dentro de um espaço circular delimitado por um corta-vento feito de matéria vegetal. No interior desta área foi possível distinguir zonas diferenciadas de trabalho de peles, de talhe e de repouso (Fig. 7.6).</w:t>
      </w:r>
    </w:p>
    <w:p w:rsidR="008E1408" w:rsidRDefault="008E1408" w:rsidP="008E1408">
      <w:pPr>
        <w:spacing w:line="360" w:lineRule="auto"/>
        <w:jc w:val="both"/>
      </w:pPr>
    </w:p>
    <w:p w:rsidR="008E1408" w:rsidRPr="00BF1C8E" w:rsidRDefault="008E1408" w:rsidP="008E1408">
      <w:pPr>
        <w:spacing w:line="360" w:lineRule="auto"/>
        <w:jc w:val="both"/>
      </w:pPr>
    </w:p>
    <w:p w:rsidR="008E1408" w:rsidRPr="00AB720F" w:rsidRDefault="008E1408" w:rsidP="00E56A28">
      <w:pPr>
        <w:spacing w:line="360" w:lineRule="auto"/>
        <w:ind w:firstLine="708"/>
        <w:jc w:val="both"/>
      </w:pPr>
      <w:r>
        <w:t xml:space="preserve">Infelizmente, não se conseguiu na estação do Azinhal detectar qualquer tipo de estrutura. Esta ausência poderá prender-se com o facto de as sondagens não terem ainda interceptado a zona central da estação. De qualquer modo alguns dados recolhidos nesta estação são relevantes para o conhecimento do Paleolítico médio na Bacia do Arneiro. </w:t>
      </w:r>
    </w:p>
    <w:p w:rsidR="008E1408" w:rsidRDefault="008E1408" w:rsidP="006C1C5C">
      <w:pPr>
        <w:spacing w:line="360" w:lineRule="auto"/>
        <w:ind w:firstLine="708"/>
        <w:jc w:val="both"/>
      </w:pPr>
      <w:r w:rsidRPr="00DB7924">
        <w:t xml:space="preserve">Um dos primeiros pontos a </w:t>
      </w:r>
      <w:r>
        <w:t xml:space="preserve">realçar tem a ver com o aparecimento no registo arqueológico da presença de bifaces. A presença deste tipo de utensílio tem sido geralmente associada a estações do Paleolítico inferior ou de indústria de transição entre o Paleolítico inferior e o Paleolítico médio. Este sítio arqueológico, como se encontra datado, pode trazer novos dados sobre a existência de bifaces em contextos de Paleolítico médio em Portugal e na restante Europa. Este fenómeno não é tão raro como inicialmente se </w:t>
      </w:r>
      <w:proofErr w:type="gramStart"/>
      <w:r>
        <w:t>previa</w:t>
      </w:r>
      <w:proofErr w:type="gramEnd"/>
      <w:r>
        <w:t>, sendo identificado em vários locais da Europa.</w:t>
      </w:r>
    </w:p>
    <w:p w:rsidR="008E1408" w:rsidRDefault="008E1408" w:rsidP="006C1C5C">
      <w:pPr>
        <w:spacing w:line="360" w:lineRule="auto"/>
        <w:ind w:firstLine="708"/>
        <w:jc w:val="both"/>
      </w:pPr>
      <w:r>
        <w:t>O exemplo mais estudado de presença de bifaces em contextos do Paleolítico médio corresponde ao Moustierense de Tradição Acheulense dividido por Bordes em dois tipos (Bordes, 1953) mas já reconhecido no Sul de França desde os princípios do século XX (Sorressi, 2002). Os bifaces identificados nestes contextos são cordiformes e triangulares, de espessura reduzida, e concentrar-se-ão, cronologicamente, num primeiro período do Würm antigo (Sorressi, 2002).</w:t>
      </w:r>
    </w:p>
    <w:p w:rsidR="008E1408" w:rsidRPr="00637D47" w:rsidRDefault="008E1408" w:rsidP="006C1C5C">
      <w:pPr>
        <w:spacing w:line="360" w:lineRule="auto"/>
        <w:ind w:firstLine="708"/>
        <w:jc w:val="both"/>
      </w:pPr>
      <w:r>
        <w:t xml:space="preserve">Na Alemanha, o </w:t>
      </w:r>
      <w:r w:rsidRPr="009B7916">
        <w:rPr>
          <w:i/>
          <w:iCs/>
        </w:rPr>
        <w:t>Keilmessergruppe</w:t>
      </w:r>
      <w:r>
        <w:rPr>
          <w:iCs/>
        </w:rPr>
        <w:t xml:space="preserve"> apresenta também alguns utensílios bifaciais, distintos dos bifaces identificados no Moustierense de Tradição Acheulense do Sul de França e distinto dos outros contextos onde se identificam bifaces (Ruebens, 2012).</w:t>
      </w:r>
    </w:p>
    <w:p w:rsidR="008E1408" w:rsidRDefault="008E1408" w:rsidP="006C1C5C">
      <w:pPr>
        <w:spacing w:line="360" w:lineRule="auto"/>
        <w:ind w:firstLine="708"/>
        <w:jc w:val="both"/>
      </w:pPr>
      <w:r w:rsidRPr="00AB720F">
        <w:t xml:space="preserve">Em Inglaterra, por volta de 60 ka, a meio da glaciação Devensiana (glaciação de </w:t>
      </w:r>
      <w:r>
        <w:t>Wü</w:t>
      </w:r>
      <w:r w:rsidRPr="00AB720F">
        <w:t>rm na cronologia Alpina), aparece uma indústria distinta da anterior, Levallois, caracterizada pelo</w:t>
      </w:r>
      <w:r>
        <w:t>s</w:t>
      </w:r>
      <w:r w:rsidRPr="00AB720F">
        <w:t xml:space="preserve"> bifaces </w:t>
      </w:r>
      <w:r w:rsidRPr="00AB720F">
        <w:rPr>
          <w:i/>
        </w:rPr>
        <w:t>bout-coupé</w:t>
      </w:r>
      <w:r>
        <w:t xml:space="preserve"> (Wenbam-Smith </w:t>
      </w:r>
      <w:r w:rsidRPr="00CF36F6">
        <w:rPr>
          <w:i/>
        </w:rPr>
        <w:t>et al</w:t>
      </w:r>
      <w:r>
        <w:t xml:space="preserve">, 2006). Infelizmente nenhum dos sítios onde esta indústria foi localizada apresenta contextos datados de forma inequívoca. Para White e Jacobi (2002), o fenómeno </w:t>
      </w:r>
      <w:r w:rsidRPr="00621C80">
        <w:rPr>
          <w:i/>
        </w:rPr>
        <w:t>bout-coupé</w:t>
      </w:r>
      <w:r>
        <w:t xml:space="preserve"> marca a recolonização da Inglaterra por populações de Neandertais durante o OIS 3 (59-41 Ka), o que sugere a divisão do Paleolítico médio inglês em dois períodos com assinatura lítica distinta.</w:t>
      </w:r>
      <w:r w:rsidRPr="00770576">
        <w:t xml:space="preserve"> </w:t>
      </w:r>
    </w:p>
    <w:p w:rsidR="008E1408" w:rsidRDefault="008E1408" w:rsidP="006C1C5C">
      <w:pPr>
        <w:spacing w:line="360" w:lineRule="auto"/>
        <w:ind w:firstLine="708"/>
        <w:jc w:val="both"/>
      </w:pPr>
      <w:r>
        <w:lastRenderedPageBreak/>
        <w:t xml:space="preserve">No sítio de Les Fieux (Lot, França) na camada K, infelizmente não datada, foi identificado um biface no conjunto lítico recolhido (Thiébault </w:t>
      </w:r>
      <w:r w:rsidRPr="00E82224">
        <w:rPr>
          <w:i/>
        </w:rPr>
        <w:t>et al</w:t>
      </w:r>
      <w:r>
        <w:t>, 2009b).</w:t>
      </w:r>
    </w:p>
    <w:p w:rsidR="008E1408" w:rsidRPr="00211AB5" w:rsidRDefault="008E1408" w:rsidP="006C1C5C">
      <w:pPr>
        <w:spacing w:line="360" w:lineRule="auto"/>
        <w:ind w:firstLine="708"/>
        <w:jc w:val="both"/>
      </w:pPr>
      <w:r>
        <w:t>N</w:t>
      </w:r>
      <w:r w:rsidRPr="00200530">
        <w:t>o norte de Itália</w:t>
      </w:r>
      <w:r>
        <w:t>,</w:t>
      </w:r>
      <w:r w:rsidRPr="00200530">
        <w:t xml:space="preserve"> </w:t>
      </w:r>
      <w:r>
        <w:t>n</w:t>
      </w:r>
      <w:r w:rsidRPr="00200530">
        <w:t>o nível BR9 da gruta Fumane</w:t>
      </w:r>
      <w:r>
        <w:t xml:space="preserve"> foram identificados </w:t>
      </w:r>
      <w:r w:rsidRPr="00200530">
        <w:t>3 bifaces.</w:t>
      </w:r>
      <w:r>
        <w:t xml:space="preserve"> O primeiro biface é extensivamente trabalhado o segundo é mais grosseiramente talhado e o último encontra-se muito fragmentado</w:t>
      </w:r>
      <w:r w:rsidRPr="00211AB5">
        <w:t>. Embora não tenham sido encontradas lascas de p</w:t>
      </w:r>
      <w:r>
        <w:t>reparação bifacial, a litologia</w:t>
      </w:r>
      <w:r w:rsidRPr="00211AB5">
        <w:t xml:space="preserve">, a </w:t>
      </w:r>
      <w:proofErr w:type="gramStart"/>
      <w:r w:rsidRPr="00211AB5">
        <w:t>patina</w:t>
      </w:r>
      <w:proofErr w:type="gramEnd"/>
      <w:r w:rsidRPr="00211AB5">
        <w:t xml:space="preserve"> e tipo de retoque é semelhante ao do resto do conjunto. Nã</w:t>
      </w:r>
      <w:r>
        <w:t>o se está</w:t>
      </w:r>
      <w:r w:rsidRPr="00211AB5">
        <w:t xml:space="preserve"> na presença de</w:t>
      </w:r>
      <w:r>
        <w:t xml:space="preserve"> artefactos recolhidos fora do </w:t>
      </w:r>
      <w:r w:rsidRPr="00211AB5">
        <w:t xml:space="preserve">sítio mas de peças que fazem parte de um determinado contexto. </w:t>
      </w:r>
      <w:r>
        <w:t>O autor não esp</w:t>
      </w:r>
      <w:r w:rsidRPr="00211AB5">
        <w:t>ecifica o significado funcional e ecológico destes bifaces</w:t>
      </w:r>
      <w:r>
        <w:t>.</w:t>
      </w:r>
      <w:r w:rsidRPr="00211AB5">
        <w:t xml:space="preserve"> </w:t>
      </w:r>
      <w:r w:rsidRPr="00200530">
        <w:t>O nível subjacente o BR11 foi d</w:t>
      </w:r>
      <w:r>
        <w:t>a</w:t>
      </w:r>
      <w:r w:rsidRPr="00200530">
        <w:t>tad</w:t>
      </w:r>
      <w:r>
        <w:t>o</w:t>
      </w:r>
      <w:r w:rsidRPr="00200530">
        <w:t xml:space="preserve"> em 55±7 Ka</w:t>
      </w:r>
      <w:r>
        <w:t xml:space="preserve">. </w:t>
      </w:r>
    </w:p>
    <w:p w:rsidR="008E1408" w:rsidRDefault="008E1408" w:rsidP="008E1408">
      <w:pPr>
        <w:spacing w:line="360" w:lineRule="auto"/>
        <w:jc w:val="both"/>
      </w:pPr>
      <w:r w:rsidRPr="00211AB5">
        <w:t>(Peresani, 2012).</w:t>
      </w:r>
    </w:p>
    <w:p w:rsidR="008E1408" w:rsidRDefault="008E1408" w:rsidP="006C1C5C">
      <w:pPr>
        <w:spacing w:line="360" w:lineRule="auto"/>
        <w:ind w:firstLine="708"/>
        <w:jc w:val="both"/>
      </w:pPr>
      <w:r w:rsidRPr="00DF6712">
        <w:t xml:space="preserve">No noroeste dos Pirenéus, </w:t>
      </w:r>
      <w:r>
        <w:t>a</w:t>
      </w:r>
      <w:r w:rsidRPr="00DF6712">
        <w:t>parecem bifaces e machados de mão em algumas series líticas</w:t>
      </w:r>
      <w:r>
        <w:t xml:space="preserve"> tendo sido apresentado o termo Vasconiense para definir estes conjuntos líticos</w:t>
      </w:r>
      <w:r w:rsidRPr="00DF6712">
        <w:t xml:space="preserve">. O limite </w:t>
      </w:r>
      <w:r>
        <w:t xml:space="preserve">geográfico </w:t>
      </w:r>
      <w:r w:rsidRPr="00DF6712">
        <w:t xml:space="preserve">da distribuição </w:t>
      </w:r>
      <w:proofErr w:type="gramStart"/>
      <w:r>
        <w:t>espacial  para</w:t>
      </w:r>
      <w:proofErr w:type="gramEnd"/>
      <w:r>
        <w:t xml:space="preserve"> E</w:t>
      </w:r>
      <w:r w:rsidRPr="00DF6712">
        <w:t>ste deste fenómeno</w:t>
      </w:r>
      <w:r>
        <w:t xml:space="preserve"> </w:t>
      </w:r>
      <w:r w:rsidRPr="00DF6712">
        <w:t>coincide com a gruta do Noisetier. Neste loca</w:t>
      </w:r>
      <w:r>
        <w:t>l e no sítio Olha I</w:t>
      </w:r>
      <w:r w:rsidRPr="00DF6712">
        <w:t xml:space="preserve"> os machados de mão apresentam dimensões reduzidas (4 a 6 cm de comprimento).</w:t>
      </w:r>
      <w:r>
        <w:t xml:space="preserve"> </w:t>
      </w:r>
      <w:r w:rsidRPr="00DF6712">
        <w:t>Os bifaces estão present</w:t>
      </w:r>
      <w:r>
        <w:t>e</w:t>
      </w:r>
      <w:r w:rsidRPr="00DF6712">
        <w:t>s em Olha I e II Haregui, Calavanté e no Noisetier.</w:t>
      </w:r>
      <w:r>
        <w:t xml:space="preserve"> </w:t>
      </w:r>
      <w:r w:rsidRPr="00DF6712">
        <w:t xml:space="preserve">Em termos de cronologia Olha II foi datado por biocronologia </w:t>
      </w:r>
      <w:r>
        <w:t>entre</w:t>
      </w:r>
      <w:r w:rsidRPr="00DF6712">
        <w:t xml:space="preserve"> 60 /45 Ka e o Noisetier entre 45 100</w:t>
      </w:r>
      <w:r>
        <w:t xml:space="preserve"> e</w:t>
      </w:r>
      <w:r w:rsidRPr="00DF6712">
        <w:t xml:space="preserve"> 39 700 anos por C14AMS </w:t>
      </w:r>
      <w:r>
        <w:t>(</w:t>
      </w:r>
      <w:r w:rsidRPr="00DF6712">
        <w:t>Thi</w:t>
      </w:r>
      <w:r>
        <w:t xml:space="preserve">ébaut </w:t>
      </w:r>
      <w:r w:rsidRPr="00041F69">
        <w:rPr>
          <w:i/>
        </w:rPr>
        <w:t>et al</w:t>
      </w:r>
      <w:r>
        <w:t xml:space="preserve">, 2012). De realçar que a data C14 se encontra na zona limite do método de datação. </w:t>
      </w:r>
    </w:p>
    <w:p w:rsidR="008E1408" w:rsidRDefault="008E1408" w:rsidP="006C1C5C">
      <w:pPr>
        <w:spacing w:line="360" w:lineRule="auto"/>
        <w:ind w:firstLine="708"/>
        <w:jc w:val="both"/>
        <w:rPr>
          <w:color w:val="FF0000"/>
        </w:rPr>
      </w:pPr>
      <w:r>
        <w:t>Voltando a Portugal é interessante verificar que na gruta da Furninha, em Peniche, no nível 3, foi identificado a presença de um biface em associação com matériais líticos atribuídos ao Paleolítico médio. Esta aparente mescla foi atribuída a correntes que circularam no interior da gruta (Cardoso, 2006). Seria proveitoso rever este material que poderá muito bem poder ser incluído neste fenómeno.</w:t>
      </w:r>
      <w:r w:rsidRPr="002839B2">
        <w:rPr>
          <w:color w:val="FF0000"/>
        </w:rPr>
        <w:t xml:space="preserve"> </w:t>
      </w:r>
    </w:p>
    <w:p w:rsidR="008E1408" w:rsidRPr="00625C38" w:rsidRDefault="008E1408" w:rsidP="006C1C5C">
      <w:pPr>
        <w:autoSpaceDE w:val="0"/>
        <w:autoSpaceDN w:val="0"/>
        <w:adjustRightInd w:val="0"/>
        <w:spacing w:line="360" w:lineRule="auto"/>
        <w:ind w:firstLine="708"/>
        <w:jc w:val="both"/>
      </w:pPr>
      <w:r w:rsidRPr="00625C38">
        <w:t xml:space="preserve">Na gruta da Oliveira, verifica-se o desaparecimento dos </w:t>
      </w:r>
      <w:r w:rsidRPr="00625C38">
        <w:rPr>
          <w:i/>
        </w:rPr>
        <w:t>hachereaux</w:t>
      </w:r>
      <w:r w:rsidRPr="00625C38">
        <w:t xml:space="preserve"> e pequenos bifaces a partir da camada 15. Estão presentes desde a camada 22 e desaparecem do registo nas camadas 14 à 7.</w:t>
      </w:r>
      <w:r>
        <w:t xml:space="preserve"> </w:t>
      </w:r>
      <w:r w:rsidRPr="00625C38">
        <w:t>As camadas 14 a 25 são atribuídas ao Estádio</w:t>
      </w:r>
      <w:r>
        <w:t xml:space="preserve"> </w:t>
      </w:r>
      <w:r w:rsidRPr="00625C38">
        <w:t>Isotópico 4,</w:t>
      </w:r>
      <w:r>
        <w:t xml:space="preserve"> datando de</w:t>
      </w:r>
      <w:r w:rsidRPr="00625C38">
        <w:t xml:space="preserve"> ~60</w:t>
      </w:r>
      <w:r>
        <w:rPr>
          <w:rFonts w:eastAsia="MS Mincho" w:hAnsi="MS Mincho"/>
        </w:rPr>
        <w:t>/</w:t>
      </w:r>
      <w:r w:rsidRPr="00625C38">
        <w:t>70</w:t>
      </w:r>
      <w:r w:rsidRPr="00B80363">
        <w:t xml:space="preserve"> ka</w:t>
      </w:r>
      <w:r w:rsidRPr="00625C38">
        <w:t xml:space="preserve"> (Zilhão </w:t>
      </w:r>
      <w:r w:rsidRPr="00625C38">
        <w:rPr>
          <w:i/>
        </w:rPr>
        <w:t>et al</w:t>
      </w:r>
      <w:r w:rsidRPr="00625C38">
        <w:t xml:space="preserve">, 2013). </w:t>
      </w:r>
    </w:p>
    <w:p w:rsidR="008E1408" w:rsidRDefault="008E1408" w:rsidP="006C1C5C">
      <w:pPr>
        <w:spacing w:line="360" w:lineRule="auto"/>
        <w:ind w:firstLine="708"/>
        <w:jc w:val="both"/>
      </w:pPr>
      <w:r>
        <w:t>O significado funcional destes bifaces pode ter a ver com o tratamento de carcaças de grandes herbívoros e, principalmente, na recolha de tutano, algo que os Neandertais do sul da Alemanha recorrentemente faziam (</w:t>
      </w:r>
      <w:r w:rsidRPr="00211AB5">
        <w:t xml:space="preserve">Conard </w:t>
      </w:r>
      <w:r w:rsidRPr="00211AB5">
        <w:rPr>
          <w:i/>
        </w:rPr>
        <w:t>et al</w:t>
      </w:r>
      <w:r w:rsidRPr="00211AB5">
        <w:t>, 2012).</w:t>
      </w:r>
      <w:r>
        <w:t xml:space="preserve"> </w:t>
      </w:r>
    </w:p>
    <w:p w:rsidR="008E1408" w:rsidRDefault="008E1408" w:rsidP="006C1C5C">
      <w:pPr>
        <w:spacing w:line="360" w:lineRule="auto"/>
        <w:ind w:firstLine="708"/>
        <w:jc w:val="both"/>
      </w:pPr>
      <w:r>
        <w:t xml:space="preserve">Do mesmo modo no sítio do Paleolítico médio de Les Pradelles, localizada na região de Charente em França, verificou-se a abundância de tíbias e metatarsos em relação a partes do esqueleto axial, este último com maior valor nutricional. Este </w:t>
      </w:r>
      <w:r>
        <w:lastRenderedPageBreak/>
        <w:t xml:space="preserve">elevado valor de elementos dos membros é facilmente explicado quando é feita a relação entre os elementos do esqueleto e a capacidade da sua cavidade medular, sendo a tíbia e os metatarsos ricos em tutano </w:t>
      </w:r>
      <w:r w:rsidRPr="00E058E7">
        <w:rPr>
          <w:color w:val="000000"/>
        </w:rPr>
        <w:t>(Rendu</w:t>
      </w:r>
      <w:r w:rsidRPr="00E058E7">
        <w:rPr>
          <w:color w:val="000066"/>
        </w:rPr>
        <w:t xml:space="preserve"> </w:t>
      </w:r>
      <w:r w:rsidRPr="00B80363">
        <w:rPr>
          <w:i/>
        </w:rPr>
        <w:t>et al</w:t>
      </w:r>
      <w:r>
        <w:rPr>
          <w:i/>
        </w:rPr>
        <w:t>,</w:t>
      </w:r>
      <w:r w:rsidRPr="00B80363">
        <w:t xml:space="preserve"> 2012</w:t>
      </w:r>
      <w:r w:rsidRPr="00E058E7">
        <w:t>).</w:t>
      </w:r>
    </w:p>
    <w:p w:rsidR="008E1408" w:rsidRDefault="008E1408" w:rsidP="006C1C5C">
      <w:pPr>
        <w:spacing w:line="360" w:lineRule="auto"/>
        <w:ind w:firstLine="708"/>
        <w:jc w:val="both"/>
      </w:pPr>
      <w:r>
        <w:t xml:space="preserve">Outra das características apresentadas por esta estação tem a ver com a grande percentagem de quartzo existente no conjunto da indústria lítica recolhida. Este não é um facto isolado no Paleolítico médio português. É de referir várias estações onde esta matéria-prima é utilizada de forma significativa. </w:t>
      </w:r>
    </w:p>
    <w:p w:rsidR="008E1408" w:rsidRDefault="008E1408" w:rsidP="006C1C5C">
      <w:pPr>
        <w:spacing w:line="360" w:lineRule="auto"/>
        <w:ind w:firstLine="708"/>
        <w:jc w:val="both"/>
      </w:pPr>
      <w:r>
        <w:t xml:space="preserve">Na gruta da Oliveira, na camada 14, o quartzo constitui a matéria-prima mais utilizada (Matias, 2012). As datações para este nível rondarão os 61 Ka (Zilhão </w:t>
      </w:r>
      <w:r w:rsidRPr="00055E7F">
        <w:rPr>
          <w:i/>
        </w:rPr>
        <w:t xml:space="preserve">et </w:t>
      </w:r>
      <w:r w:rsidR="0019110D" w:rsidRPr="00055E7F">
        <w:rPr>
          <w:i/>
        </w:rPr>
        <w:t>al</w:t>
      </w:r>
      <w:r w:rsidR="0019110D">
        <w:t>,</w:t>
      </w:r>
      <w:r>
        <w:t xml:space="preserve"> 2013). O quartzo é também a matéria-prima dominante na sondagem realizada na galeria 18 da gruta do Escoural, atribuída ao Paleolítico médio (Araújo e Lejeune, 1995). </w:t>
      </w:r>
      <w:r w:rsidRPr="00034CB9">
        <w:t>Na Buraca Escura, Pombal, o nível C3a correspondente a uma ocupação do Paleolítico médio, também o quartzo faz p</w:t>
      </w:r>
      <w:r>
        <w:t>arte da matéria-prima utilizada (</w:t>
      </w:r>
      <w:r w:rsidRPr="00034CB9">
        <w:t>Aubry e Moura, 1994)</w:t>
      </w:r>
      <w:r>
        <w:t>.</w:t>
      </w:r>
    </w:p>
    <w:p w:rsidR="008E1408" w:rsidRDefault="008E1408" w:rsidP="006C1C5C">
      <w:pPr>
        <w:spacing w:line="360" w:lineRule="auto"/>
        <w:ind w:firstLine="708"/>
        <w:jc w:val="both"/>
      </w:pPr>
      <w:r>
        <w:t xml:space="preserve">Do outro lado da Fronteira, na estação de Vendimia (Cáceres, Espanha) o uso de quartzo é dominante atingindo mesmo o total 95% de toda a matéria-prima utilizada (Mejias, 2009). Também na região de Madrid, em Pinilla del Vale, no abrigo de Navalmaíllo, foi identificada uma indústria litica do Würm antigo cujo espectro lítico apresentava o predomínio de quartzo (Márquez </w:t>
      </w:r>
      <w:r w:rsidRPr="00544093">
        <w:rPr>
          <w:i/>
        </w:rPr>
        <w:t xml:space="preserve">et </w:t>
      </w:r>
      <w:r w:rsidR="0019110D" w:rsidRPr="00544093">
        <w:rPr>
          <w:i/>
        </w:rPr>
        <w:t>al</w:t>
      </w:r>
      <w:r w:rsidR="0019110D">
        <w:t>,</w:t>
      </w:r>
      <w:r>
        <w:t xml:space="preserve"> 2013).</w:t>
      </w:r>
    </w:p>
    <w:p w:rsidR="008E1408" w:rsidRPr="00E058E7" w:rsidRDefault="008E1408" w:rsidP="006C1C5C">
      <w:pPr>
        <w:spacing w:line="360" w:lineRule="auto"/>
        <w:ind w:firstLine="708"/>
        <w:jc w:val="both"/>
      </w:pPr>
      <w:r>
        <w:t xml:space="preserve">No sítio de Les Fieux (Lot, França) na camada K o quartzo também é o elemento mais numeroso do conjunto lítico, embora se se tiver em consideração o número de núcleos identificados passa para terceiro lugar (Thiébault </w:t>
      </w:r>
      <w:r w:rsidRPr="00E82224">
        <w:rPr>
          <w:i/>
        </w:rPr>
        <w:t>et al</w:t>
      </w:r>
      <w:r>
        <w:t>, 2009b). Esta situação prende-se com a grande fragmentação que o quartzo apresenta quando se talha.</w:t>
      </w:r>
    </w:p>
    <w:p w:rsidR="006C1C5C" w:rsidRDefault="008E1408" w:rsidP="006C1C5C">
      <w:pPr>
        <w:spacing w:line="360" w:lineRule="auto"/>
        <w:ind w:firstLine="708"/>
        <w:jc w:val="both"/>
      </w:pPr>
      <w:r>
        <w:t>No abrigo des Pêcheurs, situado no Sul de França no vale do Rodano também se recorreu maioritariamente a esta rocha para a produção de indústria lítica. Esta escolha é justificada pela raridade de sílex nas imediações do sítio e por tratar-se de uma paragem de caça de curta duração</w:t>
      </w:r>
      <w:r w:rsidRPr="007438D3">
        <w:t xml:space="preserve"> (Moncel e Deaujard, 2012</w:t>
      </w:r>
      <w:r>
        <w:t xml:space="preserve">). Porém, a raridade do sílex como razão para a utilização do quartzo parece rebuscada uma vez que noutros sítios próximos deste abrigo recorreram maioritariamente ao sílex. As cadeias operatórias aplicadas ao quartzo são as mesmas das aplicadas ao sílex.  </w:t>
      </w:r>
    </w:p>
    <w:p w:rsidR="008E1408" w:rsidRPr="00862DF4" w:rsidRDefault="008E1408" w:rsidP="008E1408">
      <w:pPr>
        <w:spacing w:line="360" w:lineRule="auto"/>
        <w:jc w:val="both"/>
      </w:pPr>
    </w:p>
    <w:p w:rsidR="008E1408" w:rsidRPr="00AB720F" w:rsidRDefault="008E1408" w:rsidP="006C1C5C">
      <w:pPr>
        <w:spacing w:line="360" w:lineRule="auto"/>
        <w:ind w:firstLine="708"/>
        <w:jc w:val="both"/>
      </w:pPr>
      <w:r>
        <w:t xml:space="preserve">Os dados recolhidos na estação da </w:t>
      </w:r>
      <w:r w:rsidRPr="0017398B">
        <w:t>Tapada do Montinho</w:t>
      </w:r>
      <w:r>
        <w:t xml:space="preserve"> referem-se principalmente à indústria lítica.</w:t>
      </w:r>
      <w:r w:rsidR="006C1C5C">
        <w:t xml:space="preserve"> </w:t>
      </w:r>
      <w:r w:rsidRPr="0017398B">
        <w:t>Em termos de matéria-prima</w:t>
      </w:r>
      <w:r>
        <w:t>,</w:t>
      </w:r>
      <w:r w:rsidRPr="0017398B">
        <w:t xml:space="preserve"> </w:t>
      </w:r>
      <w:r>
        <w:t xml:space="preserve">nesta estação </w:t>
      </w:r>
      <w:r w:rsidRPr="0017398B">
        <w:t>predomina o quartzito (82%) seguido do sílex (11</w:t>
      </w:r>
      <w:r w:rsidRPr="00AB720F">
        <w:t xml:space="preserve">%) e quartzo (6%). A qualidade do quartzito </w:t>
      </w:r>
      <w:r w:rsidRPr="00AB720F">
        <w:lastRenderedPageBreak/>
        <w:t xml:space="preserve">autóctone, de grão fino, justifica o predomínio deste tipo de matéria-prima nesta série uma vez que permite a aplicação de várias técnicas de talhe nomeadamente a Levallois. O quartzito é também preferencial nos vizinhos sítio de Vilas Ruivas e Foz do Enxarrique, situados apenas a algumas centenas de metros (Raposo, 1995). </w:t>
      </w:r>
    </w:p>
    <w:p w:rsidR="008E1408" w:rsidRDefault="008E1408" w:rsidP="006C1C5C">
      <w:pPr>
        <w:spacing w:line="360" w:lineRule="auto"/>
        <w:ind w:firstLine="708"/>
        <w:jc w:val="both"/>
      </w:pPr>
      <w:r>
        <w:t xml:space="preserve">De facto, neste conjunto não foi possível determinar o tipo de suporte de 59% </w:t>
      </w:r>
      <w:r w:rsidRPr="00330D28">
        <w:t>das peças analisadas. Esta</w:t>
      </w:r>
      <w:r>
        <w:t xml:space="preserve"> impossibilidade</w:t>
      </w:r>
      <w:r w:rsidRPr="00330D28">
        <w:t xml:space="preserve"> de diagnóstico está relacionada com</w:t>
      </w:r>
      <w:r>
        <w:t xml:space="preserve"> o facto do material sem córtex representar 61% do total analisado, o que torna difícil a observação macroscópica.</w:t>
      </w:r>
    </w:p>
    <w:p w:rsidR="008E1408" w:rsidRDefault="008E1408" w:rsidP="006C1C5C">
      <w:pPr>
        <w:spacing w:line="360" w:lineRule="auto"/>
        <w:ind w:firstLine="708"/>
        <w:jc w:val="both"/>
      </w:pPr>
      <w:r>
        <w:t xml:space="preserve">Na colecção patinada verificou-se a presença de </w:t>
      </w:r>
      <w:r w:rsidR="006C1C5C">
        <w:t>utensílios com</w:t>
      </w:r>
      <w:r>
        <w:t xml:space="preserve"> entalhes paralelos opostos (capítulo 6.3., figura 6.3.1, n.º 1). Estes entalhes situam-se na </w:t>
      </w:r>
      <w:proofErr w:type="gramStart"/>
      <w:r>
        <w:t>metade</w:t>
      </w:r>
      <w:proofErr w:type="gramEnd"/>
      <w:r>
        <w:t xml:space="preserve"> </w:t>
      </w:r>
      <w:proofErr w:type="gramStart"/>
      <w:r>
        <w:t>proximal</w:t>
      </w:r>
      <w:proofErr w:type="gramEnd"/>
      <w:r>
        <w:t xml:space="preserve"> da peça </w:t>
      </w:r>
      <w:r w:rsidR="006C1C5C">
        <w:t>e indicia</w:t>
      </w:r>
      <w:r>
        <w:t xml:space="preserve"> fortemente que esta peça terá sido alvo de encabamento. </w:t>
      </w:r>
    </w:p>
    <w:p w:rsidR="008E1408" w:rsidRDefault="008E1408" w:rsidP="006C1C5C">
      <w:pPr>
        <w:spacing w:line="360" w:lineRule="auto"/>
        <w:ind w:firstLine="708"/>
        <w:jc w:val="both"/>
      </w:pPr>
      <w:r>
        <w:t>Na Tapada do Montinho existem materiais com duas patinas. Não existem peças com patina</w:t>
      </w:r>
      <w:r w:rsidR="006C1C5C">
        <w:t>s</w:t>
      </w:r>
      <w:r>
        <w:t xml:space="preserve"> duplas que indicariam uma reutilização de suportes. Existe sim um nível sedimentológico que embala uma indústria mais antiga, em posição secundária, e uma mais recente. </w:t>
      </w:r>
    </w:p>
    <w:p w:rsidR="008E1408" w:rsidRDefault="006C1C5C" w:rsidP="0019110D">
      <w:pPr>
        <w:spacing w:line="360" w:lineRule="auto"/>
        <w:ind w:firstLine="708"/>
        <w:jc w:val="both"/>
      </w:pPr>
      <w:r>
        <w:t xml:space="preserve">Outra conclusão que </w:t>
      </w:r>
      <w:r w:rsidR="008E1408">
        <w:t>se pode</w:t>
      </w:r>
      <w:r w:rsidR="008E1408" w:rsidRPr="00EC7AF0">
        <w:t xml:space="preserve"> tirar da an</w:t>
      </w:r>
      <w:r w:rsidR="008E1408">
        <w:t>álise do espólio da Tapada do Montinho tem a ver com o transporte e abandono de artefactos entre sítios, como se pode observar com a análise do módulo das lascas Kombewa, de maior dimensão, recuperadas no sítio e que deverão ter sido produzidas noutro local. Este transporte de utensílios ou bases pré-formatadas, entre diferentes locais, já foi identifacada noutras estações. Na Catalunha, na estação da Roca del Bous, este fenómeno resumia-se a lascas Levallois, de sílex, qu</w:t>
      </w:r>
      <w:r>
        <w:t xml:space="preserve">e não poderam ser produzidas a </w:t>
      </w:r>
      <w:r w:rsidR="008E1408">
        <w:t xml:space="preserve">partir dos núcleos presentes na estação (Mora </w:t>
      </w:r>
      <w:r w:rsidR="008E1408" w:rsidRPr="00A248CA">
        <w:rPr>
          <w:i/>
        </w:rPr>
        <w:t>et al</w:t>
      </w:r>
      <w:r w:rsidR="008E1408">
        <w:t xml:space="preserve">, 2008).   </w:t>
      </w:r>
    </w:p>
    <w:p w:rsidR="008E1408" w:rsidRPr="00E04661" w:rsidRDefault="008E1408" w:rsidP="006C1C5C">
      <w:pPr>
        <w:spacing w:line="360" w:lineRule="auto"/>
        <w:ind w:firstLine="708"/>
        <w:jc w:val="both"/>
      </w:pPr>
      <w:r>
        <w:t>Também na Catalunh</w:t>
      </w:r>
      <w:r w:rsidRPr="006819E9">
        <w:t>a</w:t>
      </w:r>
      <w:r>
        <w:t xml:space="preserve"> (Espanha</w:t>
      </w:r>
      <w:r w:rsidRPr="006819E9">
        <w:t>)</w:t>
      </w:r>
      <w:r>
        <w:t>,</w:t>
      </w:r>
      <w:r w:rsidRPr="006819E9">
        <w:t xml:space="preserve"> na gruta de </w:t>
      </w:r>
      <w:r>
        <w:t>Teixoneres,</w:t>
      </w:r>
      <w:r w:rsidRPr="00E04661">
        <w:t xml:space="preserve"> </w:t>
      </w:r>
      <w:r>
        <w:t>que poderá ser entendido como uma ocupação de curta duração, verificou-se a presença de um número reduzido de elementos arqueológicos produzidos no local. Entre a indústria lítica, utensílios, lascas, utensílios retocados e núcleos esgotados são numerosos, indiciando que boa parte destes chegaram à gruta como produtos acabados, produzidos noutros lugares (</w:t>
      </w:r>
      <w:r w:rsidRPr="00E04661">
        <w:t xml:space="preserve">Rossell </w:t>
      </w:r>
      <w:r w:rsidRPr="00E04661">
        <w:rPr>
          <w:i/>
        </w:rPr>
        <w:t>et al</w:t>
      </w:r>
      <w:r>
        <w:rPr>
          <w:i/>
        </w:rPr>
        <w:t>,</w:t>
      </w:r>
      <w:r w:rsidRPr="00E04661">
        <w:t xml:space="preserve"> 2010</w:t>
      </w:r>
      <w:r>
        <w:t>). Esta tendência revela uma notória capacidade de previsão e antecipação destas populações, que deveriam deslocar-se no território com uma panóplia lítica essencialmente preparada para atender a qualquer necessidade previsível (</w:t>
      </w:r>
      <w:r w:rsidRPr="00E04661">
        <w:t xml:space="preserve">Rossell </w:t>
      </w:r>
      <w:r w:rsidRPr="00E04661">
        <w:rPr>
          <w:i/>
        </w:rPr>
        <w:t>et al</w:t>
      </w:r>
      <w:r>
        <w:rPr>
          <w:i/>
        </w:rPr>
        <w:t>,</w:t>
      </w:r>
      <w:r w:rsidRPr="00E04661">
        <w:t xml:space="preserve"> 2010</w:t>
      </w:r>
      <w:r>
        <w:t xml:space="preserve">).  </w:t>
      </w:r>
    </w:p>
    <w:p w:rsidR="008E1408" w:rsidRDefault="008E1408" w:rsidP="006C1C5C">
      <w:pPr>
        <w:spacing w:line="360" w:lineRule="auto"/>
        <w:ind w:firstLine="708"/>
        <w:jc w:val="both"/>
      </w:pPr>
      <w:r>
        <w:t xml:space="preserve"> Na gruta do Figuier (Ardeche-França) a ocupação humana das salas mais interiores (sala 2 e 3) associada ao Paleolítico médio, a maior parte das lascas medindo </w:t>
      </w:r>
      <w:r>
        <w:lastRenderedPageBreak/>
        <w:t xml:space="preserve">entre 30 e 50 mm não podem ter sido talhadas a partir de núcleos presentes neste local, de dimensões diferentes e de tipo de sílex diferentes. Neste caso a localização da zona de talhe não pode ser definida, existindo a possibilidade de se localizar numa área mais afastada ou simplesmente fora da gruta (Moncel </w:t>
      </w:r>
      <w:r w:rsidRPr="00B961F7">
        <w:rPr>
          <w:i/>
        </w:rPr>
        <w:t>et al</w:t>
      </w:r>
      <w:r>
        <w:t xml:space="preserve">, 2012). </w:t>
      </w:r>
    </w:p>
    <w:p w:rsidR="008E1408" w:rsidRDefault="008E1408" w:rsidP="006C1C5C">
      <w:pPr>
        <w:pStyle w:val="Corpodetexto"/>
        <w:spacing w:line="360" w:lineRule="auto"/>
        <w:ind w:firstLine="708"/>
        <w:jc w:val="both"/>
      </w:pPr>
      <w:r>
        <w:t>Na estação da Tapada do Montinho</w:t>
      </w:r>
      <w:r w:rsidRPr="004E0CA2">
        <w:t xml:space="preserve"> </w:t>
      </w:r>
      <w:r>
        <w:t xml:space="preserve">foi identificado, pela primeira vez no conjunto das três ocupações humanas da Bacia do Arneiro, a presença de talhe Quina. Além da raspadeira, algumas lascas, identificadas na colecção lítica, parecem vir de talhe quina. </w:t>
      </w:r>
    </w:p>
    <w:p w:rsidR="008E1408" w:rsidRDefault="008E1408" w:rsidP="006C1C5C">
      <w:pPr>
        <w:pStyle w:val="Corpodetexto"/>
        <w:spacing w:line="360" w:lineRule="auto"/>
        <w:ind w:firstLine="708"/>
        <w:jc w:val="both"/>
      </w:pPr>
      <w:r>
        <w:t>Na gruta de L</w:t>
      </w:r>
      <w:r w:rsidRPr="00224589">
        <w:t>‘Esquilleu,</w:t>
      </w:r>
      <w:r>
        <w:t xml:space="preserve"> na Cantábria, no conjunto das </w:t>
      </w:r>
      <w:r w:rsidRPr="00224589">
        <w:t>cadeias o</w:t>
      </w:r>
      <w:r>
        <w:t xml:space="preserve">perativas identificadas definiram-se algumas com funções mais especializadas. </w:t>
      </w:r>
      <w:r w:rsidRPr="00224589">
        <w:t>A</w:t>
      </w:r>
      <w:r>
        <w:t>s produções de tipo Quina</w:t>
      </w:r>
      <w:r w:rsidRPr="00224589">
        <w:t xml:space="preserve"> foram </w:t>
      </w:r>
      <w:r w:rsidR="006C1C5C" w:rsidRPr="00224589">
        <w:t xml:space="preserve">atribuídas </w:t>
      </w:r>
      <w:r w:rsidR="006C1C5C">
        <w:t>a este</w:t>
      </w:r>
      <w:r>
        <w:t xml:space="preserve"> último tipo de</w:t>
      </w:r>
      <w:r w:rsidRPr="00224589">
        <w:t xml:space="preserve"> produções</w:t>
      </w:r>
      <w:r>
        <w:t>,</w:t>
      </w:r>
      <w:r w:rsidRPr="00224589">
        <w:t xml:space="preserve"> com</w:t>
      </w:r>
      <w:r>
        <w:t xml:space="preserve"> um alto grau de especialização. Neste caso em particular a produção de elementos de tipo raspadeira deveria-se</w:t>
      </w:r>
      <w:r w:rsidRPr="00224589">
        <w:t xml:space="preserve"> ao aproveitamento </w:t>
      </w:r>
      <w:r>
        <w:t>intensivo de recursos orgânicos</w:t>
      </w:r>
      <w:r w:rsidRPr="00224589">
        <w:t xml:space="preserve">, possivelmente peles (Carrión </w:t>
      </w:r>
      <w:r w:rsidRPr="00224589">
        <w:rPr>
          <w:i/>
        </w:rPr>
        <w:t>et al</w:t>
      </w:r>
      <w:r w:rsidRPr="00224589">
        <w:t>, 2008).</w:t>
      </w:r>
    </w:p>
    <w:p w:rsidR="008E1408" w:rsidRPr="000B6177" w:rsidRDefault="008E1408" w:rsidP="006C1C5C">
      <w:pPr>
        <w:spacing w:line="360" w:lineRule="auto"/>
        <w:ind w:firstLine="708"/>
        <w:jc w:val="both"/>
      </w:pPr>
      <w:r w:rsidRPr="00B42DCE">
        <w:t>No norte de Itália, na gruta Fumane identificou-se um corte tecnológico e tipol</w:t>
      </w:r>
      <w:r>
        <w:t xml:space="preserve">ógico que consistiu na substituição de conjuntos marcadamente Levallois por conjuntos com características Quina. </w:t>
      </w:r>
      <w:r w:rsidRPr="00B42DCE">
        <w:t>Esta alteração ocorre entre os níveis BR6 e BR3</w:t>
      </w:r>
      <w:r>
        <w:t>, não datados,</w:t>
      </w:r>
      <w:r w:rsidRPr="00B42DCE">
        <w:t xml:space="preserve"> e coincide com alteraç</w:t>
      </w:r>
      <w:r>
        <w:t xml:space="preserve">ões no tipo de ocupação do espaço </w:t>
      </w:r>
      <w:r w:rsidRPr="00211AB5">
        <w:t>(Peresani, 2012).</w:t>
      </w:r>
    </w:p>
    <w:p w:rsidR="008E1408" w:rsidRDefault="008E1408" w:rsidP="008E1408">
      <w:pPr>
        <w:spacing w:line="360" w:lineRule="auto"/>
        <w:jc w:val="both"/>
      </w:pPr>
      <w:r>
        <w:t xml:space="preserve">Como na estação dos Pegos do Tejo 2, também na Tapada do Montinho foram identificadas peças que </w:t>
      </w:r>
      <w:r w:rsidR="006C1C5C">
        <w:t>poderão corresponder</w:t>
      </w:r>
      <w:r>
        <w:t xml:space="preserve"> a armações para elementos compósitos. Surgiu a hipótese </w:t>
      </w:r>
      <w:r w:rsidR="006C1C5C">
        <w:t>destes elementos</w:t>
      </w:r>
      <w:r>
        <w:t xml:space="preserve"> serem mantidos com o recurso a adesivos vegetais (resinas) recolhidos nesta estação (foto 7.1). Porém a análise desta substância pelo laboratório Hércules, da Universidade de </w:t>
      </w:r>
      <w:r w:rsidR="006C1C5C">
        <w:t>Évora, veio</w:t>
      </w:r>
      <w:r>
        <w:t xml:space="preserve"> confirmar a origem mineral e não orgânica do composto analisado. </w:t>
      </w:r>
    </w:p>
    <w:p w:rsidR="008E1408" w:rsidRDefault="008E1408" w:rsidP="008E1408">
      <w:pPr>
        <w:spacing w:line="360" w:lineRule="auto"/>
        <w:jc w:val="both"/>
      </w:pPr>
    </w:p>
    <w:p w:rsidR="008E1408" w:rsidRDefault="00EA3774" w:rsidP="008E1408">
      <w:pPr>
        <w:spacing w:line="360" w:lineRule="auto"/>
        <w:jc w:val="both"/>
      </w:pPr>
      <w:r>
        <w:rPr>
          <w:lang w:eastAsia="en-US"/>
        </w:rPr>
        <w:lastRenderedPageBreak/>
        <w:pict>
          <v:shape id="_x0000_s1682" type="#_x0000_t202" style="position:absolute;left:0;text-align:left;margin-left:-.15pt;margin-top:-4.15pt;width:198.35pt;height:73.15pt;z-index:251851776;mso-width-relative:margin;mso-height-relative:margin" stroked="f">
            <v:textbox style="mso-next-textbox:#_x0000_s1682">
              <w:txbxContent>
                <w:p w:rsidR="00B34B0F" w:rsidRPr="0054577D" w:rsidRDefault="00B34B0F" w:rsidP="008E1408">
                  <w:pPr>
                    <w:rPr>
                      <w:sz w:val="22"/>
                      <w:szCs w:val="22"/>
                    </w:rPr>
                  </w:pPr>
                  <w:r w:rsidRPr="0054577D">
                    <w:rPr>
                      <w:sz w:val="22"/>
                      <w:szCs w:val="22"/>
                    </w:rPr>
                    <w:t>Foto 7. 1 – Tapada do Montinho: substância vítrea recolhida no sítio, analisada pelo</w:t>
                  </w:r>
                  <w:r w:rsidRPr="00F02A8E">
                    <w:t xml:space="preserve"> </w:t>
                  </w:r>
                  <w:r w:rsidRPr="0054577D">
                    <w:rPr>
                      <w:sz w:val="22"/>
                      <w:szCs w:val="22"/>
                    </w:rPr>
                    <w:t>laboratório Hércules (U</w:t>
                  </w:r>
                  <w:r>
                    <w:rPr>
                      <w:sz w:val="22"/>
                      <w:szCs w:val="22"/>
                    </w:rPr>
                    <w:t>.É</w:t>
                  </w:r>
                  <w:r w:rsidRPr="0054577D">
                    <w:rPr>
                      <w:sz w:val="22"/>
                      <w:szCs w:val="22"/>
                    </w:rPr>
                    <w:t>vora) que se verificou ser inorgânica.</w:t>
                  </w:r>
                </w:p>
              </w:txbxContent>
            </v:textbox>
          </v:shape>
        </w:pict>
      </w:r>
      <w:r w:rsidR="008E1408">
        <w:rPr>
          <w:noProof/>
        </w:rPr>
        <w:drawing>
          <wp:inline distT="0" distB="0" distL="0" distR="0">
            <wp:extent cx="2570480" cy="2080895"/>
            <wp:effectExtent l="19050" t="0" r="1270" b="0"/>
            <wp:docPr id="475" name="Imagem 24" descr="argL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gL40"/>
                    <pic:cNvPicPr>
                      <a:picLocks noChangeAspect="1" noChangeArrowheads="1"/>
                    </pic:cNvPicPr>
                  </pic:nvPicPr>
                  <pic:blipFill>
                    <a:blip r:embed="rId247" cstate="print"/>
                    <a:srcRect/>
                    <a:stretch>
                      <a:fillRect/>
                    </a:stretch>
                  </pic:blipFill>
                  <pic:spPr bwMode="auto">
                    <a:xfrm>
                      <a:off x="0" y="0"/>
                      <a:ext cx="2570480" cy="2080895"/>
                    </a:xfrm>
                    <a:prstGeom prst="rect">
                      <a:avLst/>
                    </a:prstGeom>
                    <a:noFill/>
                    <a:ln w="9525">
                      <a:noFill/>
                      <a:miter lim="800000"/>
                      <a:headEnd/>
                      <a:tailEnd/>
                    </a:ln>
                  </pic:spPr>
                </pic:pic>
              </a:graphicData>
            </a:graphic>
          </wp:inline>
        </w:drawing>
      </w:r>
      <w:r w:rsidR="008E1408">
        <w:rPr>
          <w:noProof/>
        </w:rPr>
        <w:drawing>
          <wp:inline distT="0" distB="0" distL="0" distR="0">
            <wp:extent cx="2779395" cy="2980690"/>
            <wp:effectExtent l="19050" t="0" r="1905" b="0"/>
            <wp:docPr id="476" name="Imagem 25" descr="resinat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inatpm"/>
                    <pic:cNvPicPr>
                      <a:picLocks noChangeAspect="1" noChangeArrowheads="1"/>
                    </pic:cNvPicPr>
                  </pic:nvPicPr>
                  <pic:blipFill>
                    <a:blip r:embed="rId248" cstate="print"/>
                    <a:srcRect/>
                    <a:stretch>
                      <a:fillRect/>
                    </a:stretch>
                  </pic:blipFill>
                  <pic:spPr bwMode="auto">
                    <a:xfrm>
                      <a:off x="0" y="0"/>
                      <a:ext cx="2779395" cy="2980690"/>
                    </a:xfrm>
                    <a:prstGeom prst="rect">
                      <a:avLst/>
                    </a:prstGeom>
                    <a:noFill/>
                    <a:ln w="9525">
                      <a:noFill/>
                      <a:miter lim="800000"/>
                      <a:headEnd/>
                      <a:tailEnd/>
                    </a:ln>
                  </pic:spPr>
                </pic:pic>
              </a:graphicData>
            </a:graphic>
          </wp:inline>
        </w:drawing>
      </w:r>
    </w:p>
    <w:p w:rsidR="008E1408" w:rsidRDefault="008E1408" w:rsidP="008E1408">
      <w:pPr>
        <w:spacing w:line="360" w:lineRule="auto"/>
        <w:jc w:val="both"/>
      </w:pPr>
    </w:p>
    <w:p w:rsidR="008E1408" w:rsidRDefault="008E1408" w:rsidP="008E1408">
      <w:pPr>
        <w:spacing w:line="360" w:lineRule="auto"/>
        <w:jc w:val="both"/>
      </w:pPr>
    </w:p>
    <w:p w:rsidR="008E1408" w:rsidRDefault="008E1408" w:rsidP="006C1C5C">
      <w:pPr>
        <w:spacing w:line="360" w:lineRule="auto"/>
        <w:ind w:firstLine="708"/>
        <w:jc w:val="both"/>
      </w:pPr>
      <w:r>
        <w:t>A estação da Tapada do Montinho também revelou a presença de adornos. Embora a adscrição cronológica não seja concludente este é um dado a ter em conta. As datações sobre seixos permitiram verificar que o nível arqueológico do Paleolítico médio esteve exposto, d</w:t>
      </w:r>
      <w:r w:rsidR="006C1C5C">
        <w:t xml:space="preserve">evido a um processo de erosão, </w:t>
      </w:r>
      <w:r>
        <w:t>há cerca de 20 000 anos, podendo o adorno aqui encontrado ter sido depositado por essa altura. No entanto, verifica-se que o adorno apareceu bem dentro da camada datada do Paleolítico médio e não à superfície desta.</w:t>
      </w:r>
    </w:p>
    <w:p w:rsidR="008E1408" w:rsidRDefault="008E1408" w:rsidP="008E1408">
      <w:pPr>
        <w:spacing w:line="360" w:lineRule="auto"/>
        <w:jc w:val="both"/>
      </w:pPr>
    </w:p>
    <w:p w:rsidR="008E1408" w:rsidRPr="00B42DCE" w:rsidRDefault="008E1408" w:rsidP="008E1408">
      <w:pPr>
        <w:pStyle w:val="Corpodetexto"/>
        <w:spacing w:line="360" w:lineRule="auto"/>
        <w:jc w:val="both"/>
      </w:pPr>
    </w:p>
    <w:p w:rsidR="008E1408" w:rsidRPr="00863138" w:rsidRDefault="008E1408" w:rsidP="008E1408">
      <w:pPr>
        <w:pStyle w:val="Corpodetexto"/>
        <w:spacing w:line="360" w:lineRule="auto"/>
        <w:jc w:val="both"/>
      </w:pPr>
    </w:p>
    <w:p w:rsidR="008E1408" w:rsidRDefault="008E1408" w:rsidP="008E1408">
      <w:pPr>
        <w:pStyle w:val="Corpodetexto"/>
        <w:spacing w:line="360" w:lineRule="auto"/>
        <w:jc w:val="both"/>
        <w:rPr>
          <w:u w:val="single"/>
        </w:rPr>
      </w:pPr>
    </w:p>
    <w:p w:rsidR="008E1408" w:rsidRDefault="008E1408" w:rsidP="008E1408">
      <w:pPr>
        <w:pStyle w:val="Corpodetexto"/>
        <w:spacing w:line="360" w:lineRule="auto"/>
        <w:jc w:val="both"/>
        <w:rPr>
          <w:u w:val="single"/>
        </w:rPr>
      </w:pPr>
    </w:p>
    <w:p w:rsidR="008E1408" w:rsidRDefault="008E1408" w:rsidP="008E1408">
      <w:pPr>
        <w:pStyle w:val="Corpodetexto"/>
        <w:spacing w:line="360" w:lineRule="auto"/>
        <w:jc w:val="both"/>
        <w:rPr>
          <w:u w:val="single"/>
        </w:rPr>
      </w:pPr>
    </w:p>
    <w:p w:rsidR="008E1408" w:rsidRDefault="008E1408" w:rsidP="008E1408">
      <w:pPr>
        <w:pStyle w:val="Corpodetexto"/>
        <w:spacing w:line="360" w:lineRule="auto"/>
        <w:jc w:val="both"/>
        <w:rPr>
          <w:u w:val="single"/>
        </w:rPr>
      </w:pPr>
    </w:p>
    <w:p w:rsidR="008E1408" w:rsidRDefault="008E1408" w:rsidP="008E1408">
      <w:pPr>
        <w:pStyle w:val="Corpodetexto"/>
        <w:spacing w:line="360" w:lineRule="auto"/>
        <w:jc w:val="both"/>
        <w:rPr>
          <w:u w:val="single"/>
        </w:rPr>
      </w:pPr>
    </w:p>
    <w:p w:rsidR="008E1408" w:rsidRPr="00876EB4" w:rsidRDefault="008E1408" w:rsidP="008E1408">
      <w:pPr>
        <w:spacing w:line="360" w:lineRule="auto"/>
        <w:jc w:val="both"/>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8D06DE" w:rsidRPr="00CF22F3" w:rsidRDefault="008D06DE" w:rsidP="008E1408">
      <w:pPr>
        <w:spacing w:line="360" w:lineRule="auto"/>
        <w:jc w:val="both"/>
        <w:rPr>
          <w:b/>
          <w:sz w:val="28"/>
          <w:szCs w:val="28"/>
          <w:u w:val="single"/>
        </w:rPr>
      </w:pPr>
    </w:p>
    <w:p w:rsidR="006C1C5C" w:rsidRDefault="006C1C5C" w:rsidP="006C1C5C">
      <w:pPr>
        <w:pStyle w:val="Corpodetexto"/>
        <w:ind w:hanging="142"/>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rPr>
          <w:u w:val="single"/>
        </w:rPr>
      </w:pPr>
    </w:p>
    <w:p w:rsidR="006C1C5C" w:rsidRDefault="006C1C5C" w:rsidP="006C1C5C">
      <w:pPr>
        <w:pStyle w:val="Corpodetexto"/>
        <w:spacing w:line="360" w:lineRule="auto"/>
        <w:jc w:val="both"/>
        <w:rPr>
          <w:b/>
          <w:u w:val="single"/>
        </w:rPr>
      </w:pPr>
    </w:p>
    <w:p w:rsidR="006C1C5C" w:rsidRPr="00DB797E" w:rsidRDefault="006C1C5C" w:rsidP="006C1C5C">
      <w:pPr>
        <w:pStyle w:val="Corpodetexto"/>
        <w:spacing w:line="360" w:lineRule="auto"/>
        <w:jc w:val="right"/>
        <w:rPr>
          <w:b/>
        </w:rPr>
      </w:pPr>
      <w:r>
        <w:rPr>
          <w:b/>
          <w:u w:val="single"/>
        </w:rPr>
        <w:t xml:space="preserve">VIII- </w:t>
      </w:r>
      <w:r w:rsidR="0019110D">
        <w:rPr>
          <w:b/>
          <w:u w:val="single"/>
        </w:rPr>
        <w:t>BALANÇO,</w:t>
      </w:r>
      <w:r>
        <w:rPr>
          <w:b/>
          <w:u w:val="single"/>
        </w:rPr>
        <w:t xml:space="preserve"> PERSPE</w:t>
      </w:r>
      <w:r w:rsidRPr="00DB797E">
        <w:rPr>
          <w:b/>
          <w:u w:val="single"/>
        </w:rPr>
        <w:t>TIVAS</w:t>
      </w:r>
      <w:r>
        <w:rPr>
          <w:b/>
          <w:u w:val="single"/>
        </w:rPr>
        <w:t xml:space="preserve"> E CONCLUSÕES</w:t>
      </w:r>
      <w:r w:rsidRPr="00DB797E">
        <w:rPr>
          <w:b/>
        </w:rPr>
        <w:t xml:space="preserve"> </w:t>
      </w:r>
    </w:p>
    <w:p w:rsidR="006C1C5C" w:rsidRDefault="006C1C5C" w:rsidP="006C1C5C">
      <w:pPr>
        <w:pStyle w:val="Corpodetexto"/>
        <w:spacing w:line="360" w:lineRule="auto"/>
        <w:jc w:val="both"/>
      </w:pPr>
    </w:p>
    <w:p w:rsidR="006C1C5C" w:rsidRDefault="006C1C5C" w:rsidP="006C1C5C">
      <w:pPr>
        <w:pStyle w:val="Corpodetexto"/>
        <w:spacing w:line="360" w:lineRule="auto"/>
        <w:jc w:val="both"/>
      </w:pPr>
    </w:p>
    <w:p w:rsidR="006C1C5C" w:rsidRDefault="006C1C5C" w:rsidP="006C1C5C">
      <w:pPr>
        <w:pStyle w:val="Corpodetexto"/>
        <w:spacing w:line="360" w:lineRule="auto"/>
        <w:jc w:val="both"/>
      </w:pPr>
    </w:p>
    <w:p w:rsidR="006C1C5C" w:rsidRDefault="006C1C5C" w:rsidP="006C1C5C">
      <w:pPr>
        <w:pStyle w:val="Corpodetexto"/>
        <w:spacing w:line="360" w:lineRule="auto"/>
        <w:ind w:firstLine="708"/>
        <w:jc w:val="both"/>
      </w:pPr>
      <w:r w:rsidRPr="00A608AF">
        <w:lastRenderedPageBreak/>
        <w:t xml:space="preserve">Os dados retirados do estudo das colecções líticas das estações dos Pegos do Tejo 2, Azinhal e Tapada </w:t>
      </w:r>
      <w:r>
        <w:t xml:space="preserve">do Montinho permitem apresentar novos dados e verificar hipóteses antigas. Algumas das conclusões apresentadas por Raposo (1993) sobre o Paleolítico médio podem agora ser revistas à luz de novos dados. </w:t>
      </w:r>
    </w:p>
    <w:p w:rsidR="006C1C5C" w:rsidRPr="002A4A80" w:rsidRDefault="006C1C5C" w:rsidP="006C1C5C">
      <w:pPr>
        <w:spacing w:line="360" w:lineRule="auto"/>
        <w:ind w:firstLine="708"/>
        <w:jc w:val="both"/>
      </w:pPr>
      <w:r>
        <w:t xml:space="preserve">Nos pressupostos levantados pelo investigador, assumia-se que não se encontra demonstrada a existência de indústrias Moustierenses durante o Riss (Pleistoceno médio). As datações obtidas para a estação dos Pegos do Tejo 2 indicam a existência de indústrias Moustierenses no Pleistocénico médio final em Portugal. Estes dados vão ao encontro de alguns dados existentes para a Península Ibérica anteriormente referidos (Cap. IV). </w:t>
      </w:r>
    </w:p>
    <w:p w:rsidR="006C1C5C" w:rsidRDefault="006C1C5C" w:rsidP="006C1C5C">
      <w:pPr>
        <w:spacing w:line="360" w:lineRule="auto"/>
        <w:ind w:firstLine="708"/>
        <w:jc w:val="both"/>
      </w:pPr>
      <w:r>
        <w:t xml:space="preserve">Assumia-se um prolongamento até ao Pleistoceno Superior de indústrias com uma componente bifacial, inserida no grupo das indústrias ditas “Micoquenses”. De facto não aparece na bacia do Arneiro este tipo de continuação das indústrias bifaciais. Verifica-se, na estação dos Pegos do Tejo 2 uma ausência de bifaces. O biface que aqui foi recolhido é reutilizado, servindo de raspador nesta segunda fase de uso. A indústria deste conjunto não apresenta qualquer característica de talhe bifacial. Na estação do Azinhal verifica-se um reaparecimento da presença de bifaces, estes sim de tipo Micoquense, na colecção lítica recolhida. Este fenómeno deve ser interpretado como um retorno a um método de talhe que foi abandonado e depois retomado. Este fenómeno não parece ser de cariz regional mas corresponde sim a um fenómeno que se estende ao resto da Peninsula Ibérica, com o Vasconiense, em toda a Europa, com o fenómeno do </w:t>
      </w:r>
      <w:r w:rsidRPr="007C6BA1">
        <w:rPr>
          <w:i/>
        </w:rPr>
        <w:t xml:space="preserve">bout </w:t>
      </w:r>
      <w:proofErr w:type="gramStart"/>
      <w:r w:rsidRPr="007C6BA1">
        <w:rPr>
          <w:i/>
        </w:rPr>
        <w:t>coupé</w:t>
      </w:r>
      <w:proofErr w:type="gramEnd"/>
      <w:r>
        <w:t xml:space="preserve"> em Inglaterra, do Moustierense de Tradição Acheulense do Sul de França e do Micoquense da Europa de Leste propriamente dito. </w:t>
      </w:r>
    </w:p>
    <w:p w:rsidR="006C1C5C" w:rsidRDefault="006C1C5C" w:rsidP="006C1C5C">
      <w:pPr>
        <w:spacing w:line="360" w:lineRule="auto"/>
        <w:ind w:firstLine="708"/>
        <w:jc w:val="both"/>
      </w:pPr>
      <w:r>
        <w:t>Confirma-se uma ocupação humana datada do Würm antigo na Bacia do Arneiro e no território português. Os factos apontam para uma longa presença de comunidades humanas durante o Paleolítico médio em Portugal. Tendo em atenção o conjunto de sítios identificados na bacia do Arneiro, a realização de prospecções direccionadas para a identificação de estações atribuíveis a esta cronologia em outras regiões do território, permitirá traçar um quadro mais concordante com a real dimensão da ocupação humana neandertalense.</w:t>
      </w:r>
    </w:p>
    <w:p w:rsidR="006C1C5C" w:rsidRPr="00A3174B" w:rsidRDefault="006C1C5C" w:rsidP="006C1C5C">
      <w:pPr>
        <w:spacing w:line="360" w:lineRule="auto"/>
        <w:ind w:firstLine="708"/>
        <w:jc w:val="both"/>
      </w:pPr>
      <w:r>
        <w:t xml:space="preserve">Embora não tenha entrado nos objectivos do trabalho que se apresenta, a sondagem realizada no sítio do Castelejo, localizado perto dos sítios da Tapada do Montinho e dos Pegos do Tejo 2, permitiu definir o intervalo cronológico para a </w:t>
      </w:r>
      <w:r>
        <w:lastRenderedPageBreak/>
        <w:t xml:space="preserve">transição entre o Paleolítico médio e o Paleolítico superior. A datação, por OSL, de 32 ± 2.4 Ka obtida neste local parece definir o terminus </w:t>
      </w:r>
      <w:r w:rsidRPr="008B4252">
        <w:rPr>
          <w:i/>
        </w:rPr>
        <w:t>ante quem</w:t>
      </w:r>
      <w:r>
        <w:t xml:space="preserve"> para esta transição, embora sejam necessários mais trabalhos para a caracterização das indústrias do final do Paleolítico médio e do princípio do Paleolitico superior. Esta datação está de acordo com outras datações recolhidas em estações que se inserem neste período e que se afastam mais das datas mais recentes propostas, à volta de 28 Ka </w:t>
      </w:r>
      <w:r w:rsidR="0019110D">
        <w:t>(vide Rasines</w:t>
      </w:r>
      <w:r>
        <w:t xml:space="preserve">, 2005; Zilhão, 2006; Walker </w:t>
      </w:r>
      <w:r w:rsidRPr="00352F8B">
        <w:rPr>
          <w:i/>
        </w:rPr>
        <w:t>et al</w:t>
      </w:r>
      <w:r>
        <w:t xml:space="preserve"> 2008).</w:t>
      </w:r>
    </w:p>
    <w:p w:rsidR="006C1C5C" w:rsidRDefault="006C1C5C" w:rsidP="006C1C5C">
      <w:pPr>
        <w:spacing w:line="360" w:lineRule="auto"/>
        <w:jc w:val="both"/>
      </w:pPr>
    </w:p>
    <w:p w:rsidR="006C1C5C" w:rsidRDefault="006C1C5C" w:rsidP="006C1C5C">
      <w:pPr>
        <w:spacing w:line="360" w:lineRule="auto"/>
        <w:ind w:firstLine="708"/>
        <w:jc w:val="both"/>
      </w:pPr>
      <w:r>
        <w:t xml:space="preserve">A questão da variabilidade geográfica das ocupações humanas do Paleolítico médio enferma de um problema já anteriormente referido, a falta de concordância entre o registo arqueológico actualmente disponível e a verdadeira realidade da ocupação humana durante este período, no território português. Embora seja utópico almejar uma perspectiva abrangente da globalidade desta ocupação, tanto espacial como diacrónica, os dados concretos de que se dispõe indiciam uma enorme disparidade entre os dados de superfície e os sítios onde existem dados concretos de escavação. Por outro lado, o facto de ser mais previsível a identificação de ocupações humanas em grutas, para os períodos </w:t>
      </w:r>
      <w:proofErr w:type="gramStart"/>
      <w:r>
        <w:t>pré–históricos</w:t>
      </w:r>
      <w:proofErr w:type="gramEnd"/>
      <w:r>
        <w:t>, e ser mais difícil a identificação de estações estratigraficamente bem conservadas em sítios de ar livre, levou a uma sobrevalorização das investigações em contextos cársicos relativamente aos últimos.</w:t>
      </w:r>
    </w:p>
    <w:p w:rsidR="006C1C5C" w:rsidRPr="00540D42" w:rsidRDefault="006C1C5C" w:rsidP="006C1C5C">
      <w:pPr>
        <w:spacing w:line="360" w:lineRule="auto"/>
        <w:ind w:firstLine="708"/>
        <w:jc w:val="both"/>
      </w:pPr>
      <w:r>
        <w:t xml:space="preserve"> Se os dados existentes para o Paleolítico médio são escassos, o que dizer para os contextos do Paleolítico inferior? É prematura, tendo em atenção aos dados atualmente disponíveis para os dois períodos, qualquer comparação entre ocupações em gruta e ocupações de ar livre. A ocupação de uma gruta por parte de um grupo de caçadores-recolectores</w:t>
      </w:r>
      <w:proofErr w:type="gramStart"/>
      <w:r>
        <w:t>,</w:t>
      </w:r>
      <w:proofErr w:type="gramEnd"/>
      <w:r>
        <w:t xml:space="preserve"> está dependente de vários factores como a visibilidade da cavidade, a sua localização e, claro, se está ocupada por outros predadores. </w:t>
      </w:r>
      <w:r w:rsidRPr="00733946">
        <w:t>No sudoeste da Alemanha</w:t>
      </w:r>
      <w:r>
        <w:t>, a sa</w:t>
      </w:r>
      <w:r w:rsidRPr="00733946">
        <w:t>zonalidade sugere que as grutas eram preferencialmente usadas no inverno e na primave</w:t>
      </w:r>
      <w:r>
        <w:t xml:space="preserve">ra, quando as condições climatéricas eram particularmente hostis </w:t>
      </w:r>
      <w:r w:rsidRPr="00DA29CF">
        <w:t>(</w:t>
      </w:r>
      <w:r w:rsidRPr="00DA29CF">
        <w:rPr>
          <w:color w:val="000000"/>
        </w:rPr>
        <w:t xml:space="preserve">Conard </w:t>
      </w:r>
      <w:r w:rsidRPr="00DA29CF">
        <w:rPr>
          <w:i/>
          <w:color w:val="000000"/>
        </w:rPr>
        <w:t>et al</w:t>
      </w:r>
      <w:r w:rsidRPr="00DA29CF">
        <w:rPr>
          <w:color w:val="000000"/>
        </w:rPr>
        <w:t xml:space="preserve"> </w:t>
      </w:r>
      <w:r w:rsidRPr="00540D42">
        <w:t>2012).</w:t>
      </w:r>
    </w:p>
    <w:p w:rsidR="006C1C5C" w:rsidRDefault="006C1C5C" w:rsidP="006C1C5C">
      <w:pPr>
        <w:spacing w:line="360" w:lineRule="auto"/>
        <w:ind w:firstLine="708"/>
        <w:jc w:val="both"/>
      </w:pPr>
      <w:r>
        <w:t xml:space="preserve">Do mesmo modo não se pode inferir, de uma implantação geográfica ou geológica, uma funcionalidade para um determinado sítio. O exemplo da bacia do Arneiro é revelador do cuidado que se deve ter em generalizar dados. No mesmo espaço geológico e geográfico existem diferentes tipos de funcionalidades. A estação dos Pegos do Tejo 2 corresponde a uma ocupação de longa duração ou de reocupação de uma mesma localidade, enquanto a estação da Tapada do Montinho deverá corresponder a </w:t>
      </w:r>
      <w:r>
        <w:lastRenderedPageBreak/>
        <w:t xml:space="preserve">uma paragem de caça de curta duração. A funcionalidade da estação do Azinhal ainda está por esclarecer mas poderá, porventura corresponder a um sítio de desmanche e tratamento de caça. Apenas novos trabalhos, na zona central da estação, poderão permitir definir uma funcionalidade mais afirmativa. A cronologia constituiu, ainda, outra variante a ter em consideração. A mesma área geográfica e geológica pode apresentar diversas funcionalidades ao longo do tempo. As ocupações em gruta são, sobre este ponto de vista, reveladoras. </w:t>
      </w:r>
    </w:p>
    <w:p w:rsidR="006C1C5C" w:rsidRPr="00F26D62" w:rsidRDefault="006C1C5C" w:rsidP="006C1C5C">
      <w:pPr>
        <w:spacing w:line="360" w:lineRule="auto"/>
        <w:ind w:firstLine="708"/>
        <w:jc w:val="both"/>
      </w:pPr>
      <w:r>
        <w:t xml:space="preserve">Se for possível o paralelismo entre os sítios de ar livre e os sítios em gruta, também nestes últimos locais deverão existir várias funcionalidades de ocupação. Este factor permitiria distinguir, em contextos cársicos, a ocupação de simples diáclases como a ocupação de salas de grandes dimensões.  </w:t>
      </w:r>
    </w:p>
    <w:p w:rsidR="006C1C5C" w:rsidRPr="00E27138" w:rsidRDefault="006C1C5C" w:rsidP="006C1C5C">
      <w:pPr>
        <w:spacing w:line="360" w:lineRule="auto"/>
        <w:jc w:val="both"/>
      </w:pPr>
    </w:p>
    <w:p w:rsidR="006C1C5C" w:rsidRDefault="006C1C5C" w:rsidP="006C1C5C">
      <w:pPr>
        <w:spacing w:line="360" w:lineRule="auto"/>
        <w:ind w:firstLine="708"/>
        <w:jc w:val="both"/>
      </w:pPr>
      <w:r>
        <w:t>Os resultados obtidos com o estudo dos sítios do Paleolítico médio da bacia do Arneiro levantam algumas questões sobre a dimensão de alguns conjuntos líticos nomeadamente os que são identificados em contextos de gruta. A quantidade de algumas indústrias líticas mais do que indiciar uma permanência prolongada num mesmo local poderá antes explicar-se pela sobreposição de várias ocupações no mesmo espaço, separadas por dezenas, centenas ou até milhares de anos. A riqueza de uma estação ou de um nível arqueológico representaria, na realidade, um gigantesco caleidoscópio ocupacional, um palimpsesto cultural, em suma.</w:t>
      </w:r>
    </w:p>
    <w:p w:rsidR="006C1C5C" w:rsidRPr="00DA29CF" w:rsidRDefault="006C1C5C" w:rsidP="006C1C5C">
      <w:pPr>
        <w:spacing w:line="360" w:lineRule="auto"/>
        <w:ind w:firstLine="708"/>
        <w:jc w:val="both"/>
      </w:pPr>
      <w:r>
        <w:t>Como já se referiu acima, a composição técnica e tipológica dos conjuntos líticos do Paleolítico médio é heterogénea. Heterogénea no sentido em que se identifica variabilidade no registo arqueológico relacionada com a funcionalidade do sítio. A grande percentagem de utensílios verificada na estação dos Pegos do Tejo 2 diverge dos outros dois sítios, Tapada do Montinho e Azinhal, indiciando uma maior duração da ocupação, com outras funcionalidades.</w:t>
      </w:r>
    </w:p>
    <w:p w:rsidR="006C1C5C" w:rsidRDefault="006C1C5C" w:rsidP="006C1C5C">
      <w:pPr>
        <w:spacing w:line="360" w:lineRule="auto"/>
        <w:ind w:firstLine="708"/>
        <w:jc w:val="both"/>
      </w:pPr>
      <w:r>
        <w:t xml:space="preserve">A ocupação humana da bacia do Arneiro vem confirmar a utilização preferencial de matérias-primas existentes nas envolventes mais próximas das estações. Esta matéria-prima foi trabalhada de forma mais expedita mas também apresenta cadeias operatórias mais complexas dentro do mesmo espectro lítico. A existência de matéria-prima local em grandes percentagens, na área alvo deste estudo, não pode ser só visto como uma tendência de utilização de rochas que estão disponíveis no imediato. O quartzito da Portas de Rodão apresenta características óptimas para a debitagem. A </w:t>
      </w:r>
      <w:r>
        <w:lastRenderedPageBreak/>
        <w:t>implantação das ocupações humanas durante o Paleolítico médio nesta região não terá sido ditada pela possibilidade de aprovisionamento de matéria-prima de boa qualidade?</w:t>
      </w:r>
    </w:p>
    <w:p w:rsidR="006C1C5C" w:rsidRDefault="006C1C5C" w:rsidP="006C1C5C">
      <w:pPr>
        <w:spacing w:line="360" w:lineRule="auto"/>
        <w:jc w:val="both"/>
      </w:pPr>
      <w:r>
        <w:t xml:space="preserve"> Experiências de talhe realizadas no âmbito deste trabalho permitiram verificar que existem duas razões para a preferência do quartzito originado nas cristas quartzíticas ao revês do quartzito que se pode recolher nos terraços do Tejo. O primeiro tem a ver com o formato, apresentando-se o quartzito das cristas em blocos ortogonais, divergindo das formas ovaladas dos seixos. O trabalho de formatação é facilitado podendo-se iniciar a debitagem, nalguns casos, sem qualquer trabalho de formatação da massa a debitar. Por outro lado, esta matéria-prima não sofre um transporte tão intenso como os seixos dos terraços, apresentando um córtex menos desenvolvido e mais fácil de trabalhar.</w:t>
      </w:r>
    </w:p>
    <w:p w:rsidR="006C1C5C" w:rsidRDefault="006C1C5C" w:rsidP="006C1C5C">
      <w:pPr>
        <w:spacing w:line="360" w:lineRule="auto"/>
        <w:ind w:firstLine="708"/>
        <w:jc w:val="both"/>
      </w:pPr>
      <w:r>
        <w:t xml:space="preserve">Sobressai, ainda, o caso do Azinhal, estação na mesma situação de proximidade ao quartzito que as ocupações dos Pegos do Tejo 2 e Azinhal, onde se utilizou outro tipo de rocha, o quartzo, em percentagens significativas. Como já se disse acima, existem ainda indicações de transporte de matéria-prima em distâncias superiores, pelos dados que se inferiram no Arneiro, ligadas ao transporte de bases semi-preparadas, prontas a debitar em caso de necessidade. </w:t>
      </w:r>
    </w:p>
    <w:p w:rsidR="006C1C5C" w:rsidRDefault="006C1C5C" w:rsidP="006C1C5C">
      <w:pPr>
        <w:spacing w:line="360" w:lineRule="auto"/>
        <w:ind w:firstLine="708"/>
        <w:jc w:val="both"/>
      </w:pPr>
      <w:r>
        <w:t>A utilização de várias matérias-primas não está directamente relacionada com o tratamento tipológico e técnico de que serão alvo. A grande variedade de soluções técnicas repertoriadas, para a mesma matéria-prima, nos sítios investigados, indicia que não será o tipo de rocha a determinar o tipo de cadeia operatória que se irá aplicar a determinado volume. Mas esse volume pode interferir, devido principalmente às suas dimensões, nas cadeias operatórias a que recorre o talhador para produzir as ferramentas pretendidas. Isso é evidente no caso do Azinhal, onde os volumes de base em quartzo leitoso e hialino são de menores dimensões, obrigando a cadeias operatórias centrípetas ou discóides. O quartzo apresenta gumes mais cortantes mas menos resistentes o que o tornam ideal para corte de maior precisão.</w:t>
      </w:r>
    </w:p>
    <w:p w:rsidR="006C1C5C" w:rsidRDefault="006C1C5C" w:rsidP="006C1C5C">
      <w:pPr>
        <w:spacing w:line="360" w:lineRule="auto"/>
        <w:jc w:val="both"/>
      </w:pPr>
      <w:r>
        <w:tab/>
        <w:t>Os índices de utensílios retocados devem ser analisados com cuidado, uma vez que a necessidade de retocar gumes de produtos de talhe apenas se justifica em determinados tipos de matéria-prima. Os produtos de talhe em quartzito, quando apresentam alguma espessura, dispensam qualquer tipo de retoque. O retoque pode ser visto como uma necessidade de reavivar um utensílio resultante da matéria-prima utilizada (sílex por exemplo) ou do sistema operatório escolhido (debitagem laminar por exemplo). O retoque que se observa nas estações do Paleolítico médio da bacia do Arneiro corresponde, maioritariamente, à elaboração de dorsos.</w:t>
      </w:r>
    </w:p>
    <w:p w:rsidR="006C1C5C" w:rsidRDefault="006C1C5C" w:rsidP="006C1C5C">
      <w:pPr>
        <w:spacing w:line="360" w:lineRule="auto"/>
        <w:jc w:val="both"/>
      </w:pPr>
      <w:r>
        <w:lastRenderedPageBreak/>
        <w:tab/>
        <w:t>Existe, isso sim, um predomínio de gumes denticulados e de entalhes na indústria lítica dos sítios investigados neste trabalho, sendo particularmente alto na estação dos Pegos do Tejo 2.</w:t>
      </w:r>
    </w:p>
    <w:p w:rsidR="006C1C5C" w:rsidRDefault="006C1C5C" w:rsidP="006C1C5C">
      <w:pPr>
        <w:spacing w:line="360" w:lineRule="auto"/>
        <w:jc w:val="both"/>
      </w:pPr>
      <w:r>
        <w:tab/>
        <w:t xml:space="preserve">A existência de tipos de utensílios específicos na Estação do Azinhal parece seguir uma tendência à escala europeia, associada a um período cronológico particular, cuja associação climática deverá ser melhor investigada. </w:t>
      </w:r>
    </w:p>
    <w:p w:rsidR="006C1C5C" w:rsidRDefault="006C1C5C" w:rsidP="006C1C5C">
      <w:pPr>
        <w:spacing w:line="360" w:lineRule="auto"/>
        <w:jc w:val="both"/>
      </w:pPr>
      <w:r>
        <w:tab/>
        <w:t xml:space="preserve">No que à origem das indústrias pré-würmianas do Paleolítico médio diz respeito, o sítio dos Pegos do Tejo 2 vem trazer um conjunto de novos dados. Torna-se claro a existência de uma indústria sobre lascas, no final do Pleistoceno médio final, com presença de talhe Levallois, talhe discóide, e talhe oportunístico, sem bifaces. Esta indústria não apresenta afinidades com outros conjuntos arqueológicos mais antigos, como as do Vale do Forno, onde o cariz acheulense da indústria lítica se encontra ainda bem vincado. </w:t>
      </w:r>
    </w:p>
    <w:p w:rsidR="006C1C5C" w:rsidRDefault="006C1C5C" w:rsidP="006C1C5C">
      <w:pPr>
        <w:spacing w:line="360" w:lineRule="auto"/>
        <w:ind w:firstLine="708"/>
        <w:jc w:val="both"/>
      </w:pPr>
      <w:r>
        <w:t>A ideia que sobressai quando se observam as indústrias do Paleolítico médio da Bacia do Arneiro é de um fio condutor ao longo do período, de um modelo de produção lítica baseado na produção de lascas a partir de núcleos de tipo Levallois, à volta do qual se vão adoptar soluções técnicas que visam a produção imediata dos suportes pretendidos. As dimensões destes suportes vão variar em relação ao que é predefinido pelo talhador e noutros casos ao que os volumes de matéria-prima permitem. De qualquer modo, e mesmo no último caso, como se verificou no Azinhal, a objectividade de quem talha é a pedra basilar que se encontra na base das cadeias operatórias desenvolvidas. Por detrás desta objectividade poderá estar uma necessidade específica de suportes para desempenhar determinada tarefa especializada ou de utensílios realizados uma rocha específica. Os novos dados não permitem uma progressão cronológica, no Paleolítico médio, no sentido de uma utilização de técnicas mais “complexas” nos sítios mais antigos, para técnicas mais expeditas, nos mais recentes, como adiantado por Raposo (1993).</w:t>
      </w:r>
    </w:p>
    <w:p w:rsidR="006C1C5C" w:rsidRPr="00D11F54" w:rsidRDefault="006C1C5C" w:rsidP="006C1C5C">
      <w:pPr>
        <w:spacing w:line="360" w:lineRule="auto"/>
        <w:ind w:firstLine="708"/>
        <w:jc w:val="both"/>
      </w:pPr>
      <w:r>
        <w:t>O que acima foi apresentado revela que as comunidades humanas, que viveram na Bacia do Arneiro desde o final do Estádio isotópico 6 ao Estádio isotópico 3, conseguiram adaptar-se ao meio em que se movimentavam e aos recursos de que dispunham, alterando a sua panóplia tipo-tecnológica consoante as necessidades com que se deparavam. Este diversificado conhecimento técnico reflecte também diferentes processos funcionais, certamente relacionadas com as diferentes actividades realizadas em cada uma das estações estudadas.</w:t>
      </w:r>
    </w:p>
    <w:p w:rsidR="006C1C5C" w:rsidRDefault="006C1C5C" w:rsidP="006C1C5C">
      <w:pPr>
        <w:spacing w:line="360" w:lineRule="auto"/>
        <w:ind w:firstLine="708"/>
        <w:jc w:val="both"/>
      </w:pPr>
      <w:r w:rsidRPr="00CD4786">
        <w:lastRenderedPageBreak/>
        <w:t xml:space="preserve">O aparecimento da tecnologia Levallois não constituiu uma simples modificação na produção </w:t>
      </w:r>
      <w:r>
        <w:t>de lascas</w:t>
      </w:r>
      <w:r w:rsidRPr="00CD4786">
        <w:t>, mas representou, isso sim, uma parte de um conjunto mais amplo de alterações comportamentais que incluem o uso reiterado do fogo, a manipulação de pigmentos, o domínio do encabamento e estratégias de caça mais elaboradas. Determinar a cronologia do aparecimento deste melhoramento tecnológico é crucial para perceber quando estas novas adaptações sociais ocorreram e como se relacionam com outros comportamentos considerados simbólicos nos períodos posteriores</w:t>
      </w:r>
      <w:r>
        <w:t xml:space="preserve"> </w:t>
      </w:r>
      <w:r w:rsidRPr="006465F2">
        <w:t xml:space="preserve">(Picin </w:t>
      </w:r>
      <w:r w:rsidRPr="00E8264E">
        <w:rPr>
          <w:i/>
        </w:rPr>
        <w:t>et al</w:t>
      </w:r>
      <w:r w:rsidRPr="006465F2">
        <w:t xml:space="preserve"> 2013). </w:t>
      </w:r>
    </w:p>
    <w:p w:rsidR="006C1C5C" w:rsidRPr="00B81590" w:rsidRDefault="006C1C5C" w:rsidP="006C1C5C">
      <w:pPr>
        <w:spacing w:line="360" w:lineRule="auto"/>
        <w:ind w:firstLine="708"/>
        <w:jc w:val="both"/>
      </w:pPr>
      <w:r w:rsidRPr="006465F2">
        <w:t>N</w:t>
      </w:r>
      <w:r>
        <w:t xml:space="preserve">a Bacia do Arneiro, tendo em atenção os resultados da intervenção realizada na estação dos Pegos do Tejo 2 verifica-se a que no final do Pleistoceno médio, começam </w:t>
      </w:r>
      <w:r w:rsidR="00166C52">
        <w:t xml:space="preserve">a </w:t>
      </w:r>
      <w:r>
        <w:t xml:space="preserve">aparecer novos comportamentos, novas ideias. Este processo parece desenvolver-se em simultâneo com a </w:t>
      </w:r>
      <w:r w:rsidRPr="00252EF0">
        <w:t xml:space="preserve">existência de um </w:t>
      </w:r>
      <w:proofErr w:type="gramStart"/>
      <w:r w:rsidRPr="00FB68CD">
        <w:rPr>
          <w:i/>
        </w:rPr>
        <w:t>boom</w:t>
      </w:r>
      <w:proofErr w:type="gramEnd"/>
      <w:r w:rsidRPr="00252EF0">
        <w:t xml:space="preserve"> cognitivo </w:t>
      </w:r>
      <w:r>
        <w:t xml:space="preserve">há </w:t>
      </w:r>
      <w:r w:rsidRPr="00252EF0">
        <w:t>cerca de 140 Ka em África</w:t>
      </w:r>
      <w:r>
        <w:t>.</w:t>
      </w:r>
      <w:r w:rsidRPr="00B81590">
        <w:t xml:space="preserve"> </w:t>
      </w:r>
    </w:p>
    <w:p w:rsidR="006C1C5C" w:rsidRDefault="006C1C5C" w:rsidP="006C1C5C">
      <w:pPr>
        <w:spacing w:line="360" w:lineRule="auto"/>
        <w:jc w:val="both"/>
      </w:pPr>
      <w:r>
        <w:t>A existência deste tipo de comportamento</w:t>
      </w:r>
      <w:r w:rsidR="00166C52">
        <w:t>s no sítio dos Pegos do Tejo 2,</w:t>
      </w:r>
      <w:r>
        <w:t xml:space="preserve"> cristalizados no reg</w:t>
      </w:r>
      <w:r w:rsidR="00166C52">
        <w:t>isto arqueológico, ao abrigo do</w:t>
      </w:r>
      <w:r>
        <w:t xml:space="preserve"> p</w:t>
      </w:r>
      <w:r w:rsidRPr="00D11F54">
        <w:t>rincípio da reciprocidade</w:t>
      </w:r>
      <w:r>
        <w:t xml:space="preserve">, apenas pode dizer que o que distingue o </w:t>
      </w:r>
      <w:r w:rsidRPr="006465F2">
        <w:rPr>
          <w:i/>
        </w:rPr>
        <w:t>Homo sapiens neanderthalensis</w:t>
      </w:r>
      <w:r>
        <w:t xml:space="preserve"> do Homem anatomicamente moderno é apenas uma diferente expressão fenotópica, e não as capacidades intelectuais.  </w:t>
      </w:r>
    </w:p>
    <w:p w:rsidR="006C1C5C" w:rsidRDefault="006C1C5C" w:rsidP="006C1C5C">
      <w:pPr>
        <w:spacing w:line="360" w:lineRule="auto"/>
        <w:jc w:val="both"/>
      </w:pPr>
    </w:p>
    <w:p w:rsidR="006C1C5C" w:rsidRDefault="006C1C5C" w:rsidP="006C1C5C">
      <w:pPr>
        <w:spacing w:line="360" w:lineRule="auto"/>
        <w:ind w:firstLine="708"/>
        <w:jc w:val="both"/>
      </w:pPr>
      <w:r>
        <w:t xml:space="preserve">Com este trabalho encerram-se dez anos de trabalho de prospecções, sondagens e escavações. Terminam também 4 anos de estudo dos conjuntos líticos recolhidos nos sítios dos Pegos do Tejo 2, Azinhal e Tapada do Montinho. É tempo de ver o que se conseguiu, de fazer um balanço, de resumir o conjunto de novos dados identificados. </w:t>
      </w:r>
    </w:p>
    <w:p w:rsidR="006C1C5C" w:rsidRDefault="006C1C5C" w:rsidP="006C1C5C">
      <w:pPr>
        <w:spacing w:line="360" w:lineRule="auto"/>
        <w:ind w:firstLine="708"/>
        <w:jc w:val="both"/>
      </w:pPr>
      <w:r>
        <w:t>Em primeiro lugar conseguiu-se estabelecer uma</w:t>
      </w:r>
      <w:r w:rsidRPr="005763D7">
        <w:t xml:space="preserve"> </w:t>
      </w:r>
      <w:r>
        <w:t>cronolo</w:t>
      </w:r>
      <w:r w:rsidRPr="005763D7">
        <w:t xml:space="preserve">gia para </w:t>
      </w:r>
      <w:r>
        <w:t>estas três ocupações d</w:t>
      </w:r>
      <w:r w:rsidRPr="005763D7">
        <w:t xml:space="preserve">o Paleolítico </w:t>
      </w:r>
      <w:r>
        <w:t>M</w:t>
      </w:r>
      <w:r w:rsidRPr="005763D7">
        <w:t>édio</w:t>
      </w:r>
      <w:r>
        <w:t xml:space="preserve"> da Bacia do Arneiro. Essa definição cronológica</w:t>
      </w:r>
      <w:r w:rsidRPr="005763D7">
        <w:t xml:space="preserve"> </w:t>
      </w:r>
      <w:r>
        <w:t xml:space="preserve">assenta </w:t>
      </w:r>
      <w:r w:rsidRPr="005763D7">
        <w:t xml:space="preserve">em datações absolutas </w:t>
      </w:r>
      <w:r>
        <w:t>de ocupações humanas</w:t>
      </w:r>
      <w:r w:rsidRPr="005763D7">
        <w:t xml:space="preserve"> existente num mesmo </w:t>
      </w:r>
      <w:r w:rsidRPr="005763D7">
        <w:rPr>
          <w:i/>
        </w:rPr>
        <w:t>locus</w:t>
      </w:r>
      <w:r>
        <w:rPr>
          <w:i/>
        </w:rPr>
        <w:t>,</w:t>
      </w:r>
      <w:r w:rsidRPr="005763D7">
        <w:t xml:space="preserve"> restri</w:t>
      </w:r>
      <w:r>
        <w:t>to do ponto de vista geográfico. Esta definição cronológica revela-se fundamental para permitir uma perspetiva real sobre as escolhas tecnológicas que se vão desenvolvendo ao longo do tempo nas indústrias analisadas, isenta dos erros que uma atribuição baseada somente na tipologia poderia acarretar.</w:t>
      </w:r>
    </w:p>
    <w:p w:rsidR="006C1C5C" w:rsidRDefault="006C1C5C" w:rsidP="006C1C5C">
      <w:pPr>
        <w:autoSpaceDE w:val="0"/>
        <w:autoSpaceDN w:val="0"/>
        <w:adjustRightInd w:val="0"/>
        <w:spacing w:line="360" w:lineRule="auto"/>
        <w:ind w:firstLine="708"/>
        <w:jc w:val="both"/>
      </w:pPr>
      <w:r>
        <w:t xml:space="preserve">Por outro lado foi conseguida </w:t>
      </w:r>
      <w:r w:rsidRPr="005763D7">
        <w:t xml:space="preserve">uma análise aprofundada das indústrias líticas inseridas </w:t>
      </w:r>
      <w:r>
        <w:t>em contextos estratigráficos bem definidos. Esta análise permitiu descortinar tendências quanto à origem da matéria-prima, quanto às cadeias operatórias desenvolvidas e ao tipo de utensilagem pretendida, ao longo de uma diacronia que abarca 100 000 anos</w:t>
      </w:r>
      <w:r w:rsidRPr="005763D7">
        <w:t xml:space="preserve">, </w:t>
      </w:r>
      <w:r>
        <w:t xml:space="preserve">o que </w:t>
      </w:r>
      <w:r w:rsidRPr="005763D7">
        <w:t xml:space="preserve">representa algo </w:t>
      </w:r>
      <w:r>
        <w:t>raro</w:t>
      </w:r>
      <w:r w:rsidRPr="005763D7">
        <w:t xml:space="preserve"> em território português. </w:t>
      </w:r>
      <w:r>
        <w:t xml:space="preserve">Este fator é de extrema importância para poder retirar conclusões quanto à formação, função e duração </w:t>
      </w:r>
      <w:r>
        <w:lastRenderedPageBreak/>
        <w:t>de ocupações humanas, distingui-las entre si e compará-las com outros sítios do mesmo período.</w:t>
      </w:r>
    </w:p>
    <w:p w:rsidR="006C1C5C" w:rsidRDefault="006C1C5C" w:rsidP="006C1C5C">
      <w:pPr>
        <w:spacing w:line="360" w:lineRule="auto"/>
        <w:ind w:firstLine="708"/>
        <w:jc w:val="both"/>
      </w:pPr>
      <w:r>
        <w:t xml:space="preserve">A caracterização geomorfológica e a definição do contexto estratigráfico conseguido nos sítios paleolíticos da Bacia do Arneiro vêm aumentar as possibilidades de localização de sítios com esta cronologia noutras regiões de Portugal. Percebendo-se quais são as condições que permitiram a conservação de ocupações do Paleolítico médio nas Portas de Ródão é mais fácil, baseado em contextos com as mesmas características sedimentológicas e geomorfológicas, encontrar sitos desse mesmo período noutros locais. </w:t>
      </w:r>
    </w:p>
    <w:p w:rsidR="006C1C5C" w:rsidRDefault="006C1C5C" w:rsidP="006C1C5C">
      <w:pPr>
        <w:spacing w:line="360" w:lineRule="auto"/>
        <w:ind w:firstLine="708"/>
        <w:jc w:val="both"/>
      </w:pPr>
      <w:r>
        <w:t>Outra faceta que apresentou dados concludentes, neste trabalho, tem a ver com indústria lítica analisada, propriamente dita. Ficou claro o reconhecimento de um método de produção de lascas de tipo Levallois, bem consolidado, nos Pegos do Tejo com cerca de 150 Ka. A existência de um Paleolítico pleno com esta idade (que poderá estar subavaliada)</w:t>
      </w:r>
      <w:proofErr w:type="gramStart"/>
      <w:r>
        <w:t>,</w:t>
      </w:r>
      <w:proofErr w:type="gramEnd"/>
      <w:r>
        <w:t xml:space="preserve"> aponta par um</w:t>
      </w:r>
      <w:r w:rsidRPr="00C6156A">
        <w:t xml:space="preserve"> início do Paleolítico</w:t>
      </w:r>
      <w:r>
        <w:t xml:space="preserve"> médio em período anterior, provavelmente por volta de 200 Ka. </w:t>
      </w:r>
    </w:p>
    <w:p w:rsidR="006C1C5C" w:rsidRDefault="006C1C5C" w:rsidP="006C1C5C">
      <w:pPr>
        <w:spacing w:line="360" w:lineRule="auto"/>
        <w:ind w:firstLine="708"/>
        <w:jc w:val="both"/>
      </w:pPr>
      <w:r>
        <w:t>Na estação do Azinhal a análise realizada à indústria lítica permitiu verificar um reaparecimento da presença da tecnologia bifacial, de tipo Micoquense. Este fenómeno deve ser interpretado como um retorno a um método de talhe que foi abandonado e depois retomado, cuja origem deve ser alvo de uma investigação cuidada à escala europeia.</w:t>
      </w:r>
    </w:p>
    <w:p w:rsidR="006C1C5C" w:rsidRDefault="006C1C5C" w:rsidP="006C1C5C">
      <w:pPr>
        <w:spacing w:line="360" w:lineRule="auto"/>
        <w:ind w:firstLine="708"/>
        <w:jc w:val="both"/>
      </w:pPr>
      <w:r>
        <w:t>A tecnologia Moustierense desenvolvida nas três estações investigadas, ao permitir a adaptação das cadeias operatórias a qualquer tipo de matéria-prima, autoriza a produção de utensílios de forma oportunística, com os recursos disponíveis localmente. O número variado de cadeias operatórias presentes na Bacia do Arneiro indicia uma grande capacidade para chegar a um objectivo da forma racional e objectiva.</w:t>
      </w:r>
    </w:p>
    <w:p w:rsidR="006C1C5C" w:rsidRDefault="006C1C5C" w:rsidP="006C1C5C">
      <w:pPr>
        <w:spacing w:line="360" w:lineRule="auto"/>
        <w:ind w:firstLine="708"/>
        <w:jc w:val="both"/>
      </w:pPr>
      <w:r w:rsidRPr="008F6495">
        <w:t xml:space="preserve"> </w:t>
      </w:r>
      <w:r>
        <w:t>De uma forma mais abrangente, e</w:t>
      </w:r>
      <w:r w:rsidRPr="008F6495">
        <w:t>ste traba</w:t>
      </w:r>
      <w:r>
        <w:t>lho alerta novamente para a importância</w:t>
      </w:r>
      <w:r w:rsidRPr="008F72A6">
        <w:t xml:space="preserve"> d</w:t>
      </w:r>
      <w:r>
        <w:t>os</w:t>
      </w:r>
      <w:r w:rsidRPr="008F72A6">
        <w:t xml:space="preserve"> </w:t>
      </w:r>
      <w:r>
        <w:t xml:space="preserve">sítios de ar livre no estudo do Paleolítico médio. Infelizmente estes sítios são mais difíceis de identificar. A preponderância de sítios em grutas e abrigos parece decorrer da sua mais fácil identificação, e reconhecimento na paisagem. Verifica-se que alguns níveis atribuídos ao Paleolítico médio que têm sido descobertos em grutas o são na sequência, e como produto secundário, de escavações com o objectivo de identificar ocupações mais recentes. </w:t>
      </w:r>
    </w:p>
    <w:p w:rsidR="006C1C5C" w:rsidRDefault="006C1C5C" w:rsidP="006C1C5C">
      <w:pPr>
        <w:spacing w:line="360" w:lineRule="auto"/>
        <w:ind w:firstLine="708"/>
        <w:jc w:val="both"/>
      </w:pPr>
      <w:r>
        <w:t xml:space="preserve">Esta tendência tem sido mitigada nos últimos tempos graças às intervenções de emergência realizadas um pouco por toda a Europa que permitiram a identificação de </w:t>
      </w:r>
      <w:r>
        <w:lastRenderedPageBreak/>
        <w:t xml:space="preserve">um grande número de sítios de ar livre. Esta localização de sítios de ar livre e os estudos que procuram definir a s suas funções, vêm revelar a visão distorcida que se pode criar quando só se analisam vestígios de ocupação preservados sítios em grutas ou abrigos. </w:t>
      </w:r>
    </w:p>
    <w:p w:rsidR="006C1C5C" w:rsidRDefault="006C1C5C" w:rsidP="006C1C5C">
      <w:pPr>
        <w:spacing w:line="360" w:lineRule="auto"/>
        <w:jc w:val="both"/>
      </w:pPr>
      <w:r>
        <w:t>No que diz respeito aos dados arqueológicos resultantes da intervenção realizada no sítio dos Pegos do Tejo 2, que permitiram a</w:t>
      </w:r>
      <w:r>
        <w:rPr>
          <w:b/>
          <w:sz w:val="32"/>
          <w:szCs w:val="32"/>
        </w:rPr>
        <w:t xml:space="preserve"> </w:t>
      </w:r>
      <w:r>
        <w:t xml:space="preserve">detecção de índices da preservação de estruturas de habitat na Bacia do Arneiro, aumenta para dois os locais distintos do complexo paleolítico das Portas de Ródão onde este tipo de vestígios arqueológicos foi identificado. Estes dados substanciam fortes indícios da riqueza e da importância dos sítios, descobertos e por descobrir, nesta área, no panorama europeu do Paleolítico médio. </w:t>
      </w:r>
    </w:p>
    <w:p w:rsidR="006C1C5C" w:rsidRDefault="006C1C5C" w:rsidP="006C1C5C">
      <w:pPr>
        <w:spacing w:line="360" w:lineRule="auto"/>
        <w:ind w:firstLine="708"/>
        <w:jc w:val="both"/>
      </w:pPr>
      <w:r>
        <w:t xml:space="preserve">Embora não fazendo parte dos dados diretamente apresentados nesta tese, mas indiretamente ligado à temática em questão, convêm olhar para os resultados das sondagens realizadas no Castelejo e na Tapada do Montinho, plataforma 3. Os dados conseguidos no sítio </w:t>
      </w:r>
      <w:r w:rsidRPr="00CD41FF">
        <w:t xml:space="preserve">do Castelejo </w:t>
      </w:r>
      <w:r>
        <w:t>e nas sondagens realizadas na Plataforma 3 da Tapada do Montinho, apresentam-se promissores quanto à definição</w:t>
      </w:r>
      <w:r w:rsidRPr="00CD41FF">
        <w:t xml:space="preserve"> </w:t>
      </w:r>
      <w:r>
        <w:t>da</w:t>
      </w:r>
      <w:r w:rsidRPr="00CD41FF">
        <w:t xml:space="preserve"> cronologia </w:t>
      </w:r>
      <w:r>
        <w:t>para o</w:t>
      </w:r>
      <w:r w:rsidRPr="00CD41FF">
        <w:t xml:space="preserve"> final d</w:t>
      </w:r>
      <w:r>
        <w:t>as utilizações das cadeias operatórias de tipo Paleolítico m</w:t>
      </w:r>
      <w:r w:rsidRPr="00CD41FF">
        <w:t>édio</w:t>
      </w:r>
      <w:r>
        <w:t xml:space="preserve"> e para estudar os processos de transição entre este período e o Paleolítico superior</w:t>
      </w:r>
      <w:r w:rsidRPr="00CD41FF">
        <w:t xml:space="preserve">. </w:t>
      </w:r>
    </w:p>
    <w:p w:rsidR="006C1C5C" w:rsidRPr="004A609B" w:rsidRDefault="006C1C5C" w:rsidP="006C1C5C">
      <w:pPr>
        <w:spacing w:line="360" w:lineRule="auto"/>
        <w:ind w:firstLine="708"/>
        <w:jc w:val="both"/>
        <w:rPr>
          <w:b/>
          <w:sz w:val="32"/>
          <w:szCs w:val="32"/>
        </w:rPr>
      </w:pPr>
      <w:r>
        <w:t>A conclusão desta tese vem, obviamente</w:t>
      </w:r>
      <w:proofErr w:type="gramStart"/>
      <w:r>
        <w:t>,</w:t>
      </w:r>
      <w:proofErr w:type="gramEnd"/>
      <w:r>
        <w:t xml:space="preserve"> dar respostas a algumas das questões que levaram a sua génese. Porém, ao longo da sua elaboração, outras interrogações se levantaram, às quais não foi possível dar resposta. Por essa razão, este trabalho não pode ser entendido como o resultado final de uma investigação. Deverá ser entendido apenas como a conclusão de uma etapa de uma longa caminhada que se pretende continuar. Na impossibilidade de os próprios o fazerem, continuarei com a tentativa de acrescentar algum conhecimento sobre as comunidades humanas paleolíticas que nos antecederam, de forma que as palavras de Camões continuem a fazer sentido: </w:t>
      </w:r>
      <w:r w:rsidRPr="00147E47">
        <w:rPr>
          <w:i/>
        </w:rPr>
        <w:t>“…Aqueles</w:t>
      </w:r>
      <w:r>
        <w:rPr>
          <w:i/>
        </w:rPr>
        <w:t>…</w:t>
      </w:r>
      <w:r w:rsidRPr="00147E47">
        <w:rPr>
          <w:i/>
        </w:rPr>
        <w:t xml:space="preserve"> que da lei da morte se vão libertando…”</w:t>
      </w:r>
      <w:r w:rsidR="00166C52">
        <w:t xml:space="preserve"> (Lusíadas</w:t>
      </w:r>
      <w:r w:rsidRPr="003067D7">
        <w:rPr>
          <w:i/>
        </w:rPr>
        <w:t>, I,2,1</w:t>
      </w:r>
      <w:r>
        <w:t>)</w:t>
      </w:r>
    </w:p>
    <w:p w:rsidR="008D06DE" w:rsidRPr="00CF22F3" w:rsidRDefault="008D06DE" w:rsidP="008D06DE">
      <w:pPr>
        <w:spacing w:line="360" w:lineRule="auto"/>
        <w:rPr>
          <w:b/>
          <w:sz w:val="28"/>
          <w:szCs w:val="28"/>
          <w:u w:val="single"/>
        </w:rPr>
      </w:pPr>
    </w:p>
    <w:p w:rsidR="008D06DE" w:rsidRPr="00CF22F3"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8D06DE" w:rsidRDefault="008D06DE"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Pr="00CF22F3" w:rsidRDefault="006C1C5C" w:rsidP="008D06DE">
      <w:pPr>
        <w:spacing w:line="360" w:lineRule="auto"/>
        <w:rPr>
          <w:b/>
          <w:sz w:val="28"/>
          <w:szCs w:val="28"/>
          <w:u w:val="single"/>
        </w:rPr>
      </w:pPr>
    </w:p>
    <w:p w:rsidR="008D06DE" w:rsidRDefault="008D06DE"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Default="006C1C5C" w:rsidP="008D06DE">
      <w:pPr>
        <w:spacing w:line="360" w:lineRule="auto"/>
        <w:rPr>
          <w:b/>
          <w:sz w:val="28"/>
          <w:szCs w:val="28"/>
          <w:u w:val="single"/>
        </w:rPr>
      </w:pPr>
    </w:p>
    <w:p w:rsidR="006C1C5C" w:rsidRPr="00CF22F3" w:rsidRDefault="006C1C5C" w:rsidP="008D06DE">
      <w:pPr>
        <w:spacing w:line="360" w:lineRule="auto"/>
        <w:rPr>
          <w:b/>
          <w:sz w:val="28"/>
          <w:szCs w:val="28"/>
          <w:u w:val="single"/>
        </w:rPr>
      </w:pPr>
    </w:p>
    <w:p w:rsidR="008D06DE" w:rsidRPr="00CF22F3" w:rsidRDefault="008D06DE" w:rsidP="008D06DE">
      <w:pPr>
        <w:spacing w:line="360" w:lineRule="auto"/>
        <w:rPr>
          <w:b/>
          <w:sz w:val="28"/>
          <w:szCs w:val="28"/>
          <w:u w:val="single"/>
        </w:rPr>
      </w:pPr>
    </w:p>
    <w:p w:rsidR="008D06DE" w:rsidRPr="00CF22F3" w:rsidRDefault="008D06DE" w:rsidP="008D06DE">
      <w:pPr>
        <w:spacing w:line="360" w:lineRule="auto"/>
        <w:jc w:val="right"/>
        <w:rPr>
          <w:b/>
          <w:sz w:val="28"/>
          <w:szCs w:val="28"/>
          <w:u w:val="single"/>
          <w:lang w:val="en-US"/>
        </w:rPr>
      </w:pPr>
      <w:r w:rsidRPr="00CF22F3">
        <w:rPr>
          <w:b/>
          <w:sz w:val="28"/>
          <w:szCs w:val="28"/>
          <w:u w:val="single"/>
          <w:lang w:val="en-US"/>
        </w:rPr>
        <w:t>X- BIBLIOGRAFIA</w:t>
      </w:r>
    </w:p>
    <w:p w:rsidR="008D06DE" w:rsidRPr="00CF22F3" w:rsidRDefault="008D06DE" w:rsidP="008D06DE">
      <w:pPr>
        <w:spacing w:line="360" w:lineRule="auto"/>
        <w:rPr>
          <w:color w:val="FF0000"/>
          <w:lang w:val="en-US"/>
        </w:rPr>
      </w:pPr>
    </w:p>
    <w:p w:rsidR="008D06DE" w:rsidRPr="00CF22F3" w:rsidRDefault="008D06DE" w:rsidP="008D06DE">
      <w:pPr>
        <w:spacing w:line="360" w:lineRule="auto"/>
        <w:rPr>
          <w:color w:val="FF0000"/>
          <w:lang w:val="en-US"/>
        </w:rPr>
      </w:pPr>
    </w:p>
    <w:p w:rsidR="008D06DE" w:rsidRPr="00CF22F3" w:rsidRDefault="008D06DE" w:rsidP="008D06DE">
      <w:pPr>
        <w:spacing w:line="360" w:lineRule="auto"/>
        <w:rPr>
          <w:lang w:val="en-US"/>
        </w:rPr>
      </w:pPr>
    </w:p>
    <w:p w:rsidR="008D06DE" w:rsidRPr="00CF22F3" w:rsidRDefault="008D06DE" w:rsidP="008D06DE">
      <w:pPr>
        <w:spacing w:line="360" w:lineRule="auto"/>
        <w:jc w:val="both"/>
        <w:rPr>
          <w:lang w:val="en-US"/>
        </w:rPr>
      </w:pPr>
      <w:r w:rsidRPr="00CF22F3">
        <w:rPr>
          <w:lang w:val="en-US"/>
        </w:rPr>
        <w:lastRenderedPageBreak/>
        <w:t>Abrantes, F. (2000):  “200 000 yr diatom records from Atlantic upwelling sites reveal maximum productivity during LGM and a shift in phytoplankton com</w:t>
      </w:r>
      <w:r>
        <w:rPr>
          <w:lang w:val="en-US"/>
        </w:rPr>
        <w:t>munity structure at 185 000 yr”.</w:t>
      </w:r>
      <w:r w:rsidRPr="00CF22F3">
        <w:rPr>
          <w:lang w:val="en-US"/>
        </w:rPr>
        <w:t xml:space="preserve"> </w:t>
      </w:r>
      <w:r w:rsidRPr="00CF22F3">
        <w:rPr>
          <w:i/>
          <w:lang w:val="en-US"/>
        </w:rPr>
        <w:t>Earth and Planetary Science Letters</w:t>
      </w:r>
      <w:r w:rsidRPr="00CF22F3">
        <w:rPr>
          <w:lang w:val="en-US"/>
        </w:rPr>
        <w:t>, 176, 7-16.</w:t>
      </w:r>
    </w:p>
    <w:p w:rsidR="008D06DE" w:rsidRDefault="008D06DE" w:rsidP="008D06DE">
      <w:pPr>
        <w:spacing w:line="360" w:lineRule="auto"/>
        <w:jc w:val="both"/>
        <w:rPr>
          <w:lang w:val="en-US"/>
        </w:rPr>
      </w:pPr>
    </w:p>
    <w:p w:rsidR="008D06DE" w:rsidRPr="00CF22F3" w:rsidRDefault="008D06DE" w:rsidP="008D06DE">
      <w:pPr>
        <w:spacing w:line="360" w:lineRule="auto"/>
        <w:jc w:val="both"/>
        <w:rPr>
          <w:lang w:val="en-US"/>
        </w:rPr>
      </w:pPr>
      <w:r>
        <w:rPr>
          <w:lang w:val="en-US"/>
        </w:rPr>
        <w:t xml:space="preserve">Adams, J., </w:t>
      </w:r>
      <w:r w:rsidRPr="00CF22F3">
        <w:rPr>
          <w:lang w:val="en-US"/>
        </w:rPr>
        <w:t>Maslin, M. e Thomas, E. (1999): “Sudden climate tra</w:t>
      </w:r>
      <w:r>
        <w:rPr>
          <w:lang w:val="en-US"/>
        </w:rPr>
        <w:t>nsitions during the Quaternary”.</w:t>
      </w:r>
      <w:r w:rsidRPr="00CF22F3">
        <w:rPr>
          <w:lang w:val="en-US"/>
        </w:rPr>
        <w:t xml:space="preserve"> </w:t>
      </w:r>
      <w:r w:rsidRPr="00CF22F3">
        <w:rPr>
          <w:i/>
          <w:lang w:val="en-US"/>
        </w:rPr>
        <w:t>Progress in Physical geography</w:t>
      </w:r>
      <w:r w:rsidRPr="00CF22F3">
        <w:rPr>
          <w:lang w:val="en-US"/>
        </w:rPr>
        <w:t>, 23, 1, 1-36.</w:t>
      </w:r>
    </w:p>
    <w:p w:rsidR="008D06DE" w:rsidRDefault="008D06DE"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Aitken, M.J. (1985): </w:t>
      </w:r>
      <w:r>
        <w:rPr>
          <w:lang w:val="en-US"/>
        </w:rPr>
        <w:t>“</w:t>
      </w:r>
      <w:r w:rsidRPr="00CF22F3">
        <w:rPr>
          <w:lang w:val="en-US"/>
        </w:rPr>
        <w:t>Thermoluminescence Dating</w:t>
      </w:r>
      <w:r>
        <w:rPr>
          <w:lang w:val="en-US"/>
        </w:rPr>
        <w:t>”</w:t>
      </w:r>
      <w:r w:rsidRPr="00CF22F3">
        <w:rPr>
          <w:lang w:val="en-US"/>
        </w:rPr>
        <w:t>. Academic Press, London.</w:t>
      </w:r>
    </w:p>
    <w:p w:rsidR="008D06DE" w:rsidRDefault="008D06DE"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Aitken, M.J. (1998): "An Introduction to Optical Dating". Oxford University Press, Oxford.</w:t>
      </w:r>
    </w:p>
    <w:p w:rsidR="008D06DE" w:rsidRDefault="008D06DE"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Albert, R., Berna, F. e Goldberg, P. (2012): “Insights on Neanderthal fire use at Kebara Cave (Israel) through high resolution study of prehistoric combustion features: Evidence from phytoliths and thin sections”. </w:t>
      </w:r>
      <w:r w:rsidRPr="00CF22F3">
        <w:rPr>
          <w:i/>
        </w:rPr>
        <w:t>Quaternary International</w:t>
      </w:r>
      <w:r w:rsidRPr="00CF22F3">
        <w:t>, 247. 278-293</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Almeida, F, Araújo, A. C. e Aubry, T. (2003): </w:t>
      </w:r>
      <w:r>
        <w:t>“</w:t>
      </w:r>
      <w:r w:rsidRPr="00CF22F3">
        <w:t>Paleotecnologia Lítica: dos objectos aos Comportamentos</w:t>
      </w:r>
      <w:r>
        <w:t>”</w:t>
      </w:r>
      <w:r w:rsidRPr="00CF22F3">
        <w:t>.</w:t>
      </w:r>
      <w:r>
        <w:t xml:space="preserve"> </w:t>
      </w:r>
      <w:r w:rsidRPr="007E611D">
        <w:rPr>
          <w:i/>
        </w:rPr>
        <w:t>In</w:t>
      </w:r>
      <w:r w:rsidRPr="00CF22F3">
        <w:t xml:space="preserve">: Paleoecologia Humana e Arqueociências. Um Programa Multidisciplinar para Arqueologia sob a Tutela da Cultura, Mateus, J.E. e Moreno-Garcia, M. eds. </w:t>
      </w:r>
      <w:r w:rsidRPr="00CF22F3">
        <w:rPr>
          <w:i/>
        </w:rPr>
        <w:t>Trabalhos de Arqueologia</w:t>
      </w:r>
      <w:r w:rsidRPr="00CF22F3">
        <w:t>, 29. Instituto Português de Arqueologia. 299-350.</w:t>
      </w:r>
    </w:p>
    <w:p w:rsidR="008D06DE" w:rsidRDefault="008D06DE" w:rsidP="008D06DE">
      <w:pPr>
        <w:spacing w:line="360" w:lineRule="auto"/>
        <w:jc w:val="both"/>
        <w:rPr>
          <w:lang w:val="en-US"/>
        </w:rPr>
      </w:pPr>
    </w:p>
    <w:p w:rsidR="008D06DE" w:rsidRPr="00CF22F3" w:rsidRDefault="0019110D" w:rsidP="008D06DE">
      <w:pPr>
        <w:spacing w:line="360" w:lineRule="auto"/>
        <w:jc w:val="both"/>
      </w:pPr>
      <w:proofErr w:type="gramStart"/>
      <w:r>
        <w:rPr>
          <w:lang w:val="en-US"/>
        </w:rPr>
        <w:t xml:space="preserve">Almeida, M., Aubry, </w:t>
      </w:r>
      <w:r w:rsidR="008D06DE" w:rsidRPr="00CF22F3">
        <w:rPr>
          <w:lang w:val="en-US"/>
        </w:rPr>
        <w:t>T., Neves</w:t>
      </w:r>
      <w:r w:rsidR="008D06DE">
        <w:rPr>
          <w:lang w:val="en-US"/>
        </w:rPr>
        <w:t xml:space="preserve">, </w:t>
      </w:r>
      <w:r w:rsidR="008D06DE" w:rsidRPr="00CF22F3">
        <w:rPr>
          <w:lang w:val="en-US"/>
        </w:rPr>
        <w:t>M.-J.</w:t>
      </w:r>
      <w:proofErr w:type="gramEnd"/>
      <w:r w:rsidR="008D06DE">
        <w:rPr>
          <w:lang w:val="en-US"/>
        </w:rPr>
        <w:t xml:space="preserve"> </w:t>
      </w:r>
      <w:proofErr w:type="gramStart"/>
      <w:r w:rsidR="008D06DE">
        <w:rPr>
          <w:lang w:val="en-US"/>
        </w:rPr>
        <w:t>e</w:t>
      </w:r>
      <w:proofErr w:type="gramEnd"/>
      <w:r w:rsidR="008D06DE" w:rsidRPr="00CF22F3">
        <w:rPr>
          <w:lang w:val="en-US"/>
        </w:rPr>
        <w:t xml:space="preserve"> Moura, M.-H. (2003): “A first approach to middle Palaeolithic technology variability in the lower Mondego: The Redinha sector (Pombal, Leiria)”. </w:t>
      </w:r>
      <w:r w:rsidR="008D06DE" w:rsidRPr="00CF22F3">
        <w:rPr>
          <w:i/>
        </w:rPr>
        <w:t>Journal of Iberian Archaeology</w:t>
      </w:r>
      <w:r w:rsidR="008D06DE" w:rsidRPr="00CF22F3">
        <w:t>, 5, Porto. 21-49.</w:t>
      </w:r>
    </w:p>
    <w:p w:rsidR="008D06DE" w:rsidRDefault="008D06DE" w:rsidP="008D06DE">
      <w:pPr>
        <w:spacing w:line="360" w:lineRule="auto"/>
        <w:jc w:val="both"/>
      </w:pPr>
    </w:p>
    <w:p w:rsidR="008D06DE" w:rsidRPr="00CF22F3" w:rsidRDefault="008D06DE" w:rsidP="008D06DE">
      <w:pPr>
        <w:spacing w:line="360" w:lineRule="auto"/>
        <w:jc w:val="both"/>
      </w:pPr>
      <w:r w:rsidRPr="00CF22F3">
        <w:t>Almeida, N.</w:t>
      </w:r>
      <w:r>
        <w:t>A.C.</w:t>
      </w:r>
      <w:r w:rsidRPr="00CF22F3">
        <w:t xml:space="preserve"> (2002): “Os Primeiros Hab</w:t>
      </w:r>
      <w:r>
        <w:t>itantes do Nordeste Alentejano”.</w:t>
      </w:r>
      <w:r w:rsidRPr="00CF22F3">
        <w:t xml:space="preserve"> </w:t>
      </w:r>
      <w:r w:rsidRPr="00CF22F3">
        <w:rPr>
          <w:i/>
        </w:rPr>
        <w:t>Ibn marúan</w:t>
      </w:r>
      <w:r>
        <w:t xml:space="preserve">, n.º 12. </w:t>
      </w:r>
      <w:r w:rsidRPr="00CF22F3">
        <w:t>185-197.</w:t>
      </w:r>
    </w:p>
    <w:p w:rsidR="008D06DE" w:rsidRDefault="008D06DE" w:rsidP="008D06DE">
      <w:pPr>
        <w:spacing w:line="360" w:lineRule="auto"/>
        <w:jc w:val="both"/>
      </w:pPr>
    </w:p>
    <w:p w:rsidR="008D06DE" w:rsidRPr="00CF22F3" w:rsidRDefault="008D06DE" w:rsidP="008D06DE">
      <w:pPr>
        <w:spacing w:line="360" w:lineRule="auto"/>
        <w:jc w:val="both"/>
      </w:pPr>
      <w:r w:rsidRPr="00CF22F3">
        <w:t>Almeida, N.</w:t>
      </w:r>
      <w:r>
        <w:t>A.C.</w:t>
      </w:r>
      <w:r w:rsidRPr="00CF22F3">
        <w:t xml:space="preserve"> (2006): “ Prospecções arqueológicas e geoarqueológicas </w:t>
      </w:r>
      <w:proofErr w:type="gramStart"/>
      <w:r w:rsidRPr="00CF22F3">
        <w:t>para</w:t>
      </w:r>
      <w:proofErr w:type="gramEnd"/>
      <w:r w:rsidRPr="00CF22F3">
        <w:t xml:space="preserve"> a localização de estações do Paleolítico na área da coudel</w:t>
      </w:r>
      <w:r>
        <w:t>aria de Alter - Alter do Chão”.</w:t>
      </w:r>
      <w:r w:rsidRPr="00CF22F3">
        <w:t xml:space="preserve"> </w:t>
      </w:r>
      <w:r w:rsidRPr="007E611D">
        <w:rPr>
          <w:i/>
        </w:rPr>
        <w:t>In</w:t>
      </w:r>
      <w:r w:rsidRPr="00CF22F3">
        <w:t>: Património arqueológico da coudelaria de Alter, Jorge de Oliveira ed., Edições colibri e Universidade de Évora. 258-272.</w:t>
      </w:r>
    </w:p>
    <w:p w:rsidR="008D06DE" w:rsidRPr="00CF22F3" w:rsidRDefault="008D06DE" w:rsidP="008D06DE">
      <w:pPr>
        <w:spacing w:line="360" w:lineRule="auto"/>
        <w:jc w:val="both"/>
      </w:pPr>
      <w:r w:rsidRPr="00CF22F3">
        <w:lastRenderedPageBreak/>
        <w:t>Almeida, N.</w:t>
      </w:r>
      <w:r w:rsidR="0019110D">
        <w:t>A.C</w:t>
      </w:r>
      <w:r w:rsidRPr="00CF22F3">
        <w:t xml:space="preserve">., Deprez, S. e De Dapper, M. (2007): “As ocupações paleolíticas no Nordeste alentejano: uma aproximação geoarqueológica”. </w:t>
      </w:r>
      <w:r w:rsidRPr="00CF22F3">
        <w:rPr>
          <w:i/>
        </w:rPr>
        <w:t>Revista Portuguesa de Arqueologia</w:t>
      </w:r>
      <w:r>
        <w:t xml:space="preserve">, 10, 2. </w:t>
      </w:r>
      <w:r w:rsidRPr="00CF22F3">
        <w:t>7-16.</w:t>
      </w:r>
    </w:p>
    <w:p w:rsidR="008D06DE" w:rsidRDefault="008D06DE" w:rsidP="008D06DE">
      <w:pPr>
        <w:spacing w:line="360" w:lineRule="auto"/>
        <w:jc w:val="both"/>
        <w:rPr>
          <w:lang w:val="en-GB"/>
        </w:rPr>
      </w:pPr>
    </w:p>
    <w:p w:rsidR="008D06DE" w:rsidRPr="00CF22F3" w:rsidRDefault="008D06DE" w:rsidP="008D06DE">
      <w:pPr>
        <w:spacing w:line="360" w:lineRule="auto"/>
        <w:jc w:val="both"/>
        <w:rPr>
          <w:lang w:val="en-GB"/>
        </w:rPr>
      </w:pPr>
      <w:r w:rsidRPr="00CF22F3">
        <w:rPr>
          <w:lang w:val="en-GB"/>
        </w:rPr>
        <w:t xml:space="preserve">Almeida, </w:t>
      </w:r>
      <w:r w:rsidRPr="00CF22F3">
        <w:t>N.</w:t>
      </w:r>
      <w:r>
        <w:t>A.C.</w:t>
      </w:r>
      <w:r w:rsidRPr="00CF22F3">
        <w:rPr>
          <w:lang w:val="en-GB"/>
        </w:rPr>
        <w:t xml:space="preserve">, Deprez, S. e De Dapper, M. (2008): “The Palaeolithic occupation of the North-eastern of Alentejo (Portugal): a geoarchaeological approach”. </w:t>
      </w:r>
      <w:r w:rsidRPr="007E611D">
        <w:rPr>
          <w:i/>
          <w:lang w:val="en-GB"/>
        </w:rPr>
        <w:t>In</w:t>
      </w:r>
      <w:r w:rsidRPr="00CF22F3">
        <w:rPr>
          <w:lang w:val="en-GB"/>
        </w:rPr>
        <w:t xml:space="preserve">: Graphical Markers and  Megalith Builders in the International Tagus, Iberian Peninsula, Bueno-Ramirez, P., Barroso-Bermejo, R. e Balbín-Berhmann, R. eds., </w:t>
      </w:r>
      <w:r w:rsidRPr="00CF22F3">
        <w:rPr>
          <w:i/>
          <w:lang w:val="en-GB"/>
        </w:rPr>
        <w:t>BAR</w:t>
      </w:r>
      <w:r w:rsidRPr="00CF22F3">
        <w:rPr>
          <w:lang w:val="en-GB"/>
        </w:rPr>
        <w:t xml:space="preserve"> International Series 1765</w:t>
      </w:r>
      <w:r>
        <w:rPr>
          <w:lang w:val="en-GB"/>
        </w:rPr>
        <w:t xml:space="preserve">. </w:t>
      </w:r>
      <w:proofErr w:type="gramStart"/>
      <w:r w:rsidRPr="00CF22F3">
        <w:rPr>
          <w:lang w:val="en-GB"/>
        </w:rPr>
        <w:t>19-26.</w:t>
      </w:r>
      <w:proofErr w:type="gramEnd"/>
    </w:p>
    <w:p w:rsidR="008D06DE" w:rsidRDefault="008D06DE" w:rsidP="008D06DE">
      <w:pPr>
        <w:spacing w:line="360" w:lineRule="auto"/>
        <w:jc w:val="both"/>
        <w:rPr>
          <w:lang w:val="en-GB"/>
        </w:rPr>
      </w:pPr>
    </w:p>
    <w:p w:rsidR="008D06DE" w:rsidRPr="00CF22F3" w:rsidRDefault="008D06DE" w:rsidP="008D06DE">
      <w:pPr>
        <w:spacing w:line="360" w:lineRule="auto"/>
        <w:jc w:val="both"/>
        <w:rPr>
          <w:lang w:val="en-GB"/>
        </w:rPr>
      </w:pPr>
      <w:r w:rsidRPr="00CF22F3">
        <w:rPr>
          <w:lang w:val="en-GB"/>
        </w:rPr>
        <w:t xml:space="preserve">Almeida, </w:t>
      </w:r>
      <w:r w:rsidRPr="00CF22F3">
        <w:t>N.</w:t>
      </w:r>
      <w:r>
        <w:t>A.C.</w:t>
      </w:r>
      <w:r w:rsidRPr="00CF22F3">
        <w:rPr>
          <w:lang w:val="en-GB"/>
        </w:rPr>
        <w:t xml:space="preserve"> (2011): “New data from the Arneiro/Nisa Palaeolithic cluster (Portugal): The Middle Palaeolithic occupations of Pegos do Tejo 2 and Tapada do Montinho”. </w:t>
      </w:r>
      <w:r w:rsidRPr="007E611D">
        <w:rPr>
          <w:i/>
          <w:lang w:val="en-GB"/>
        </w:rPr>
        <w:t>In</w:t>
      </w:r>
      <w:r w:rsidRPr="00CF22F3">
        <w:rPr>
          <w:lang w:val="en-GB"/>
        </w:rPr>
        <w:t xml:space="preserve">: From the Origins: The Pre-history of the Inner Tagus Region. P. Bueno-Ramirez, E. Cerrillo Cuenca e A Gonzalez Cordeiro </w:t>
      </w:r>
      <w:r>
        <w:rPr>
          <w:lang w:val="en-GB"/>
        </w:rPr>
        <w:t>e</w:t>
      </w:r>
      <w:r w:rsidRPr="00CF22F3">
        <w:rPr>
          <w:lang w:val="en-GB"/>
        </w:rPr>
        <w:t xml:space="preserve">ds., </w:t>
      </w:r>
      <w:r w:rsidRPr="00CF22F3">
        <w:rPr>
          <w:i/>
          <w:lang w:val="en-GB"/>
        </w:rPr>
        <w:t>BAR</w:t>
      </w:r>
      <w:r w:rsidRPr="00CF22F3">
        <w:rPr>
          <w:lang w:val="en-GB"/>
        </w:rPr>
        <w:t xml:space="preserve"> International Series 2219. </w:t>
      </w:r>
      <w:proofErr w:type="gramStart"/>
      <w:r w:rsidRPr="00CF22F3">
        <w:rPr>
          <w:lang w:val="en-GB"/>
        </w:rPr>
        <w:t>29-38.</w:t>
      </w:r>
      <w:proofErr w:type="gramEnd"/>
    </w:p>
    <w:p w:rsidR="008D06DE" w:rsidRDefault="008D06DE" w:rsidP="008D06DE">
      <w:pPr>
        <w:spacing w:line="360" w:lineRule="auto"/>
        <w:jc w:val="both"/>
      </w:pPr>
    </w:p>
    <w:p w:rsidR="008D06DE" w:rsidRPr="00CF22F3" w:rsidRDefault="008D06DE" w:rsidP="008D06DE">
      <w:pPr>
        <w:spacing w:line="360" w:lineRule="auto"/>
        <w:jc w:val="both"/>
      </w:pPr>
      <w:r w:rsidRPr="00CF22F3">
        <w:t>Almeida, N.</w:t>
      </w:r>
      <w:r>
        <w:t>A.C.</w:t>
      </w:r>
      <w:r w:rsidRPr="00CF22F3">
        <w:t>, Carvalho, V. e Aveleira, A. (2011): “Primeiros dados sobre a Pré-história antiga no Nordeste alentejano”.</w:t>
      </w:r>
      <w:r>
        <w:t xml:space="preserve"> </w:t>
      </w:r>
      <w:r w:rsidRPr="00CF22F3">
        <w:t>Arqueologia do norte alentejano – Comunicações das 3.as Jornadas</w:t>
      </w:r>
      <w:r>
        <w:t>.</w:t>
      </w:r>
      <w:r w:rsidRPr="00CF22F3">
        <w:t xml:space="preserve"> Carneiro, A, Rocha,</w:t>
      </w:r>
      <w:r>
        <w:t xml:space="preserve"> L, Morgado, P. e Oliveira, J. e</w:t>
      </w:r>
      <w:r w:rsidRPr="00CF22F3">
        <w:t>ds. Lisboa Edições Colibri/C.M. Fronteira. 35-43.</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Angelucci, </w:t>
      </w:r>
      <w:proofErr w:type="gramStart"/>
      <w:r w:rsidRPr="00CF22F3">
        <w:t>D.</w:t>
      </w:r>
      <w:proofErr w:type="gramEnd"/>
      <w:r w:rsidRPr="00CF22F3">
        <w:t xml:space="preserve"> (2003): </w:t>
      </w:r>
      <w:r>
        <w:t>“</w:t>
      </w:r>
      <w:r w:rsidRPr="00CF22F3">
        <w:t>A partir da terra: a contribuição da Geoarqueologia</w:t>
      </w:r>
      <w:r>
        <w:t>”.</w:t>
      </w:r>
      <w:r w:rsidRPr="00CF22F3">
        <w:t xml:space="preserve"> </w:t>
      </w:r>
      <w:r w:rsidRPr="007E611D">
        <w:rPr>
          <w:i/>
        </w:rPr>
        <w:t>In</w:t>
      </w:r>
      <w:r w:rsidRPr="00CF22F3">
        <w:t>: Paleoecologia Humana e Arqueociências. Um Programa Multidisciplinar para Arqu</w:t>
      </w:r>
      <w:r>
        <w:t>eologia sob a Tutela da Cultura.</w:t>
      </w:r>
      <w:r w:rsidRPr="00CF22F3">
        <w:t xml:space="preserve"> Mateus, J.E. e Moreno-Garcia, M. eds. </w:t>
      </w:r>
      <w:r w:rsidRPr="00CF22F3">
        <w:rPr>
          <w:i/>
        </w:rPr>
        <w:t>Trabalhos de Arqueologia</w:t>
      </w:r>
      <w:r w:rsidRPr="00CF22F3">
        <w:t>, 29. Instituto Português de Arqueologia. 36-84.</w:t>
      </w:r>
    </w:p>
    <w:p w:rsidR="008D06DE" w:rsidRDefault="008D06DE" w:rsidP="008D06DE">
      <w:pPr>
        <w:spacing w:line="360" w:lineRule="auto"/>
        <w:jc w:val="both"/>
      </w:pPr>
    </w:p>
    <w:p w:rsidR="008D06DE" w:rsidRPr="00F35BAF" w:rsidRDefault="008D06DE" w:rsidP="008D06DE">
      <w:pPr>
        <w:spacing w:line="360" w:lineRule="auto"/>
        <w:jc w:val="both"/>
      </w:pPr>
      <w:r w:rsidRPr="007E611D">
        <w:t xml:space="preserve">Angelucci, D. E. </w:t>
      </w:r>
      <w:r>
        <w:rPr>
          <w:lang w:val="en-GB"/>
        </w:rPr>
        <w:t>e</w:t>
      </w:r>
      <w:r w:rsidRPr="00CF22F3">
        <w:rPr>
          <w:lang w:val="en-GB"/>
        </w:rPr>
        <w:t xml:space="preserve"> Zilhão, J. (2009)</w:t>
      </w:r>
      <w:r w:rsidRPr="00CF22F3">
        <w:t>:</w:t>
      </w:r>
      <w:r w:rsidRPr="00CF22F3">
        <w:rPr>
          <w:lang w:val="en-GB"/>
        </w:rPr>
        <w:t xml:space="preserve"> </w:t>
      </w:r>
      <w:r>
        <w:t>“</w:t>
      </w:r>
      <w:r w:rsidRPr="00CF22F3">
        <w:rPr>
          <w:lang w:val="en-GB"/>
        </w:rPr>
        <w:t xml:space="preserve">Stratigraphy and formation </w:t>
      </w:r>
      <w:proofErr w:type="gramStart"/>
      <w:r w:rsidRPr="00CF22F3">
        <w:rPr>
          <w:lang w:val="en-GB"/>
        </w:rPr>
        <w:t>processes</w:t>
      </w:r>
      <w:proofErr w:type="gramEnd"/>
      <w:r w:rsidRPr="00CF22F3">
        <w:rPr>
          <w:lang w:val="en-GB"/>
        </w:rPr>
        <w:t xml:space="preserve"> of the Upper Pleistocene deposit at Gruta da Oliveira, Almonda karstic system, Torres Novas, Portugal</w:t>
      </w:r>
      <w:r>
        <w:t>”</w:t>
      </w:r>
      <w:r w:rsidRPr="00CF22F3">
        <w:rPr>
          <w:lang w:val="en-GB"/>
        </w:rPr>
        <w:t xml:space="preserve">. </w:t>
      </w:r>
      <w:r w:rsidRPr="00F35BAF">
        <w:rPr>
          <w:i/>
        </w:rPr>
        <w:t>Geoarchaeology</w:t>
      </w:r>
      <w:r w:rsidRPr="00F35BAF">
        <w:t xml:space="preserve">, </w:t>
      </w:r>
      <w:proofErr w:type="gramStart"/>
      <w:r w:rsidRPr="00F35BAF">
        <w:t>24(3</w:t>
      </w:r>
      <w:proofErr w:type="gramEnd"/>
      <w:r w:rsidRPr="00F35BAF">
        <w:t>). 277-310.</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Antunes, L. (1924): </w:t>
      </w:r>
      <w:r>
        <w:t>“</w:t>
      </w:r>
      <w:r w:rsidRPr="00CF22F3">
        <w:t xml:space="preserve">O Paleolítico de Elvas”. </w:t>
      </w:r>
      <w:r w:rsidRPr="00CF22F3">
        <w:rPr>
          <w:i/>
        </w:rPr>
        <w:t>O Archeólogo português</w:t>
      </w:r>
      <w:r w:rsidRPr="00CF22F3">
        <w:t xml:space="preserve">. 1ª </w:t>
      </w:r>
      <w:proofErr w:type="gramStart"/>
      <w:r w:rsidRPr="00CF22F3">
        <w:t>série</w:t>
      </w:r>
      <w:proofErr w:type="gramEnd"/>
      <w:r w:rsidRPr="00CF22F3">
        <w:t>, Vol. 27. 182-183.</w:t>
      </w:r>
    </w:p>
    <w:p w:rsidR="008D06DE" w:rsidRDefault="008D06DE" w:rsidP="008D06DE">
      <w:pPr>
        <w:spacing w:line="360" w:lineRule="auto"/>
        <w:jc w:val="both"/>
      </w:pPr>
    </w:p>
    <w:p w:rsidR="008D06DE" w:rsidRPr="00CF22F3" w:rsidRDefault="008D06DE" w:rsidP="008D06DE">
      <w:pPr>
        <w:spacing w:line="360" w:lineRule="auto"/>
        <w:jc w:val="both"/>
      </w:pPr>
      <w:r w:rsidRPr="00CF22F3">
        <w:lastRenderedPageBreak/>
        <w:t xml:space="preserve">Antunes, M. T., Cabral, J. M. P., Cardoso, J. L., Pais, J. e Soares A. M. (1989): “Paleolítico médio e superior em Portugal: datas 14C, estado actual dos conhecimentos, síntese e discussão”. </w:t>
      </w:r>
      <w:r w:rsidRPr="00CF22F3">
        <w:rPr>
          <w:i/>
        </w:rPr>
        <w:t>Ciências da Terra,</w:t>
      </w:r>
      <w:r w:rsidRPr="00CF22F3">
        <w:t xml:space="preserve"> 10. 127-138.</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Antunes, M. T. e Cardoso, J.L. (2000): </w:t>
      </w:r>
      <w:r>
        <w:t>“</w:t>
      </w:r>
      <w:r w:rsidRPr="00CF22F3">
        <w:t>Gruta Nova da Colombeira, Gruta das Salemas and gruta da Figueira Brava: Stratigraphy and chronology of the pleistocene deposits</w:t>
      </w:r>
      <w:r>
        <w:t>”</w:t>
      </w:r>
      <w:r w:rsidRPr="00CF22F3">
        <w:t xml:space="preserve">. </w:t>
      </w:r>
      <w:r w:rsidRPr="007E611D">
        <w:rPr>
          <w:i/>
        </w:rPr>
        <w:t>In</w:t>
      </w:r>
      <w:r w:rsidRPr="00CF22F3">
        <w:t>: Últimos Neandertais em Portugal. Evidência, odonto</w:t>
      </w:r>
      <w:r>
        <w:t>lógica e outra. Antunes, M. T. ed</w:t>
      </w:r>
      <w:r w:rsidRPr="00CF22F3">
        <w:t>.</w:t>
      </w:r>
      <w:r>
        <w:t>, Academia das Ciências, Lisboa.</w:t>
      </w:r>
      <w:r w:rsidRPr="00CF22F3">
        <w:t xml:space="preserve"> 23-67.</w:t>
      </w:r>
    </w:p>
    <w:p w:rsidR="008D06DE" w:rsidRDefault="008D06DE" w:rsidP="008D06DE">
      <w:pPr>
        <w:spacing w:line="360" w:lineRule="auto"/>
        <w:jc w:val="both"/>
      </w:pPr>
    </w:p>
    <w:p w:rsidR="008D06DE" w:rsidRPr="00CF22F3" w:rsidRDefault="008D06DE" w:rsidP="008D06DE">
      <w:pPr>
        <w:spacing w:line="360" w:lineRule="auto"/>
        <w:jc w:val="both"/>
      </w:pPr>
      <w:r w:rsidRPr="00F35BAF">
        <w:t xml:space="preserve">Antunes, M. T., Cunha, A. S., Schwartz, J.H. e Tattersall, I. (2000): “The latest Neanderthals: evidence from Portugal”. </w:t>
      </w:r>
      <w:r w:rsidRPr="007E611D">
        <w:rPr>
          <w:i/>
        </w:rPr>
        <w:t>In</w:t>
      </w:r>
      <w:r w:rsidRPr="00CF22F3">
        <w:t>: Últimos Neandertais em Portugal. Evidência, odonto</w:t>
      </w:r>
      <w:r>
        <w:t>lógica e outra. Antunes, M. T. ed., Academia das Ciências, Lisboa.</w:t>
      </w:r>
      <w:r w:rsidRPr="00CF22F3">
        <w:t xml:space="preserve"> 283-317.</w:t>
      </w:r>
    </w:p>
    <w:p w:rsidR="008D06DE" w:rsidRDefault="008D06DE" w:rsidP="008D06DE">
      <w:pPr>
        <w:spacing w:line="360" w:lineRule="auto"/>
        <w:jc w:val="both"/>
      </w:pPr>
    </w:p>
    <w:p w:rsidR="008D06DE" w:rsidRPr="00CF22F3" w:rsidRDefault="008D06DE" w:rsidP="008D06DE">
      <w:pPr>
        <w:spacing w:line="360" w:lineRule="auto"/>
        <w:jc w:val="both"/>
      </w:pPr>
      <w:r w:rsidRPr="00CF22F3">
        <w:t>Araújo, A.C. e Lejeune, M.</w:t>
      </w:r>
      <w:r>
        <w:t xml:space="preserve"> </w:t>
      </w:r>
      <w:r w:rsidRPr="00CF22F3">
        <w:t xml:space="preserve">(1995): </w:t>
      </w:r>
      <w:r>
        <w:t>“</w:t>
      </w:r>
      <w:r w:rsidRPr="00CF22F3">
        <w:t>Gruta do Escoural: Necrópole Neolítica e Arte Rupestre Paleolítica</w:t>
      </w:r>
      <w:r>
        <w:t>”</w:t>
      </w:r>
      <w:r w:rsidRPr="00CF22F3">
        <w:t xml:space="preserve">. </w:t>
      </w:r>
      <w:r w:rsidRPr="00CF22F3">
        <w:rPr>
          <w:i/>
        </w:rPr>
        <w:t>Trabalhos de Arqueologia,</w:t>
      </w:r>
      <w:r w:rsidRPr="00CF22F3">
        <w:t xml:space="preserve"> 8. Departamento de Arqueologia. Instituto Português do Património Arquitectónico e Arqueológico. Lisboa.</w:t>
      </w:r>
    </w:p>
    <w:p w:rsidR="00AC7B53" w:rsidRDefault="00AC7B53" w:rsidP="008D06DE">
      <w:pPr>
        <w:spacing w:line="360" w:lineRule="auto"/>
        <w:jc w:val="both"/>
        <w:rPr>
          <w:lang w:val="es-ES_tradnl"/>
        </w:rPr>
      </w:pPr>
    </w:p>
    <w:p w:rsidR="008D06DE" w:rsidRPr="00CF22F3" w:rsidRDefault="008D06DE" w:rsidP="008D06DE">
      <w:pPr>
        <w:spacing w:line="360" w:lineRule="auto"/>
        <w:jc w:val="both"/>
        <w:rPr>
          <w:lang w:val="es-ES_tradnl"/>
        </w:rPr>
      </w:pPr>
      <w:r w:rsidRPr="00CF22F3">
        <w:rPr>
          <w:lang w:val="es-ES_tradnl"/>
        </w:rPr>
        <w:t xml:space="preserve">Arrizabalaga, A. (2006): “Las primeras ocupaciones humanas en el Pirineo Occidental y Montes Vascos. Un estado de la cuestión en 2005”. </w:t>
      </w:r>
      <w:r w:rsidRPr="00CF22F3">
        <w:rPr>
          <w:i/>
          <w:lang w:val="es-ES_tradnl"/>
        </w:rPr>
        <w:t>Munibe</w:t>
      </w:r>
      <w:r w:rsidRPr="00CF22F3">
        <w:rPr>
          <w:lang w:val="es-ES_tradnl"/>
        </w:rPr>
        <w:t xml:space="preserve"> (Antropologia-Arkeologia), 57/2. 53-70.</w:t>
      </w:r>
    </w:p>
    <w:p w:rsidR="008D06DE" w:rsidRDefault="008D06DE" w:rsidP="008D06DE">
      <w:pPr>
        <w:spacing w:line="360" w:lineRule="auto"/>
        <w:jc w:val="both"/>
      </w:pPr>
    </w:p>
    <w:p w:rsidR="008D06DE" w:rsidRPr="00CF22F3" w:rsidRDefault="008D06DE" w:rsidP="008D06DE">
      <w:pPr>
        <w:spacing w:line="360" w:lineRule="auto"/>
        <w:jc w:val="both"/>
      </w:pPr>
      <w:r w:rsidRPr="00CF22F3">
        <w:t>Aubry, T.</w:t>
      </w:r>
      <w:r>
        <w:t xml:space="preserve"> e</w:t>
      </w:r>
      <w:r w:rsidRPr="00CF22F3">
        <w:t xml:space="preserve"> Moura, H. (1993): “Redinha (Pombal) Subsídios para a carta arqueológica da freguesia</w:t>
      </w:r>
      <w:r>
        <w:t>”</w:t>
      </w:r>
      <w:r w:rsidRPr="00CF22F3">
        <w:t xml:space="preserve">. </w:t>
      </w:r>
      <w:r w:rsidRPr="00CF22F3">
        <w:rPr>
          <w:i/>
        </w:rPr>
        <w:t>Conimbriga</w:t>
      </w:r>
      <w:r w:rsidRPr="00CF22F3">
        <w:t>, 29. 5-37.</w:t>
      </w:r>
    </w:p>
    <w:p w:rsidR="008D06DE" w:rsidRDefault="008D06DE" w:rsidP="008D06DE">
      <w:pPr>
        <w:spacing w:line="360" w:lineRule="auto"/>
        <w:jc w:val="both"/>
      </w:pPr>
    </w:p>
    <w:p w:rsidR="008D06DE" w:rsidRPr="00CF22F3" w:rsidRDefault="008D06DE" w:rsidP="008D06DE">
      <w:pPr>
        <w:spacing w:line="360" w:lineRule="auto"/>
        <w:jc w:val="both"/>
      </w:pPr>
      <w:r w:rsidRPr="00CF22F3">
        <w:t>Aubry, T. e Moura, H. (1994): “Paleolítico da Serra de Sicó”. I Congresso de Arqueologia Peninsular, 4. Porto. 43-60.</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Aubry T., Brugal J.P., Chauvière F.X., Figueiral I., Moura M.H.</w:t>
      </w:r>
      <w:r>
        <w:rPr>
          <w:lang w:val="fr-FR"/>
        </w:rPr>
        <w:t xml:space="preserve"> e</w:t>
      </w:r>
      <w:r w:rsidRPr="00CF22F3">
        <w:rPr>
          <w:lang w:val="fr-FR"/>
        </w:rPr>
        <w:t xml:space="preserve"> Plisson H. (2001): “Modalités d’occupation au Paléolithique supérieur dans la grotte de Buraca Escura (Redinha, Pombal, Portugal) ”. </w:t>
      </w:r>
      <w:r w:rsidRPr="00CF22F3">
        <w:rPr>
          <w:i/>
          <w:lang w:val="fr-FR"/>
        </w:rPr>
        <w:t xml:space="preserve">Revista Portuguesa </w:t>
      </w:r>
      <w:proofErr w:type="gramStart"/>
      <w:r w:rsidRPr="00CF22F3">
        <w:rPr>
          <w:i/>
          <w:lang w:val="fr-FR"/>
        </w:rPr>
        <w:t>de Arqueologia</w:t>
      </w:r>
      <w:proofErr w:type="gramEnd"/>
      <w:r>
        <w:rPr>
          <w:lang w:val="fr-FR"/>
        </w:rPr>
        <w:t>, 4, 2. 19-</w:t>
      </w:r>
      <w:r w:rsidRPr="00CF22F3">
        <w:rPr>
          <w:lang w:val="fr-FR"/>
        </w:rPr>
        <w:t>46.</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en-US"/>
        </w:rPr>
      </w:pPr>
      <w:r w:rsidRPr="00CF22F3">
        <w:rPr>
          <w:lang w:val="fr-FR"/>
        </w:rPr>
        <w:lastRenderedPageBreak/>
        <w:t xml:space="preserve">Aubry, T., Almeida, M e Neves, M. J. (2006): “The Middle to Upper Palaeolithic transition in Portugal: an Aurignacian phase or not?”. </w:t>
      </w:r>
      <w:r w:rsidRPr="00FA3ECB">
        <w:rPr>
          <w:i/>
          <w:lang w:val="en-US"/>
        </w:rPr>
        <w:t>In</w:t>
      </w:r>
      <w:r w:rsidRPr="00CF22F3">
        <w:rPr>
          <w:lang w:val="en-US"/>
        </w:rPr>
        <w:t xml:space="preserve">: Towards a definition of the Aurignacian. </w:t>
      </w:r>
      <w:proofErr w:type="gramStart"/>
      <w:r w:rsidRPr="00CF22F3">
        <w:rPr>
          <w:lang w:val="en-US"/>
        </w:rPr>
        <w:t xml:space="preserve">Bar-Yosef, O. e Zilhão, J. eds. </w:t>
      </w:r>
      <w:r w:rsidRPr="00CF22F3">
        <w:rPr>
          <w:i/>
          <w:lang w:val="en-US"/>
        </w:rPr>
        <w:t>Trabalhos de Arqueologia</w:t>
      </w:r>
      <w:r w:rsidRPr="00CF22F3">
        <w:rPr>
          <w:lang w:val="en-US"/>
        </w:rPr>
        <w:t>, 45.</w:t>
      </w:r>
      <w:proofErr w:type="gramEnd"/>
      <w:r w:rsidRPr="00CF22F3">
        <w:rPr>
          <w:lang w:val="en-US"/>
        </w:rPr>
        <w:t xml:space="preserve"> </w:t>
      </w:r>
      <w:proofErr w:type="gramStart"/>
      <w:r w:rsidRPr="00CF22F3">
        <w:rPr>
          <w:lang w:val="en-US"/>
        </w:rPr>
        <w:t>93-110.</w:t>
      </w:r>
      <w:proofErr w:type="gramEnd"/>
    </w:p>
    <w:p w:rsidR="0019110D" w:rsidRDefault="0019110D"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Aubry, T., Dimuccio, L.A., Almeida, M., Neves, M-J.</w:t>
      </w:r>
      <w:proofErr w:type="gramStart"/>
      <w:r w:rsidRPr="00CF22F3">
        <w:rPr>
          <w:lang w:val="en-US"/>
        </w:rPr>
        <w:t>,  Angelucci</w:t>
      </w:r>
      <w:proofErr w:type="gramEnd"/>
      <w:r w:rsidRPr="00CF22F3">
        <w:rPr>
          <w:lang w:val="en-US"/>
        </w:rPr>
        <w:t>, D.E., e Cunha, L. (2011):  “Palaeoenvironmental forcing during the Middle–Upper Palaeolithic transition in central-western Portugal</w:t>
      </w:r>
      <w:r>
        <w:rPr>
          <w:lang w:val="en-US"/>
        </w:rPr>
        <w:t>”.</w:t>
      </w:r>
      <w:r w:rsidRPr="00CF22F3">
        <w:rPr>
          <w:lang w:val="en-US"/>
        </w:rPr>
        <w:t xml:space="preserve"> </w:t>
      </w:r>
      <w:r w:rsidRPr="00CF22F3">
        <w:rPr>
          <w:i/>
          <w:lang w:val="en-US"/>
        </w:rPr>
        <w:t>Quaternary Research</w:t>
      </w:r>
      <w:proofErr w:type="gramStart"/>
      <w:r w:rsidRPr="00CF22F3">
        <w:rPr>
          <w:lang w:val="en-US"/>
        </w:rPr>
        <w:t>,75</w:t>
      </w:r>
      <w:proofErr w:type="gramEnd"/>
      <w:r w:rsidRPr="00CF22F3">
        <w:rPr>
          <w:lang w:val="en-US"/>
        </w:rPr>
        <w:t xml:space="preserve">, 1. </w:t>
      </w:r>
      <w:proofErr w:type="gramStart"/>
      <w:r w:rsidRPr="00CF22F3">
        <w:rPr>
          <w:lang w:val="en-US"/>
        </w:rPr>
        <w:t>66-79.</w:t>
      </w:r>
      <w:proofErr w:type="gramEnd"/>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Barandiarán, I. e Ferreira, O.V. (1971): "Huesos labrados en el Paleolítico Antiguo e Médio de Portugal". </w:t>
      </w:r>
      <w:r w:rsidRPr="00CF22F3">
        <w:rPr>
          <w:i/>
        </w:rPr>
        <w:t>Arqueologia e História</w:t>
      </w:r>
      <w:proofErr w:type="gramStart"/>
      <w:r w:rsidRPr="00CF22F3">
        <w:t>,</w:t>
      </w:r>
      <w:proofErr w:type="gramEnd"/>
      <w:r w:rsidRPr="00CF22F3">
        <w:t xml:space="preserve"> serie IX, 3. Lisboa. 31-54.</w:t>
      </w:r>
    </w:p>
    <w:p w:rsidR="008D06DE" w:rsidRDefault="008D06DE" w:rsidP="008D06DE">
      <w:pPr>
        <w:spacing w:line="360" w:lineRule="auto"/>
        <w:jc w:val="both"/>
        <w:rPr>
          <w:lang w:val="en-US"/>
        </w:rPr>
      </w:pPr>
    </w:p>
    <w:p w:rsidR="008D06DE" w:rsidRPr="00CF22F3" w:rsidRDefault="008D06DE" w:rsidP="008D06DE">
      <w:pPr>
        <w:spacing w:line="360" w:lineRule="auto"/>
        <w:jc w:val="both"/>
      </w:pPr>
      <w:r w:rsidRPr="00CF22F3">
        <w:rPr>
          <w:lang w:val="en-US"/>
        </w:rPr>
        <w:t>Bicho, N. (2004): “The Middle Palaeolithgic occupation of southern Portugal</w:t>
      </w:r>
      <w:r>
        <w:rPr>
          <w:lang w:val="en-US"/>
        </w:rPr>
        <w:t>”.</w:t>
      </w:r>
      <w:r w:rsidRPr="00CF22F3">
        <w:rPr>
          <w:lang w:val="en-US"/>
        </w:rPr>
        <w:t xml:space="preserve"> </w:t>
      </w:r>
      <w:r w:rsidRPr="00FA3ECB">
        <w:rPr>
          <w:i/>
          <w:lang w:val="en-US"/>
        </w:rPr>
        <w:t>In</w:t>
      </w:r>
      <w:r w:rsidRPr="00CF22F3">
        <w:rPr>
          <w:lang w:val="en-US"/>
        </w:rPr>
        <w:t>: Settlements dynamics of the Middle Paleolithic and Middle Stone Age, 2</w:t>
      </w:r>
      <w:r>
        <w:rPr>
          <w:lang w:val="en-US"/>
        </w:rPr>
        <w:t>, Connard, N. ed</w:t>
      </w:r>
      <w:r w:rsidRPr="00CF22F3">
        <w:rPr>
          <w:lang w:val="en-US"/>
        </w:rPr>
        <w:t>.</w:t>
      </w:r>
      <w:r>
        <w:rPr>
          <w:lang w:val="en-US"/>
        </w:rPr>
        <w:t>,</w:t>
      </w:r>
      <w:r w:rsidRPr="00CF22F3">
        <w:rPr>
          <w:lang w:val="en-US"/>
        </w:rPr>
        <w:t xml:space="preserve"> </w:t>
      </w:r>
      <w:r w:rsidRPr="00A30B83">
        <w:rPr>
          <w:lang w:val="en-US"/>
        </w:rPr>
        <w:t xml:space="preserve">Kerns Verlag. </w:t>
      </w:r>
      <w:r w:rsidRPr="00CF22F3">
        <w:t>513-531.</w:t>
      </w:r>
    </w:p>
    <w:p w:rsidR="008D06DE" w:rsidRDefault="008D06DE" w:rsidP="008D06DE">
      <w:pPr>
        <w:spacing w:line="360" w:lineRule="auto"/>
        <w:jc w:val="both"/>
      </w:pPr>
    </w:p>
    <w:p w:rsidR="008D06DE" w:rsidRPr="00CF22F3" w:rsidRDefault="008D06DE" w:rsidP="008D06DE">
      <w:pPr>
        <w:spacing w:line="360" w:lineRule="auto"/>
        <w:jc w:val="both"/>
        <w:rPr>
          <w:lang w:val="fr-FR"/>
        </w:rPr>
      </w:pPr>
      <w:r w:rsidRPr="00CF22F3">
        <w:t xml:space="preserve">Bicho, N. e Ferring, C.R. (2001): “O sítio arqueológico de Santa Cita, Tomar: as Intervenções arqueológicas de 1990 a 1997”. </w:t>
      </w:r>
      <w:r w:rsidRPr="00CF22F3">
        <w:rPr>
          <w:i/>
          <w:lang w:val="fr-FR"/>
        </w:rPr>
        <w:t>Arkeos</w:t>
      </w:r>
      <w:r w:rsidRPr="00CF22F3">
        <w:rPr>
          <w:lang w:val="fr-FR"/>
        </w:rPr>
        <w:t>, 11. 71-88.</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Bicho, N., Gibaja, J.F., Stiner, M. e Manne, T. (2010)</w:t>
      </w:r>
      <w:r>
        <w:rPr>
          <w:lang w:val="fr-FR"/>
        </w:rPr>
        <w:t>: </w:t>
      </w:r>
      <w:r w:rsidRPr="00FA3ECB">
        <w:rPr>
          <w:lang w:val="fr-FR"/>
        </w:rPr>
        <w:t>“</w:t>
      </w:r>
      <w:r w:rsidRPr="00CF22F3">
        <w:rPr>
          <w:lang w:val="fr-FR"/>
        </w:rPr>
        <w:t>Le Paléolithique supérieur au sud du Portugal : le site de Vale Boi</w:t>
      </w:r>
      <w:r w:rsidRPr="00FA3ECB">
        <w:rPr>
          <w:lang w:val="fr-FR"/>
        </w:rPr>
        <w:t>”</w:t>
      </w:r>
      <w:r w:rsidRPr="00CF22F3">
        <w:rPr>
          <w:lang w:val="fr-FR"/>
        </w:rPr>
        <w:t xml:space="preserve">. </w:t>
      </w:r>
      <w:r w:rsidRPr="00CF22F3">
        <w:rPr>
          <w:i/>
          <w:lang w:val="fr-FR"/>
        </w:rPr>
        <w:t>L'Anthropologie</w:t>
      </w:r>
      <w:r w:rsidRPr="00CF22F3">
        <w:rPr>
          <w:lang w:val="fr-FR"/>
        </w:rPr>
        <w:t>, 114, 1. 48–67.</w:t>
      </w:r>
    </w:p>
    <w:p w:rsidR="008D06DE" w:rsidRDefault="008D06DE" w:rsidP="008D06DE">
      <w:pPr>
        <w:spacing w:line="360" w:lineRule="auto"/>
        <w:jc w:val="both"/>
        <w:rPr>
          <w:lang w:val="fr-FR"/>
        </w:rPr>
      </w:pPr>
    </w:p>
    <w:p w:rsidR="008D06DE" w:rsidRPr="00FA3ECB" w:rsidRDefault="008D06DE" w:rsidP="008D06DE">
      <w:pPr>
        <w:spacing w:line="360" w:lineRule="auto"/>
        <w:jc w:val="both"/>
        <w:rPr>
          <w:lang w:val="fr-FR"/>
        </w:rPr>
      </w:pPr>
      <w:r w:rsidRPr="00FA3ECB">
        <w:rPr>
          <w:lang w:val="fr-FR"/>
        </w:rPr>
        <w:t>Boëda, E., (1986): “Approche technologique du concept Levallois et évaluation de son champs d’application : étude de trois gisement saaliens et weichséliens de la France septentrionale”. Tese  de doutoramento da Universidade de Paris X-Nanterre.</w:t>
      </w:r>
    </w:p>
    <w:p w:rsidR="008D06DE" w:rsidRDefault="008D06DE" w:rsidP="008D06DE">
      <w:pPr>
        <w:spacing w:line="360" w:lineRule="auto"/>
        <w:jc w:val="both"/>
        <w:rPr>
          <w:lang w:val="fr-FR"/>
        </w:rPr>
      </w:pPr>
    </w:p>
    <w:p w:rsidR="008D06DE" w:rsidRPr="00FA3ECB" w:rsidRDefault="008D06DE" w:rsidP="008D06DE">
      <w:pPr>
        <w:spacing w:line="360" w:lineRule="auto"/>
        <w:jc w:val="both"/>
        <w:rPr>
          <w:lang w:val="fr-FR"/>
        </w:rPr>
      </w:pPr>
      <w:r w:rsidRPr="00FA3ECB">
        <w:rPr>
          <w:lang w:val="fr-FR"/>
        </w:rPr>
        <w:t xml:space="preserve">Boëda, E. (1988): “ Le concept Levallois et évaluation de son champ d'application”. L'Homme de Neandertal, vol.4, La Technique, Erault. Liège.13-26. </w:t>
      </w:r>
    </w:p>
    <w:p w:rsidR="008D06DE" w:rsidRDefault="008D06DE" w:rsidP="008D06DE">
      <w:pPr>
        <w:spacing w:line="360" w:lineRule="auto"/>
        <w:jc w:val="both"/>
        <w:rPr>
          <w:lang w:val="fr-FR"/>
        </w:rPr>
      </w:pPr>
    </w:p>
    <w:p w:rsidR="008D06DE" w:rsidRPr="00FA3ECB" w:rsidRDefault="008D06DE" w:rsidP="008D06DE">
      <w:pPr>
        <w:spacing w:line="360" w:lineRule="auto"/>
        <w:jc w:val="both"/>
        <w:rPr>
          <w:lang w:val="fr-FR"/>
        </w:rPr>
      </w:pPr>
      <w:r w:rsidRPr="00FA3ECB">
        <w:rPr>
          <w:lang w:val="fr-FR"/>
        </w:rPr>
        <w:t>Boëda, E. (1993): “Le débitage Discoïde et le débitage Levallois récurrent centripète”. Bulletin de la Sociét</w:t>
      </w:r>
      <w:r>
        <w:rPr>
          <w:lang w:val="fr-FR"/>
        </w:rPr>
        <w:t>é Préhistorique Française 90(6).</w:t>
      </w:r>
      <w:r w:rsidRPr="00FA3ECB">
        <w:rPr>
          <w:lang w:val="fr-FR"/>
        </w:rPr>
        <w:t xml:space="preserve"> 392-404.</w:t>
      </w:r>
    </w:p>
    <w:p w:rsidR="008D06DE" w:rsidRDefault="008D06DE" w:rsidP="008D06DE">
      <w:pPr>
        <w:spacing w:line="360" w:lineRule="auto"/>
        <w:jc w:val="both"/>
        <w:rPr>
          <w:lang w:val="fr-FR"/>
        </w:rPr>
      </w:pPr>
    </w:p>
    <w:p w:rsidR="008D06DE" w:rsidRPr="00FA3ECB" w:rsidRDefault="008D06DE" w:rsidP="008D06DE">
      <w:pPr>
        <w:spacing w:line="360" w:lineRule="auto"/>
        <w:jc w:val="both"/>
        <w:rPr>
          <w:lang w:val="fr-FR"/>
        </w:rPr>
      </w:pPr>
      <w:r w:rsidRPr="00FA3ECB">
        <w:rPr>
          <w:lang w:val="fr-FR"/>
        </w:rPr>
        <w:t>Boëda, E. (1994): “Le concept Levallois : variabilité des méthodes”. Monographie du CRA, Paris, CNRS.</w:t>
      </w:r>
    </w:p>
    <w:p w:rsidR="008D06DE" w:rsidRDefault="008D06DE" w:rsidP="008D06DE">
      <w:pPr>
        <w:spacing w:line="360" w:lineRule="auto"/>
        <w:jc w:val="both"/>
        <w:rPr>
          <w:lang w:val="fr-FR"/>
        </w:rPr>
      </w:pPr>
    </w:p>
    <w:p w:rsidR="008D06DE" w:rsidRDefault="008D06DE" w:rsidP="008D06DE">
      <w:pPr>
        <w:spacing w:line="360" w:lineRule="auto"/>
        <w:jc w:val="both"/>
        <w:rPr>
          <w:lang w:val="en-US"/>
        </w:rPr>
      </w:pPr>
      <w:r w:rsidRPr="00F35BAF">
        <w:rPr>
          <w:lang w:val="fr-FR"/>
        </w:rPr>
        <w:lastRenderedPageBreak/>
        <w:t xml:space="preserve">Bond, G., Heinrich, H., </w:t>
      </w:r>
      <w:r w:rsidRPr="00305AB6">
        <w:rPr>
          <w:lang w:val="en-US"/>
        </w:rPr>
        <w:t xml:space="preserve">Broecker, W., Labeyrie, L., McManus, J., Andrews, J., Huon, S., Jantschik, B., Clasen, S., Simet, C., Tedesco, K., Klas, M., Bonani, G. e </w:t>
      </w:r>
      <w:r w:rsidRPr="00CF22F3">
        <w:rPr>
          <w:lang w:val="en-US"/>
        </w:rPr>
        <w:t xml:space="preserve">Ivy, S. (1992): “Evidence for massive discharges of icebergs into the North Atlantic ocean during the last glacial period”. </w:t>
      </w:r>
      <w:proofErr w:type="gramStart"/>
      <w:r w:rsidRPr="00CF22F3">
        <w:rPr>
          <w:i/>
          <w:lang w:val="en-US"/>
        </w:rPr>
        <w:t>Nature</w:t>
      </w:r>
      <w:r>
        <w:rPr>
          <w:lang w:val="en-US"/>
        </w:rPr>
        <w:t>, 360.</w:t>
      </w:r>
      <w:proofErr w:type="gramEnd"/>
      <w:r w:rsidRPr="00CF22F3">
        <w:rPr>
          <w:lang w:val="en-US"/>
        </w:rPr>
        <w:t xml:space="preserve"> </w:t>
      </w:r>
      <w:proofErr w:type="gramStart"/>
      <w:r w:rsidRPr="00CF22F3">
        <w:rPr>
          <w:lang w:val="en-US"/>
        </w:rPr>
        <w:t>245-249.</w:t>
      </w:r>
      <w:proofErr w:type="gramEnd"/>
    </w:p>
    <w:p w:rsidR="00A045DA" w:rsidRPr="00CF22F3" w:rsidRDefault="00A045DA"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Bond, G., Showers, W., Cheseby, M., Lotti, R., Almasi, P., de Menocal, P., Priore, P., Cullen, H., Hajdas, I. </w:t>
      </w:r>
      <w:r>
        <w:rPr>
          <w:lang w:val="en-US"/>
        </w:rPr>
        <w:t>e</w:t>
      </w:r>
      <w:r w:rsidRPr="00CF22F3">
        <w:rPr>
          <w:lang w:val="en-US"/>
        </w:rPr>
        <w:t xml:space="preserve"> Bonani, G. (1997): “A pervasive millennial-scale cycle in North Atlantic Holocene and glacial climates”. </w:t>
      </w:r>
      <w:proofErr w:type="gramStart"/>
      <w:r w:rsidRPr="00CF22F3">
        <w:rPr>
          <w:i/>
          <w:lang w:val="en-US"/>
        </w:rPr>
        <w:t>Science</w:t>
      </w:r>
      <w:r w:rsidRPr="00CF22F3">
        <w:rPr>
          <w:lang w:val="en-US"/>
        </w:rPr>
        <w:t>, 278.</w:t>
      </w:r>
      <w:proofErr w:type="gramEnd"/>
      <w:r w:rsidRPr="00CF22F3">
        <w:rPr>
          <w:lang w:val="en-US"/>
        </w:rPr>
        <w:t xml:space="preserve"> </w:t>
      </w:r>
      <w:proofErr w:type="gramStart"/>
      <w:r w:rsidRPr="00CF22F3">
        <w:rPr>
          <w:lang w:val="en-US"/>
        </w:rPr>
        <w:t>1257-1265.</w:t>
      </w:r>
      <w:proofErr w:type="gramEnd"/>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Bordes, F. (1953): </w:t>
      </w:r>
      <w:r w:rsidRPr="00FA3ECB">
        <w:rPr>
          <w:lang w:val="fr-FR"/>
        </w:rPr>
        <w:t>“</w:t>
      </w:r>
      <w:r w:rsidRPr="00CF22F3">
        <w:rPr>
          <w:lang w:val="fr-FR"/>
        </w:rPr>
        <w:t xml:space="preserve"> Essai de classification des industries </w:t>
      </w:r>
      <w:r w:rsidRPr="00FA3ECB">
        <w:rPr>
          <w:lang w:val="fr-FR"/>
        </w:rPr>
        <w:t>“</w:t>
      </w:r>
      <w:r w:rsidRPr="00CF22F3">
        <w:rPr>
          <w:lang w:val="fr-FR"/>
        </w:rPr>
        <w:t>moustériennes</w:t>
      </w:r>
      <w:r w:rsidRPr="00FA3ECB">
        <w:rPr>
          <w:lang w:val="fr-FR"/>
        </w:rPr>
        <w:t>” ”</w:t>
      </w:r>
      <w:r w:rsidRPr="00CF22F3">
        <w:rPr>
          <w:lang w:val="fr-FR"/>
        </w:rPr>
        <w:t>. Bulletin de la Société Préhistorique Française, L. 457</w:t>
      </w:r>
      <w:r>
        <w:rPr>
          <w:lang w:val="fr-FR"/>
        </w:rPr>
        <w:t>-</w:t>
      </w:r>
      <w:r w:rsidRPr="00CF22F3">
        <w:rPr>
          <w:lang w:val="fr-FR"/>
        </w:rPr>
        <w:t>466.</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Bordes, F.</w:t>
      </w:r>
      <w:r>
        <w:rPr>
          <w:lang w:val="fr-FR"/>
        </w:rPr>
        <w:t xml:space="preserve"> </w:t>
      </w:r>
      <w:r w:rsidRPr="00CF22F3">
        <w:rPr>
          <w:lang w:val="fr-FR"/>
        </w:rPr>
        <w:t xml:space="preserve">(1961): </w:t>
      </w:r>
      <w:r w:rsidRPr="00FA3ECB">
        <w:rPr>
          <w:lang w:val="fr-FR"/>
        </w:rPr>
        <w:t>“</w:t>
      </w:r>
      <w:r w:rsidRPr="00CF22F3">
        <w:rPr>
          <w:lang w:val="fr-FR"/>
        </w:rPr>
        <w:t>Typologie du Paléolithique ancien et moyen</w:t>
      </w:r>
      <w:r w:rsidRPr="00FA3ECB">
        <w:rPr>
          <w:lang w:val="fr-FR"/>
        </w:rPr>
        <w:t>”</w:t>
      </w:r>
      <w:r w:rsidRPr="00CF22F3">
        <w:rPr>
          <w:lang w:val="fr-FR"/>
        </w:rPr>
        <w:t xml:space="preserve">. Delmas. Bordeaux (5ª </w:t>
      </w:r>
      <w:proofErr w:type="gramStart"/>
      <w:r w:rsidR="00AC7B53" w:rsidRPr="00CF22F3">
        <w:rPr>
          <w:lang w:val="fr-FR"/>
        </w:rPr>
        <w:t>ed.</w:t>
      </w:r>
      <w:r w:rsidR="00AC7B53">
        <w:rPr>
          <w:lang w:val="fr-FR"/>
        </w:rPr>
        <w:t>,</w:t>
      </w:r>
      <w:proofErr w:type="gramEnd"/>
      <w:r w:rsidRPr="00CF22F3">
        <w:rPr>
          <w:lang w:val="fr-FR"/>
        </w:rPr>
        <w:t xml:space="preserve"> 2000, CNRS).</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Bordes, F. (1984): </w:t>
      </w:r>
      <w:r w:rsidRPr="00FA3ECB">
        <w:rPr>
          <w:lang w:val="fr-FR"/>
        </w:rPr>
        <w:t>“</w:t>
      </w:r>
      <w:r w:rsidRPr="00CF22F3">
        <w:rPr>
          <w:lang w:val="fr-FR"/>
        </w:rPr>
        <w:t>Leçons sur le Paléolithique</w:t>
      </w:r>
      <w:r w:rsidRPr="00FA3ECB">
        <w:rPr>
          <w:lang w:val="fr-FR"/>
        </w:rPr>
        <w:t>”</w:t>
      </w:r>
      <w:r w:rsidRPr="00CF22F3">
        <w:rPr>
          <w:lang w:val="fr-FR"/>
        </w:rPr>
        <w:t xml:space="preserve">. </w:t>
      </w:r>
      <w:r w:rsidRPr="00A30B83">
        <w:rPr>
          <w:i/>
          <w:lang w:val="fr-FR"/>
        </w:rPr>
        <w:t>Cahiers du Quaternaire</w:t>
      </w:r>
      <w:r w:rsidRPr="00CF22F3">
        <w:rPr>
          <w:lang w:val="fr-FR"/>
        </w:rPr>
        <w:t>, 7, 2 vol. CNRS.</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Bourguignon, L., Sellami, F., Deloze, V., Selliersegard, N., Beyries, S. e Emery-Barbier A. (2002): “ L’habitat moustérien de La Folie (Poitiers, Vienne) : synthèse des premiers résultats”. </w:t>
      </w:r>
      <w:r w:rsidRPr="00A30B83">
        <w:rPr>
          <w:i/>
          <w:lang w:val="fr-FR"/>
        </w:rPr>
        <w:t>P a l e o</w:t>
      </w:r>
      <w:r w:rsidRPr="00CF22F3">
        <w:rPr>
          <w:lang w:val="fr-FR"/>
        </w:rPr>
        <w:t>, 14. 29-48.</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Bourguignon, L., Vieillevigne, E</w:t>
      </w:r>
      <w:proofErr w:type="gramStart"/>
      <w:r w:rsidRPr="00CF22F3">
        <w:rPr>
          <w:lang w:val="fr-FR"/>
        </w:rPr>
        <w:t>. ,</w:t>
      </w:r>
      <w:proofErr w:type="gramEnd"/>
      <w:r w:rsidRPr="00CF22F3">
        <w:rPr>
          <w:lang w:val="fr-FR"/>
        </w:rPr>
        <w:t xml:space="preserve"> P. Guibert, </w:t>
      </w:r>
      <w:r>
        <w:rPr>
          <w:lang w:val="fr-FR"/>
        </w:rPr>
        <w:t>P.,  Bechtel,  F., Beyries, S.,</w:t>
      </w:r>
      <w:r w:rsidRPr="00CF22F3">
        <w:rPr>
          <w:lang w:val="fr-FR"/>
        </w:rPr>
        <w:t xml:space="preserve"> Emery-Barbier A., Deloze, V., Lahaye, C., Sellami, F. e  Sellier-Segard, N. (2006): “Compléments d’informations chronologiques sur le campement Moustérien de Tradition Acheuléenne du gisement de La Folie (Poitiers, Vienne) ”. </w:t>
      </w:r>
      <w:r w:rsidRPr="00A30B83">
        <w:rPr>
          <w:i/>
          <w:lang w:val="fr-FR"/>
        </w:rPr>
        <w:t>P a l e o</w:t>
      </w:r>
      <w:r w:rsidRPr="00CF22F3">
        <w:rPr>
          <w:lang w:val="fr-FR"/>
        </w:rPr>
        <w:t xml:space="preserve">, 18. 37-44. </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Breuil, H. (1917): “Glanes paléolithiques dans le bassin du Guadiana”</w:t>
      </w:r>
      <w:r>
        <w:rPr>
          <w:lang w:val="fr-FR"/>
        </w:rPr>
        <w:t>.</w:t>
      </w:r>
      <w:r w:rsidRPr="00CF22F3">
        <w:rPr>
          <w:lang w:val="fr-FR"/>
        </w:rPr>
        <w:t xml:space="preserve"> </w:t>
      </w:r>
      <w:proofErr w:type="gramStart"/>
      <w:r w:rsidRPr="00CF22F3">
        <w:rPr>
          <w:i/>
          <w:lang w:val="fr-FR"/>
        </w:rPr>
        <w:t>L’ Anthropologie</w:t>
      </w:r>
      <w:proofErr w:type="gramEnd"/>
      <w:r w:rsidRPr="00CF22F3">
        <w:rPr>
          <w:lang w:val="fr-FR"/>
        </w:rPr>
        <w:t>, Tome XXVIII, Paris.</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Breuil, H. (1920): “La Station Paléolithique Ancienne d’Arronches (Portalegre)”. </w:t>
      </w:r>
      <w:r w:rsidRPr="00CF22F3">
        <w:rPr>
          <w:i/>
          <w:lang w:val="fr-FR"/>
        </w:rPr>
        <w:t xml:space="preserve">O Archeólogo Português </w:t>
      </w:r>
      <w:r w:rsidRPr="00CF22F3">
        <w:rPr>
          <w:lang w:val="fr-FR"/>
        </w:rPr>
        <w:t>.1.ª serie. 24. 47.</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lastRenderedPageBreak/>
        <w:t xml:space="preserve">Breuil, H e Zbyzewsky, G. (1942): “Contribution à l’étude des industries paléolithiques du Portugal et de leurs  rapports avec la géologie du Quaternaire. Les principaux gisements des deux rives de l´ancien estuaire du Tage”. </w:t>
      </w:r>
      <w:r w:rsidRPr="00CF22F3">
        <w:rPr>
          <w:i/>
          <w:lang w:val="fr-FR"/>
        </w:rPr>
        <w:t>Comunicações dos Serviços Geológicos de Portugal</w:t>
      </w:r>
      <w:r w:rsidRPr="00CF22F3">
        <w:rPr>
          <w:lang w:val="fr-FR"/>
        </w:rPr>
        <w:t>, 23. 3-328.</w:t>
      </w:r>
    </w:p>
    <w:p w:rsidR="00A045DA" w:rsidRDefault="00A045DA"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Breuil, H e Zbyzewsky, G. (1945): “Contribution à l’étude des industries paléolithiques du Portugal et de leurs  rapports avec la geologie du Quaternaire. Les principaux gisements des plages quaternaire du littoral d’Estremadura et des terrasses fluviales de la basse vallée du Tage”. </w:t>
      </w:r>
      <w:r w:rsidRPr="00CF22F3">
        <w:rPr>
          <w:i/>
          <w:lang w:val="fr-FR"/>
        </w:rPr>
        <w:t>Comunicações dos Serviços Geológicos de Portugal</w:t>
      </w:r>
      <w:r w:rsidRPr="00CF22F3">
        <w:rPr>
          <w:lang w:val="fr-FR"/>
        </w:rPr>
        <w:t>, 26. 3-662.</w:t>
      </w:r>
    </w:p>
    <w:p w:rsidR="008D06DE" w:rsidRDefault="008D06DE" w:rsidP="008D06DE">
      <w:pPr>
        <w:autoSpaceDE w:val="0"/>
        <w:autoSpaceDN w:val="0"/>
        <w:adjustRightInd w:val="0"/>
        <w:spacing w:line="360" w:lineRule="auto"/>
        <w:jc w:val="both"/>
        <w:rPr>
          <w:lang w:val="en-US"/>
        </w:rPr>
      </w:pPr>
    </w:p>
    <w:p w:rsidR="008D06DE" w:rsidRPr="00CF22F3" w:rsidRDefault="008D06DE" w:rsidP="008D06DE">
      <w:pPr>
        <w:autoSpaceDE w:val="0"/>
        <w:autoSpaceDN w:val="0"/>
        <w:adjustRightInd w:val="0"/>
        <w:spacing w:line="360" w:lineRule="auto"/>
        <w:jc w:val="both"/>
        <w:rPr>
          <w:lang w:val="en-US"/>
        </w:rPr>
      </w:pPr>
      <w:r w:rsidRPr="00CF22F3">
        <w:rPr>
          <w:lang w:val="en-US"/>
        </w:rPr>
        <w:t>Brugal, J.-Ph.</w:t>
      </w:r>
      <w:r>
        <w:rPr>
          <w:lang w:val="en-US"/>
        </w:rPr>
        <w:t xml:space="preserve"> e</w:t>
      </w:r>
      <w:r w:rsidRPr="00CF22F3">
        <w:rPr>
          <w:lang w:val="en-US"/>
        </w:rPr>
        <w:t xml:space="preserve"> Raposo, L. (1999): “Foz do Enxarrique (Ródão, Portugal): preliminary results of the analysis of a bone assemblage from a Middle Palaeolithic open site”. </w:t>
      </w:r>
      <w:r w:rsidRPr="00FA3ECB">
        <w:rPr>
          <w:i/>
          <w:lang w:val="en-US"/>
        </w:rPr>
        <w:t>In</w:t>
      </w:r>
      <w:r w:rsidRPr="00CF22F3">
        <w:rPr>
          <w:lang w:val="en-US"/>
        </w:rPr>
        <w:t>: The Role of Early Humans in the Accumulation of European Lower and Middle Palaeolithic Bone Assemblages, Gaudzinski, S. e Turner, E. eds. Ergebnisse eines Kolloquiums (Romisch-Germanisches Zentralmuseum Forschungsinstitut fur Vor- und Fruhgeschichte Monographien, 42.367</w:t>
      </w:r>
      <w:r>
        <w:rPr>
          <w:lang w:val="en-US"/>
        </w:rPr>
        <w:t>-</w:t>
      </w:r>
      <w:r w:rsidRPr="00CF22F3">
        <w:rPr>
          <w:lang w:val="en-US"/>
        </w:rPr>
        <w:t xml:space="preserve">379. </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Bruxelles, L., Jarry, M e Bevilacqua, R. (2008): </w:t>
      </w:r>
      <w:r w:rsidRPr="00CF22F3">
        <w:rPr>
          <w:lang w:val="en-US"/>
        </w:rPr>
        <w:t>“</w:t>
      </w:r>
      <w:r w:rsidRPr="00CF22F3">
        <w:rPr>
          <w:lang w:val="fr-FR"/>
        </w:rPr>
        <w:t xml:space="preserve"> Un nouveau jalon pour l’approche contextuelle du Paléolithique moyen en Midi toulousain: Bel-Soleil à Cornebarrieu (Haute-Garonne, France)”.  </w:t>
      </w:r>
      <w:r w:rsidRPr="00FA3ECB">
        <w:rPr>
          <w:i/>
          <w:lang w:val="fr-FR"/>
        </w:rPr>
        <w:t>In</w:t>
      </w:r>
      <w:r w:rsidRPr="00CF22F3">
        <w:rPr>
          <w:lang w:val="fr-FR"/>
        </w:rPr>
        <w:t xml:space="preserve">: Les sociétés du Paléolithique dans un Grand Sud-Ouest de la France : nouveaux gisements, nouveaux résultats, nouvelles méthodes, Jaubert, J.,  Bordes, J.-G. e Ortega, I. eds.  </w:t>
      </w:r>
      <w:r w:rsidRPr="00A30B83">
        <w:rPr>
          <w:i/>
          <w:lang w:val="fr-FR"/>
        </w:rPr>
        <w:t>Mémoire XLVII de la Société Préhistorique Française</w:t>
      </w:r>
      <w:r w:rsidRPr="00CF22F3">
        <w:rPr>
          <w:lang w:val="fr-FR"/>
        </w:rPr>
        <w:t>. 173-188.</w:t>
      </w:r>
    </w:p>
    <w:p w:rsidR="008D06DE" w:rsidRDefault="008D06DE" w:rsidP="008D06DE">
      <w:pPr>
        <w:spacing w:line="360" w:lineRule="auto"/>
        <w:jc w:val="both"/>
        <w:rPr>
          <w:lang w:val="fr-FR"/>
        </w:rPr>
      </w:pPr>
    </w:p>
    <w:p w:rsidR="008D06DE" w:rsidRPr="00CF22F3" w:rsidRDefault="008D06DE" w:rsidP="008D06DE">
      <w:pPr>
        <w:spacing w:line="360" w:lineRule="auto"/>
        <w:jc w:val="both"/>
        <w:rPr>
          <w:lang w:val="en-US"/>
        </w:rPr>
      </w:pPr>
      <w:r w:rsidRPr="0086102E">
        <w:rPr>
          <w:lang w:val="fr-FR"/>
        </w:rPr>
        <w:t xml:space="preserve">Burjachs, F., López-García, J.M., Allué, E., Blain, H. A., Rivals, F., </w:t>
      </w:r>
      <w:proofErr w:type="gramStart"/>
      <w:r w:rsidRPr="0086102E">
        <w:rPr>
          <w:lang w:val="fr-FR"/>
        </w:rPr>
        <w:t>Bennàsar ,</w:t>
      </w:r>
      <w:proofErr w:type="gramEnd"/>
      <w:r w:rsidRPr="0086102E">
        <w:rPr>
          <w:lang w:val="fr-FR"/>
        </w:rPr>
        <w:t xml:space="preserve"> M. </w:t>
      </w:r>
      <w:r>
        <w:rPr>
          <w:lang w:val="fr-FR"/>
        </w:rPr>
        <w:t>e</w:t>
      </w:r>
      <w:r w:rsidRPr="0086102E">
        <w:rPr>
          <w:lang w:val="fr-FR"/>
        </w:rPr>
        <w:t xml:space="preserve">  </w:t>
      </w:r>
      <w:r w:rsidRPr="00305AB6">
        <w:rPr>
          <w:lang w:val="fr-FR"/>
        </w:rPr>
        <w:t xml:space="preserve">Expósito ,I. (2012): “Palaeoecology of Neanderthals during Dansgaarde- Oeschger cycles in northeastern Iberia (Abric Romaní): From regional to global scale”. </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26-37.</w:t>
      </w:r>
      <w:proofErr w:type="gramEnd"/>
      <w:r w:rsidRPr="00CF22F3">
        <w:rPr>
          <w:lang w:val="en-US"/>
        </w:rPr>
        <w:t xml:space="preserve">  </w:t>
      </w:r>
    </w:p>
    <w:p w:rsidR="008D06DE" w:rsidRDefault="008D06DE"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Burke</w:t>
      </w:r>
      <w:r w:rsidR="00AC7B53" w:rsidRPr="00CF22F3">
        <w:rPr>
          <w:lang w:val="en-US"/>
        </w:rPr>
        <w:t xml:space="preserve">, </w:t>
      </w:r>
      <w:r w:rsidR="00AC7B53">
        <w:rPr>
          <w:lang w:val="en-US"/>
        </w:rPr>
        <w:t>A</w:t>
      </w:r>
      <w:r w:rsidRPr="00CF22F3">
        <w:rPr>
          <w:lang w:val="en-US"/>
        </w:rPr>
        <w:t>., Meignen</w:t>
      </w:r>
      <w:proofErr w:type="gramStart"/>
      <w:r w:rsidRPr="00CF22F3">
        <w:rPr>
          <w:lang w:val="en-US"/>
        </w:rPr>
        <w:t xml:space="preserve">, </w:t>
      </w:r>
      <w:r w:rsidR="00AC7B53">
        <w:rPr>
          <w:lang w:val="en-US"/>
        </w:rPr>
        <w:t xml:space="preserve"> </w:t>
      </w:r>
      <w:r w:rsidRPr="00CF22F3">
        <w:rPr>
          <w:lang w:val="en-US"/>
        </w:rPr>
        <w:t>L</w:t>
      </w:r>
      <w:proofErr w:type="gramEnd"/>
      <w:r w:rsidRPr="00CF22F3">
        <w:rPr>
          <w:lang w:val="en-US"/>
        </w:rPr>
        <w:t>., Bisson, M., Pimentel, N., Henriques, V., Andrade, C., Freitas, M. C., Kageyama, M., Fletcher, W., Parslow, C.</w:t>
      </w:r>
      <w:r>
        <w:rPr>
          <w:lang w:val="en-US"/>
        </w:rPr>
        <w:t xml:space="preserve"> e </w:t>
      </w:r>
      <w:r w:rsidRPr="00CF22F3">
        <w:rPr>
          <w:lang w:val="en-US"/>
        </w:rPr>
        <w:t xml:space="preserve">Guiducci, D.  </w:t>
      </w:r>
      <w:r w:rsidRPr="00CF22F3">
        <w:rPr>
          <w:lang w:val="es-ES_tradnl"/>
        </w:rPr>
        <w:t xml:space="preserve">(2011): “The Palaeolithic occupation of southern Alentejo: the Sado River Drainage Survey” (La </w:t>
      </w:r>
      <w:r w:rsidRPr="00CF22F3">
        <w:rPr>
          <w:lang w:val="es-ES_tradnl"/>
        </w:rPr>
        <w:lastRenderedPageBreak/>
        <w:t xml:space="preserve">ocupación paleolítica del Alentejo meridional: investigación en la cuenca del río Sado).  </w:t>
      </w:r>
      <w:r w:rsidRPr="00CF22F3">
        <w:rPr>
          <w:i/>
          <w:lang w:val="en-US"/>
        </w:rPr>
        <w:t>Trabajos de Prehistoria</w:t>
      </w:r>
      <w:r w:rsidRPr="00CF22F3">
        <w:rPr>
          <w:lang w:val="en-US"/>
        </w:rPr>
        <w:t>, 68,</w:t>
      </w:r>
      <w:r>
        <w:rPr>
          <w:lang w:val="en-US"/>
        </w:rPr>
        <w:t xml:space="preserve"> 1. </w:t>
      </w:r>
      <w:proofErr w:type="gramStart"/>
      <w:r w:rsidRPr="00CF22F3">
        <w:rPr>
          <w:lang w:val="en-US"/>
        </w:rPr>
        <w:t>25-49.</w:t>
      </w:r>
      <w:proofErr w:type="gramEnd"/>
    </w:p>
    <w:p w:rsidR="008D06DE" w:rsidRDefault="008D06DE"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Canals, A., Sauceda, I., Carbonell, E., Díaz, O. e Mejias, D. (2004): “Industries of the Middle Paleolithic in open-air sites in Extremadura”. Acts of XIVth U.I.S.P.P. Congress, </w:t>
      </w:r>
      <w:r w:rsidRPr="00CF22F3">
        <w:rPr>
          <w:i/>
          <w:lang w:val="en-US"/>
        </w:rPr>
        <w:t xml:space="preserve">BAR </w:t>
      </w:r>
      <w:r w:rsidRPr="00CF22F3">
        <w:rPr>
          <w:lang w:val="en-US"/>
        </w:rPr>
        <w:t xml:space="preserve">International Series 1239. </w:t>
      </w:r>
    </w:p>
    <w:p w:rsidR="008D06DE" w:rsidRPr="00CF22F3" w:rsidRDefault="008D06DE" w:rsidP="008D06DE">
      <w:pPr>
        <w:spacing w:line="360" w:lineRule="auto"/>
        <w:jc w:val="both"/>
      </w:pPr>
      <w:r w:rsidRPr="00CF22F3">
        <w:t xml:space="preserve">Carbonell, E., Guilbaud, M. y Mora, R. (1983): “Utilización de la lógica analítica para el estudio de tecno-complejos a cantos tallados”. </w:t>
      </w:r>
      <w:r w:rsidRPr="00CF22F3">
        <w:rPr>
          <w:i/>
        </w:rPr>
        <w:t>Cahier noir</w:t>
      </w:r>
      <w:r>
        <w:t>, 1.</w:t>
      </w:r>
      <w:r w:rsidRPr="00CF22F3">
        <w:t xml:space="preserve"> 3-64.</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Carbonell, E., Mosquera, M., Ollé, A., Rodríguez, X. P., Sala, R., Vaquero, M. </w:t>
      </w:r>
      <w:r>
        <w:t>e</w:t>
      </w:r>
      <w:r w:rsidRPr="00CF22F3">
        <w:t xml:space="preserve"> Vergès, J. M. (1992): “ New Elements of the Logical Analytic System”. </w:t>
      </w:r>
      <w:r w:rsidRPr="00CF22F3">
        <w:rPr>
          <w:i/>
        </w:rPr>
        <w:t>Cahier noir,</w:t>
      </w:r>
      <w:r>
        <w:t xml:space="preserve"> 6.</w:t>
      </w:r>
      <w:r w:rsidRPr="00CF22F3">
        <w:t xml:space="preserve"> 3-61.</w:t>
      </w:r>
    </w:p>
    <w:p w:rsidR="008D06DE" w:rsidRDefault="008D06DE" w:rsidP="008D06DE">
      <w:pPr>
        <w:spacing w:line="360" w:lineRule="auto"/>
        <w:jc w:val="both"/>
      </w:pPr>
    </w:p>
    <w:p w:rsidR="008D06DE" w:rsidRPr="00CF22F3" w:rsidRDefault="008D06DE" w:rsidP="008D06DE">
      <w:pPr>
        <w:spacing w:line="360" w:lineRule="auto"/>
        <w:jc w:val="both"/>
      </w:pPr>
      <w:r w:rsidRPr="00CF22F3">
        <w:t xml:space="preserve">Carbonell, E., Canals, A., Sauceda, I., Barrero, N., Carbajo, A., Díaz, O., Díaz, I., Fernández, R., García, F.J., Peña, L., García, M., Gil, J., León, L.M., Mancha, S., Mancha, E., Mejías, D., Merino, R.M., Morano, M., Morcillo, A., Muñoz, L., Rodríguez, A., Julià, R., Giralt, S. </w:t>
      </w:r>
      <w:r>
        <w:t>e</w:t>
      </w:r>
      <w:r w:rsidRPr="00CF22F3">
        <w:t xml:space="preserve"> Falguères, C. (2005): “La grotte de Santa Ana (Cáceres, Espagne) et l’évolution technologique au Pléistocène dans la Péninsule ibérique”. </w:t>
      </w:r>
      <w:r w:rsidRPr="00CF22F3">
        <w:rPr>
          <w:i/>
        </w:rPr>
        <w:t>L’Anthropologie</w:t>
      </w:r>
      <w:r w:rsidRPr="00CF22F3">
        <w:t>. 109. 267-285.</w:t>
      </w:r>
    </w:p>
    <w:p w:rsidR="008D06DE" w:rsidRDefault="008D06DE" w:rsidP="008D06DE">
      <w:pPr>
        <w:spacing w:line="360" w:lineRule="auto"/>
        <w:jc w:val="both"/>
      </w:pPr>
    </w:p>
    <w:p w:rsidR="008D06DE" w:rsidRPr="00CF22F3" w:rsidRDefault="008D06DE" w:rsidP="008D06DE">
      <w:pPr>
        <w:spacing w:line="360" w:lineRule="auto"/>
        <w:jc w:val="both"/>
      </w:pPr>
      <w:r w:rsidRPr="00CF22F3">
        <w:t>Cardoso, J. L. (1993): “Contribuição para o conhecimento dos grandes mamíferos do Plistocénico Superior de Portugal”, Câmara Municipal de Oeiras.</w:t>
      </w:r>
    </w:p>
    <w:p w:rsidR="00AC7B53" w:rsidRDefault="00AC7B53" w:rsidP="008D06DE">
      <w:pPr>
        <w:spacing w:line="360" w:lineRule="auto"/>
        <w:jc w:val="both"/>
      </w:pPr>
    </w:p>
    <w:p w:rsidR="008D06DE" w:rsidRPr="00CF22F3" w:rsidRDefault="008D06DE" w:rsidP="008D06DE">
      <w:pPr>
        <w:spacing w:line="360" w:lineRule="auto"/>
        <w:jc w:val="both"/>
      </w:pPr>
      <w:r w:rsidRPr="00CF22F3">
        <w:t xml:space="preserve">Cardoso, J.L. </w:t>
      </w:r>
      <w:r w:rsidRPr="00CF22F3">
        <w:rPr>
          <w:rFonts w:eastAsia="AGaramond-Regular"/>
        </w:rPr>
        <w:t xml:space="preserve">(2002): </w:t>
      </w:r>
      <w:r w:rsidRPr="00CF22F3">
        <w:rPr>
          <w:rFonts w:eastAsia="AGaramond-Regular"/>
          <w:iCs/>
        </w:rPr>
        <w:t>Pré-História de Portugal</w:t>
      </w:r>
      <w:r>
        <w:rPr>
          <w:rFonts w:eastAsia="AGaramond-Regular"/>
        </w:rPr>
        <w:t>. Lisboa.</w:t>
      </w:r>
      <w:r w:rsidRPr="00CF22F3">
        <w:rPr>
          <w:rFonts w:eastAsia="AGaramond-Regular"/>
        </w:rPr>
        <w:t xml:space="preserve"> Editorial Verbo.</w:t>
      </w:r>
    </w:p>
    <w:p w:rsidR="00AC7B53" w:rsidRDefault="00AC7B53" w:rsidP="008D06DE">
      <w:pPr>
        <w:spacing w:line="360" w:lineRule="auto"/>
        <w:jc w:val="both"/>
      </w:pPr>
    </w:p>
    <w:p w:rsidR="008D06DE" w:rsidRPr="00F35BAF" w:rsidRDefault="008D06DE" w:rsidP="008D06DE">
      <w:pPr>
        <w:spacing w:line="360" w:lineRule="auto"/>
        <w:jc w:val="both"/>
      </w:pPr>
      <w:r w:rsidRPr="00F35BAF">
        <w:t xml:space="preserve">Cardoso, J.L. (2006): “The Mousterian Complex of Portugal”. </w:t>
      </w:r>
      <w:r w:rsidRPr="00F35BAF">
        <w:rPr>
          <w:i/>
        </w:rPr>
        <w:t>Zephyrus</w:t>
      </w:r>
      <w:r w:rsidRPr="00F35BAF">
        <w:t xml:space="preserve">, 59, 21-50. </w:t>
      </w:r>
    </w:p>
    <w:p w:rsidR="00AC7B53" w:rsidRDefault="00AC7B53" w:rsidP="008D06DE">
      <w:pPr>
        <w:spacing w:line="360" w:lineRule="auto"/>
        <w:jc w:val="both"/>
      </w:pPr>
    </w:p>
    <w:p w:rsidR="008D06DE" w:rsidRPr="00CF22F3" w:rsidRDefault="008D06DE" w:rsidP="008D06DE">
      <w:pPr>
        <w:spacing w:line="360" w:lineRule="auto"/>
        <w:jc w:val="both"/>
      </w:pPr>
      <w:r w:rsidRPr="00CF22F3">
        <w:t xml:space="preserve">Cardoso, J.L., Zbyszewsky, G. e André, M.C. (1992): “ O Paleolítico do Complexo Basáltico de Lisboa”. </w:t>
      </w:r>
      <w:r w:rsidRPr="00CF22F3">
        <w:rPr>
          <w:i/>
        </w:rPr>
        <w:t>Estudos Arqueológicos de Oeiras</w:t>
      </w:r>
      <w:r w:rsidRPr="00CF22F3">
        <w:t>, 5. 15-645.</w:t>
      </w:r>
    </w:p>
    <w:p w:rsidR="00AC7B53" w:rsidRDefault="00AC7B53" w:rsidP="008D06DE">
      <w:pPr>
        <w:autoSpaceDE w:val="0"/>
        <w:autoSpaceDN w:val="0"/>
        <w:adjustRightInd w:val="0"/>
        <w:spacing w:line="360" w:lineRule="auto"/>
        <w:jc w:val="both"/>
        <w:rPr>
          <w:rFonts w:eastAsia="AGaramond-Regular"/>
        </w:rPr>
      </w:pPr>
    </w:p>
    <w:p w:rsidR="008D06DE" w:rsidRPr="00CF22F3" w:rsidRDefault="008D06DE" w:rsidP="008D06DE">
      <w:pPr>
        <w:autoSpaceDE w:val="0"/>
        <w:autoSpaceDN w:val="0"/>
        <w:adjustRightInd w:val="0"/>
        <w:spacing w:line="360" w:lineRule="auto"/>
        <w:jc w:val="both"/>
        <w:rPr>
          <w:rFonts w:eastAsia="AGaramond-Regular"/>
        </w:rPr>
      </w:pPr>
      <w:r w:rsidRPr="00CF22F3">
        <w:rPr>
          <w:rFonts w:eastAsia="AGaramond-Regular"/>
        </w:rPr>
        <w:t>Cardoso, J. L., Raposo, L. e Ferreira, O. da Veiga (2002): “</w:t>
      </w:r>
      <w:r w:rsidRPr="00CF22F3">
        <w:rPr>
          <w:rFonts w:eastAsia="AGaramond-Regular"/>
          <w:iCs/>
        </w:rPr>
        <w:t>A Gruta Nova da Columbeira – Bombarral</w:t>
      </w:r>
      <w:r>
        <w:rPr>
          <w:rFonts w:eastAsia="AGaramond-Regular"/>
        </w:rPr>
        <w:t>. Cadaval”.</w:t>
      </w:r>
      <w:r w:rsidRPr="00CF22F3">
        <w:rPr>
          <w:rFonts w:eastAsia="AGaramond-Regular"/>
        </w:rPr>
        <w:t xml:space="preserve"> Câmara Municipal do Bombarral.</w:t>
      </w:r>
    </w:p>
    <w:p w:rsidR="008D06DE" w:rsidRPr="00CF22F3" w:rsidRDefault="008D06DE" w:rsidP="008D06DE">
      <w:pPr>
        <w:autoSpaceDE w:val="0"/>
        <w:autoSpaceDN w:val="0"/>
        <w:adjustRightInd w:val="0"/>
        <w:spacing w:line="360" w:lineRule="auto"/>
        <w:jc w:val="both"/>
        <w:rPr>
          <w:rFonts w:eastAsia="AGaramond-Regular"/>
        </w:rPr>
      </w:pPr>
      <w:r w:rsidRPr="00CF22F3">
        <w:rPr>
          <w:rFonts w:eastAsia="AGaramond-Regular"/>
        </w:rPr>
        <w:t xml:space="preserve"> </w:t>
      </w:r>
    </w:p>
    <w:p w:rsidR="008D06DE" w:rsidRPr="00CF22F3" w:rsidRDefault="008D06DE" w:rsidP="008D06DE">
      <w:pPr>
        <w:spacing w:line="360" w:lineRule="auto"/>
        <w:jc w:val="both"/>
      </w:pPr>
      <w:r w:rsidRPr="00CF22F3">
        <w:lastRenderedPageBreak/>
        <w:t xml:space="preserve">Carreira, J.R. e Raposo, L. (1994): “ Os utensílios sobre lasca da indústria do Paleolítico médio do sítio da Cascalheira (Benavente) ”. </w:t>
      </w:r>
      <w:r w:rsidRPr="00CF22F3">
        <w:rPr>
          <w:i/>
        </w:rPr>
        <w:t>Al-madan</w:t>
      </w:r>
      <w:proofErr w:type="gramStart"/>
      <w:r w:rsidRPr="00CF22F3">
        <w:t>,</w:t>
      </w:r>
      <w:proofErr w:type="gramEnd"/>
      <w:r w:rsidRPr="00CF22F3">
        <w:t xml:space="preserve"> serie 2, 3. 22-29.</w:t>
      </w:r>
    </w:p>
    <w:p w:rsidR="00AC7B53" w:rsidRDefault="00AC7B53" w:rsidP="008D06DE">
      <w:pPr>
        <w:autoSpaceDE w:val="0"/>
        <w:autoSpaceDN w:val="0"/>
        <w:adjustRightInd w:val="0"/>
        <w:spacing w:line="360" w:lineRule="auto"/>
        <w:jc w:val="both"/>
        <w:rPr>
          <w:lang w:val="en-US"/>
        </w:rPr>
      </w:pPr>
    </w:p>
    <w:p w:rsidR="008D06DE" w:rsidRPr="00CF22F3" w:rsidRDefault="008D06DE" w:rsidP="008D06DE">
      <w:pPr>
        <w:autoSpaceDE w:val="0"/>
        <w:autoSpaceDN w:val="0"/>
        <w:adjustRightInd w:val="0"/>
        <w:spacing w:line="360" w:lineRule="auto"/>
        <w:jc w:val="both"/>
        <w:rPr>
          <w:lang w:val="es-ES_tradnl"/>
        </w:rPr>
      </w:pPr>
      <w:r w:rsidRPr="00CF22F3">
        <w:rPr>
          <w:lang w:val="en-US"/>
        </w:rPr>
        <w:t xml:space="preserve">Carrión, J. S., Scott, L., Arribas, A., Fuentes, N., Gil-Romera, G. </w:t>
      </w:r>
      <w:r>
        <w:rPr>
          <w:lang w:val="en-US"/>
        </w:rPr>
        <w:t>e</w:t>
      </w:r>
      <w:r w:rsidRPr="00CF22F3">
        <w:rPr>
          <w:lang w:val="en-US"/>
        </w:rPr>
        <w:t xml:space="preserve"> Montoya, E. (2007): “Pleistocene landscapes in central Iberia inferred from pollen analysis of hyena coprolites”. </w:t>
      </w:r>
      <w:r w:rsidRPr="00CF22F3">
        <w:rPr>
          <w:i/>
          <w:lang w:val="es-ES_tradnl"/>
        </w:rPr>
        <w:t>Journal of Quaternary Science</w:t>
      </w:r>
      <w:r w:rsidRPr="00CF22F3">
        <w:rPr>
          <w:lang w:val="es-ES_tradnl"/>
        </w:rPr>
        <w:t>, 22. 191-202.</w:t>
      </w:r>
    </w:p>
    <w:p w:rsidR="008D06DE" w:rsidRPr="00CF22F3" w:rsidRDefault="008D06DE" w:rsidP="008D06DE">
      <w:pPr>
        <w:autoSpaceDE w:val="0"/>
        <w:autoSpaceDN w:val="0"/>
        <w:adjustRightInd w:val="0"/>
        <w:spacing w:line="360" w:lineRule="auto"/>
        <w:jc w:val="both"/>
        <w:rPr>
          <w:lang w:val="es-ES_tradnl"/>
        </w:rPr>
      </w:pPr>
    </w:p>
    <w:p w:rsidR="008D06DE" w:rsidRPr="00CF22F3" w:rsidRDefault="008D06DE" w:rsidP="008D06DE">
      <w:pPr>
        <w:spacing w:line="360" w:lineRule="auto"/>
        <w:jc w:val="both"/>
      </w:pPr>
      <w:r w:rsidRPr="00CF22F3">
        <w:rPr>
          <w:lang w:val="es-ES_tradnl"/>
        </w:rPr>
        <w:t>Carrión, E., Baena, J., Conde, C., Cuartero, F.</w:t>
      </w:r>
      <w:r>
        <w:rPr>
          <w:lang w:val="es-ES_tradnl"/>
        </w:rPr>
        <w:t xml:space="preserve"> e</w:t>
      </w:r>
      <w:r w:rsidRPr="00CF22F3">
        <w:rPr>
          <w:lang w:val="es-ES_tradnl"/>
        </w:rPr>
        <w:t xml:space="preserve"> Roca, M. (2008): “Variabilidad tecnológica en el Musteriense de Cantabria”. </w:t>
      </w:r>
      <w:r w:rsidRPr="00CF22F3">
        <w:rPr>
          <w:i/>
        </w:rPr>
        <w:t>Treballs d’Arqueologia</w:t>
      </w:r>
      <w:r w:rsidRPr="00CF22F3">
        <w:t>, 14. 279-318</w:t>
      </w:r>
    </w:p>
    <w:p w:rsidR="00A045DA" w:rsidRDefault="00A045DA" w:rsidP="008D06DE">
      <w:pPr>
        <w:spacing w:line="360" w:lineRule="auto"/>
        <w:jc w:val="both"/>
      </w:pPr>
    </w:p>
    <w:p w:rsidR="008D06DE" w:rsidRPr="00CF22F3" w:rsidRDefault="008D06DE" w:rsidP="008D06DE">
      <w:pPr>
        <w:spacing w:line="360" w:lineRule="auto"/>
        <w:jc w:val="both"/>
      </w:pPr>
      <w:r w:rsidRPr="00CF22F3">
        <w:t xml:space="preserve">Carrondo, J. (2013): “Análise tecnológica da indústria lítica do sítio do Porto Meirinho 1. Um sítio do Paleolítico médio no Baixo Alentejo”. </w:t>
      </w:r>
      <w:r w:rsidRPr="00C74B46">
        <w:rPr>
          <w:i/>
        </w:rPr>
        <w:t>In</w:t>
      </w:r>
      <w:r w:rsidRPr="00CF22F3">
        <w:t>: Testemunho do Paleolítico no regolfo de Alqueva. Resultados do Bloco B1 do Plano de Minimização de Impactes sobre o Património Arqueológico. Silva, A. C. e Regala, F.T. eds. EDIA, DRCALEN. 57- 83</w:t>
      </w:r>
    </w:p>
    <w:p w:rsidR="006C1C5C" w:rsidRDefault="006C1C5C" w:rsidP="008D06DE">
      <w:pPr>
        <w:spacing w:line="360" w:lineRule="auto"/>
        <w:jc w:val="both"/>
      </w:pPr>
    </w:p>
    <w:p w:rsidR="008D06DE" w:rsidRPr="00CF22F3" w:rsidRDefault="008D06DE" w:rsidP="008D06DE">
      <w:pPr>
        <w:spacing w:line="360" w:lineRule="auto"/>
        <w:jc w:val="both"/>
        <w:rPr>
          <w:lang w:val="fr-FR"/>
        </w:rPr>
      </w:pPr>
      <w:r w:rsidRPr="00CF22F3">
        <w:t xml:space="preserve">Carvalho, N., Cunha, P. P., Martins, A. e Tavares, A. (2006): “Caracterização Geológica e Geomorfológica de Vila Velha de Rodão – Contribuição </w:t>
      </w:r>
      <w:proofErr w:type="gramStart"/>
      <w:r w:rsidRPr="00CF22F3">
        <w:t>para</w:t>
      </w:r>
      <w:proofErr w:type="gramEnd"/>
      <w:r w:rsidRPr="00CF22F3">
        <w:t xml:space="preserve"> o ordenamento e sustentabilidade municipal.” </w:t>
      </w:r>
      <w:r w:rsidRPr="00CF22F3">
        <w:rPr>
          <w:i/>
          <w:lang w:val="fr-FR"/>
        </w:rPr>
        <w:t>Açafa</w:t>
      </w:r>
      <w:r w:rsidRPr="00CF22F3">
        <w:rPr>
          <w:lang w:val="fr-FR"/>
        </w:rPr>
        <w:t>, nº 7, Associação de Estudos do Alto Tejo</w:t>
      </w:r>
    </w:p>
    <w:p w:rsidR="006C1C5C" w:rsidRDefault="006C1C5C" w:rsidP="008D06DE">
      <w:pPr>
        <w:spacing w:line="360" w:lineRule="auto"/>
        <w:jc w:val="both"/>
        <w:rPr>
          <w:lang w:val="fr-FR"/>
        </w:rPr>
      </w:pPr>
    </w:p>
    <w:p w:rsidR="008D06DE" w:rsidRPr="00CF22F3" w:rsidRDefault="008D06DE" w:rsidP="008D06DE">
      <w:pPr>
        <w:spacing w:line="360" w:lineRule="auto"/>
        <w:jc w:val="both"/>
        <w:rPr>
          <w:lang w:val="en-US"/>
        </w:rPr>
      </w:pPr>
      <w:r w:rsidRPr="00CF22F3">
        <w:rPr>
          <w:lang w:val="fr-FR"/>
        </w:rPr>
        <w:t xml:space="preserve">Cliquet, D e  Lautridou, J-P. (2009): “Les occupations humaines du Pléistocène moyen de Normandie dans leur cadre environnemental”. </w:t>
      </w:r>
      <w:proofErr w:type="gramStart"/>
      <w:r w:rsidRPr="00CF22F3">
        <w:rPr>
          <w:i/>
          <w:lang w:val="en-US"/>
        </w:rPr>
        <w:t>Quaternaire</w:t>
      </w:r>
      <w:r w:rsidRPr="00CF22F3">
        <w:rPr>
          <w:lang w:val="en-US"/>
        </w:rPr>
        <w:t>, 20, (3).</w:t>
      </w:r>
      <w:proofErr w:type="gramEnd"/>
      <w:r w:rsidRPr="00CF22F3">
        <w:rPr>
          <w:lang w:val="en-US"/>
        </w:rPr>
        <w:t xml:space="preserve"> </w:t>
      </w:r>
      <w:proofErr w:type="gramStart"/>
      <w:r w:rsidRPr="00CF22F3">
        <w:rPr>
          <w:lang w:val="en-US"/>
        </w:rPr>
        <w:t>305-320.</w:t>
      </w:r>
      <w:proofErr w:type="gramEnd"/>
    </w:p>
    <w:p w:rsidR="006C1C5C" w:rsidRDefault="006C1C5C"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Conard, N. J., Bolus, M.</w:t>
      </w:r>
      <w:r>
        <w:rPr>
          <w:lang w:val="en-US"/>
        </w:rPr>
        <w:t xml:space="preserve"> e</w:t>
      </w:r>
      <w:r w:rsidRPr="00CF22F3">
        <w:rPr>
          <w:lang w:val="en-US"/>
        </w:rPr>
        <w:t xml:space="preserve"> Münzel, S.C. (2012):  “Middle Paleolithic land use, spatial organization and settlement intensity in the Swabian Jura, southwestern Germany</w:t>
      </w:r>
      <w:r>
        <w:rPr>
          <w:lang w:val="en-US"/>
        </w:rPr>
        <w:t>”</w:t>
      </w:r>
      <w:r w:rsidRPr="00CF22F3">
        <w:rPr>
          <w:lang w:val="en-US"/>
        </w:rPr>
        <w:t xml:space="preserve">. </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236-245.</w:t>
      </w:r>
      <w:proofErr w:type="gramEnd"/>
    </w:p>
    <w:p w:rsidR="006C1C5C" w:rsidRDefault="006C1C5C" w:rsidP="008D06DE">
      <w:pPr>
        <w:spacing w:line="360" w:lineRule="auto"/>
        <w:jc w:val="both"/>
        <w:rPr>
          <w:lang w:val="en-US"/>
        </w:rPr>
      </w:pPr>
    </w:p>
    <w:p w:rsidR="008D06DE" w:rsidRPr="00CF22F3" w:rsidRDefault="00AC7B53" w:rsidP="008D06DE">
      <w:pPr>
        <w:spacing w:line="360" w:lineRule="auto"/>
        <w:jc w:val="both"/>
        <w:rPr>
          <w:lang w:val="en-US"/>
        </w:rPr>
      </w:pPr>
      <w:r w:rsidRPr="00CF22F3">
        <w:rPr>
          <w:lang w:val="en-US"/>
        </w:rPr>
        <w:t>Courty,</w:t>
      </w:r>
      <w:r w:rsidR="008D06DE" w:rsidRPr="00CF22F3">
        <w:rPr>
          <w:lang w:val="en-US"/>
        </w:rPr>
        <w:t xml:space="preserve"> M-A, Carbonell, E., Vallverdú </w:t>
      </w:r>
      <w:proofErr w:type="gramStart"/>
      <w:r w:rsidR="008D06DE" w:rsidRPr="00CF22F3">
        <w:rPr>
          <w:lang w:val="en-US"/>
        </w:rPr>
        <w:t>Poch ,</w:t>
      </w:r>
      <w:proofErr w:type="gramEnd"/>
      <w:r w:rsidR="008D06DE" w:rsidRPr="00CF22F3">
        <w:rPr>
          <w:lang w:val="en-US"/>
        </w:rPr>
        <w:t xml:space="preserve"> J.</w:t>
      </w:r>
      <w:r w:rsidR="008D06DE">
        <w:rPr>
          <w:lang w:val="en-US"/>
        </w:rPr>
        <w:t xml:space="preserve"> e </w:t>
      </w:r>
      <w:r w:rsidR="008D06DE" w:rsidRPr="00CF22F3">
        <w:rPr>
          <w:lang w:val="en-US"/>
        </w:rPr>
        <w:t>Banerjee, R.(2012): “Microstratigraphic and multi-analytical evidence for advanced Neanderthal pyrotechnology at Abric Romani (Capellades, Spain)”</w:t>
      </w:r>
      <w:r w:rsidR="008D06DE">
        <w:rPr>
          <w:lang w:val="en-US"/>
        </w:rPr>
        <w:t>.</w:t>
      </w:r>
      <w:r w:rsidR="008D06DE" w:rsidRPr="00CF22F3">
        <w:rPr>
          <w:lang w:val="en-US"/>
        </w:rPr>
        <w:t xml:space="preserve"> </w:t>
      </w:r>
      <w:proofErr w:type="gramStart"/>
      <w:r w:rsidR="008D06DE" w:rsidRPr="00CF22F3">
        <w:rPr>
          <w:i/>
          <w:lang w:val="en-US"/>
        </w:rPr>
        <w:t>Quaternary International</w:t>
      </w:r>
      <w:r w:rsidR="008D06DE" w:rsidRPr="00CF22F3">
        <w:rPr>
          <w:lang w:val="en-US"/>
        </w:rPr>
        <w:t>, 247.</w:t>
      </w:r>
      <w:proofErr w:type="gramEnd"/>
      <w:r w:rsidR="008D06DE" w:rsidRPr="00CF22F3">
        <w:rPr>
          <w:lang w:val="en-US"/>
        </w:rPr>
        <w:t xml:space="preserve"> </w:t>
      </w:r>
      <w:proofErr w:type="gramStart"/>
      <w:r w:rsidR="008D06DE" w:rsidRPr="00CF22F3">
        <w:rPr>
          <w:lang w:val="en-US"/>
        </w:rPr>
        <w:t>294-312.</w:t>
      </w:r>
      <w:proofErr w:type="gramEnd"/>
    </w:p>
    <w:p w:rsidR="006C1C5C" w:rsidRDefault="006C1C5C" w:rsidP="008D06DE">
      <w:pPr>
        <w:spacing w:line="360" w:lineRule="auto"/>
        <w:jc w:val="both"/>
      </w:pPr>
    </w:p>
    <w:p w:rsidR="008D06DE" w:rsidRPr="00CF22F3" w:rsidRDefault="008D06DE" w:rsidP="008D06DE">
      <w:pPr>
        <w:spacing w:line="360" w:lineRule="auto"/>
        <w:jc w:val="both"/>
      </w:pPr>
      <w:r w:rsidRPr="00CF22F3">
        <w:lastRenderedPageBreak/>
        <w:t xml:space="preserve">Cunha Ribeiro, J.P. (1999): “O Acheulense no Centro de </w:t>
      </w:r>
      <w:proofErr w:type="gramStart"/>
      <w:r w:rsidRPr="00CF22F3">
        <w:t xml:space="preserve">Portugal </w:t>
      </w:r>
      <w:proofErr w:type="gramEnd"/>
      <w:r w:rsidRPr="00CF22F3">
        <w:t>: O Vale do Rio Lis. Contribuição para uma abordagem tecno-tipológica das suas indústrias líticas e problemática do seu contexto cronoestratigráfico”. Tese de doutoramento. Faculdade de Letras da Universidade de Lisboa.</w:t>
      </w:r>
    </w:p>
    <w:p w:rsidR="006C1C5C" w:rsidRDefault="006C1C5C" w:rsidP="008D06DE">
      <w:pPr>
        <w:spacing w:line="360" w:lineRule="auto"/>
        <w:jc w:val="both"/>
      </w:pPr>
    </w:p>
    <w:p w:rsidR="008D06DE" w:rsidRPr="00CF22F3" w:rsidRDefault="008D06DE" w:rsidP="008D06DE">
      <w:pPr>
        <w:spacing w:line="360" w:lineRule="auto"/>
        <w:jc w:val="both"/>
      </w:pPr>
      <w:r w:rsidRPr="00CF22F3">
        <w:t>Cunha Ribeiro, J.P. e Cura S. (2004): “A jazida Paleolítica de Sapateiros 2, Reguengos de Monsaraz”. Revista Portuguesa de Arqueologia, 7, 2. 5-26.</w:t>
      </w:r>
    </w:p>
    <w:p w:rsidR="006C1C5C" w:rsidRDefault="006C1C5C" w:rsidP="008D06DE">
      <w:pPr>
        <w:spacing w:line="360" w:lineRule="auto"/>
        <w:jc w:val="both"/>
      </w:pPr>
    </w:p>
    <w:p w:rsidR="008D06DE" w:rsidRPr="00CF22F3" w:rsidRDefault="008D06DE" w:rsidP="008D06DE">
      <w:pPr>
        <w:spacing w:line="360" w:lineRule="auto"/>
        <w:jc w:val="both"/>
      </w:pPr>
      <w:r w:rsidRPr="00CF22F3">
        <w:t xml:space="preserve">Cunha Ribeiro, J.P. e Cura S. (2013): “A jazida Paleolítica de Sapateiros 2, Reguengos de Monsaraz”. </w:t>
      </w:r>
      <w:r w:rsidRPr="00C74B46">
        <w:rPr>
          <w:i/>
        </w:rPr>
        <w:t>In</w:t>
      </w:r>
      <w:r w:rsidRPr="00CF22F3">
        <w:t>: Testemunho do Paleolítico no regolfo de Alqueva. Resultados do Bloco B1 do Plano de Minimização de Impactes sobre o Património Arqueológico. Silva, A. C. e Regala, F.T. eds. EDIA, DRCALEN. 36-57.</w:t>
      </w:r>
    </w:p>
    <w:p w:rsidR="00A045DA" w:rsidRDefault="00A045DA" w:rsidP="008D06DE">
      <w:pPr>
        <w:spacing w:line="360" w:lineRule="auto"/>
        <w:jc w:val="both"/>
      </w:pPr>
    </w:p>
    <w:p w:rsidR="008D06DE" w:rsidRPr="00CF22F3" w:rsidRDefault="008D06DE" w:rsidP="008D06DE">
      <w:pPr>
        <w:spacing w:line="360" w:lineRule="auto"/>
        <w:jc w:val="both"/>
        <w:rPr>
          <w:lang w:val="en-US"/>
        </w:rPr>
      </w:pPr>
      <w:r w:rsidRPr="00CF22F3">
        <w:t>Cunha, P.P.</w:t>
      </w:r>
      <w:r>
        <w:t xml:space="preserve"> e</w:t>
      </w:r>
      <w:r w:rsidRPr="00CF22F3">
        <w:t xml:space="preserve"> Martins, A. (2000): “Transição do enchimento terciário para o encaixe fluvial quaternário, na área de Vila Velha de Rodão (sector NE da Bacia do Baixo </w:t>
      </w:r>
      <w:proofErr w:type="gramStart"/>
      <w:r w:rsidRPr="00CF22F3">
        <w:t>Tejo)</w:t>
      </w:r>
      <w:proofErr w:type="gramEnd"/>
      <w:r w:rsidRPr="00CF22F3">
        <w:t xml:space="preserve">”. </w:t>
      </w:r>
      <w:r w:rsidRPr="00CF22F3">
        <w:rPr>
          <w:i/>
          <w:lang w:val="en-US"/>
        </w:rPr>
        <w:t>Ciências da Terra</w:t>
      </w:r>
      <w:r>
        <w:rPr>
          <w:lang w:val="en-US"/>
        </w:rPr>
        <w:t>, 14.147-</w:t>
      </w:r>
      <w:r w:rsidRPr="00CF22F3">
        <w:rPr>
          <w:lang w:val="en-US"/>
        </w:rPr>
        <w:t>158.</w:t>
      </w:r>
    </w:p>
    <w:p w:rsidR="006C1C5C" w:rsidRDefault="006C1C5C" w:rsidP="008D06DE">
      <w:pPr>
        <w:spacing w:line="360" w:lineRule="auto"/>
        <w:jc w:val="both"/>
        <w:rPr>
          <w:lang w:val="en-US"/>
        </w:rPr>
      </w:pPr>
    </w:p>
    <w:p w:rsidR="008D06DE" w:rsidRPr="00CF22F3" w:rsidRDefault="008D06DE" w:rsidP="008D06DE">
      <w:pPr>
        <w:spacing w:line="360" w:lineRule="auto"/>
        <w:jc w:val="both"/>
        <w:rPr>
          <w:lang w:val="en-US"/>
        </w:rPr>
      </w:pPr>
      <w:r w:rsidRPr="0086102E">
        <w:rPr>
          <w:lang w:val="en-US"/>
        </w:rPr>
        <w:t xml:space="preserve">Cunha, P.P.; Martins, A.A.; Daveau, S. e </w:t>
      </w:r>
      <w:r w:rsidRPr="00CF22F3">
        <w:rPr>
          <w:lang w:val="en-US"/>
        </w:rPr>
        <w:t>Friend, P.F. (2005)</w:t>
      </w:r>
      <w:r w:rsidRPr="00CF22F3">
        <w:rPr>
          <w:bCs/>
          <w:lang w:val="en-US"/>
        </w:rPr>
        <w:t>:</w:t>
      </w:r>
      <w:r w:rsidRPr="00CF22F3">
        <w:rPr>
          <w:lang w:val="en-US"/>
        </w:rPr>
        <w:t xml:space="preserve"> “Tectonic control of the Tejo river fluvial incision during the late Cenozoic, in Ródão – central Portugal (Atlantic Iberian border)</w:t>
      </w:r>
      <w:r>
        <w:rPr>
          <w:lang w:val="en-US"/>
        </w:rPr>
        <w:t>”</w:t>
      </w:r>
      <w:r w:rsidRPr="00CF22F3">
        <w:rPr>
          <w:lang w:val="en-US"/>
        </w:rPr>
        <w:t>. Geomorphology, 64, pp. 271-298.</w:t>
      </w:r>
    </w:p>
    <w:p w:rsidR="006C1C5C" w:rsidRDefault="006C1C5C"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Cunha, P. P., Martins, A. A., Huot, S., Murray, A. </w:t>
      </w:r>
      <w:r>
        <w:rPr>
          <w:lang w:val="en-US"/>
        </w:rPr>
        <w:t>e</w:t>
      </w:r>
      <w:r w:rsidRPr="00CF22F3">
        <w:rPr>
          <w:lang w:val="en-US"/>
        </w:rPr>
        <w:t xml:space="preserve"> Raposo, L. (2008): “Dating the Tejo river lower terraces in the Ródão area (Portugal) to assess the role of tectonics and uplift”. </w:t>
      </w:r>
      <w:proofErr w:type="gramStart"/>
      <w:r w:rsidRPr="00CF22F3">
        <w:rPr>
          <w:i/>
          <w:lang w:val="en-US"/>
        </w:rPr>
        <w:t>Geomorphology</w:t>
      </w:r>
      <w:r w:rsidRPr="00CF22F3">
        <w:rPr>
          <w:lang w:val="en-US"/>
        </w:rPr>
        <w:t>, 102.</w:t>
      </w:r>
      <w:proofErr w:type="gramEnd"/>
      <w:r w:rsidRPr="00CF22F3">
        <w:rPr>
          <w:lang w:val="en-US"/>
        </w:rPr>
        <w:t xml:space="preserve"> </w:t>
      </w:r>
      <w:r>
        <w:t>43-</w:t>
      </w:r>
      <w:r w:rsidRPr="00CF22F3">
        <w:t>54.</w:t>
      </w:r>
    </w:p>
    <w:p w:rsidR="006C1C5C" w:rsidRDefault="006C1C5C" w:rsidP="008D06DE">
      <w:pPr>
        <w:autoSpaceDE w:val="0"/>
        <w:autoSpaceDN w:val="0"/>
        <w:adjustRightInd w:val="0"/>
        <w:spacing w:line="360" w:lineRule="auto"/>
        <w:jc w:val="both"/>
        <w:rPr>
          <w:bCs/>
        </w:rPr>
      </w:pPr>
    </w:p>
    <w:p w:rsidR="008D06DE" w:rsidRPr="00CF22F3" w:rsidRDefault="008D06DE" w:rsidP="008D06DE">
      <w:pPr>
        <w:autoSpaceDE w:val="0"/>
        <w:autoSpaceDN w:val="0"/>
        <w:adjustRightInd w:val="0"/>
        <w:spacing w:line="360" w:lineRule="auto"/>
        <w:jc w:val="both"/>
        <w:rPr>
          <w:bCs/>
          <w:i/>
          <w:iCs/>
        </w:rPr>
      </w:pPr>
      <w:r w:rsidRPr="00CF22F3">
        <w:rPr>
          <w:bCs/>
        </w:rPr>
        <w:t xml:space="preserve">Cunha, P. P.,. Almeida, N. A.C, Aubry, T., Martins, A. A.,. </w:t>
      </w:r>
      <w:r w:rsidRPr="00CF22F3">
        <w:rPr>
          <w:bCs/>
          <w:lang w:val="en-US"/>
        </w:rPr>
        <w:t>Murray, A. S., Buylaert J. P, Sohbati, R., Raposo, L.</w:t>
      </w:r>
      <w:r>
        <w:rPr>
          <w:bCs/>
          <w:lang w:val="en-US"/>
        </w:rPr>
        <w:t xml:space="preserve"> e</w:t>
      </w:r>
      <w:r w:rsidRPr="00CF22F3">
        <w:rPr>
          <w:bCs/>
          <w:lang w:val="en-US"/>
        </w:rPr>
        <w:t xml:space="preserve"> Rocha, L. (</w:t>
      </w:r>
      <w:r w:rsidRPr="00CF22F3">
        <w:rPr>
          <w:bCs/>
          <w:iCs/>
          <w:lang w:val="en-US"/>
        </w:rPr>
        <w:t>2012)</w:t>
      </w:r>
      <w:r w:rsidRPr="00CF22F3">
        <w:rPr>
          <w:bCs/>
          <w:lang w:val="en-US"/>
        </w:rPr>
        <w:t>: “Pleistocene sedimentary and human occupation records in the Arneiro depression (Lower Tejo River, central eastern Portugal)”.</w:t>
      </w:r>
      <w:r w:rsidRPr="00CF22F3">
        <w:rPr>
          <w:bCs/>
          <w:i/>
          <w:iCs/>
          <w:lang w:val="en-US"/>
        </w:rPr>
        <w:t xml:space="preserve"> </w:t>
      </w:r>
      <w:r w:rsidRPr="00CF22F3">
        <w:rPr>
          <w:bCs/>
          <w:i/>
          <w:iCs/>
        </w:rPr>
        <w:t>Geomorphology Special Issue - Quaternary river terraces.</w:t>
      </w:r>
      <w:r w:rsidRPr="00CF22F3">
        <w:rPr>
          <w:bCs/>
          <w:iCs/>
        </w:rPr>
        <w:t>165-166</w:t>
      </w:r>
      <w:r w:rsidRPr="00CF22F3">
        <w:rPr>
          <w:bCs/>
          <w:i/>
          <w:iCs/>
        </w:rPr>
        <w:t>.</w:t>
      </w:r>
      <w:r w:rsidRPr="00CF22F3">
        <w:rPr>
          <w:bCs/>
          <w:iCs/>
        </w:rPr>
        <w:t>78-90.</w:t>
      </w:r>
    </w:p>
    <w:p w:rsidR="006C1C5C" w:rsidRDefault="006C1C5C" w:rsidP="008D06DE">
      <w:pPr>
        <w:spacing w:line="360" w:lineRule="auto"/>
        <w:jc w:val="both"/>
      </w:pPr>
    </w:p>
    <w:p w:rsidR="008D06DE" w:rsidRPr="00CF22F3" w:rsidRDefault="008D06DE" w:rsidP="008D06DE">
      <w:pPr>
        <w:spacing w:line="360" w:lineRule="auto"/>
        <w:jc w:val="both"/>
      </w:pPr>
      <w:r w:rsidRPr="00CF22F3">
        <w:t xml:space="preserve">Cura, S. e Grimaldi, S. (2009): “The quartzite exploitation in a Middle Pleistocene </w:t>
      </w:r>
      <w:proofErr w:type="gramStart"/>
      <w:r w:rsidRPr="00CF22F3">
        <w:t>open</w:t>
      </w:r>
      <w:proofErr w:type="gramEnd"/>
      <w:r w:rsidRPr="00CF22F3">
        <w:t xml:space="preserve"> air site: Ribeira da Ponte da Pedra (Central </w:t>
      </w:r>
      <w:proofErr w:type="gramStart"/>
      <w:r w:rsidRPr="00CF22F3">
        <w:t>Portugal)</w:t>
      </w:r>
      <w:proofErr w:type="gramEnd"/>
      <w:r w:rsidRPr="00CF22F3">
        <w:t xml:space="preserve">”. </w:t>
      </w:r>
      <w:r w:rsidRPr="00C74B46">
        <w:rPr>
          <w:i/>
        </w:rPr>
        <w:t>In</w:t>
      </w:r>
      <w:r w:rsidRPr="00CF22F3">
        <w:t xml:space="preserve">: Technological Analysis on Quartzite </w:t>
      </w:r>
      <w:r w:rsidR="00AC7B53" w:rsidRPr="00CF22F3">
        <w:t xml:space="preserve">Exploitation. </w:t>
      </w:r>
      <w:r w:rsidRPr="00CF22F3">
        <w:t xml:space="preserve">Grimaldi, S. e Cura, S. eds. </w:t>
      </w:r>
      <w:r w:rsidRPr="00CF22F3">
        <w:rPr>
          <w:i/>
        </w:rPr>
        <w:t xml:space="preserve">BAR </w:t>
      </w:r>
      <w:r w:rsidRPr="00CF22F3">
        <w:t>International Series, 1998. 49-56</w:t>
      </w:r>
    </w:p>
    <w:p w:rsidR="006C1C5C" w:rsidRDefault="006C1C5C" w:rsidP="008D06DE">
      <w:pPr>
        <w:spacing w:line="360" w:lineRule="auto"/>
        <w:jc w:val="both"/>
        <w:rPr>
          <w:lang w:val="en-US"/>
        </w:rPr>
      </w:pPr>
    </w:p>
    <w:p w:rsidR="008D06DE" w:rsidRPr="00CF22F3" w:rsidRDefault="00A045DA" w:rsidP="008D06DE">
      <w:pPr>
        <w:spacing w:line="360" w:lineRule="auto"/>
        <w:jc w:val="both"/>
        <w:rPr>
          <w:lang w:val="en-US"/>
        </w:rPr>
      </w:pPr>
      <w:r>
        <w:rPr>
          <w:lang w:val="en-US"/>
        </w:rPr>
        <w:t>Daniau,</w:t>
      </w:r>
      <w:r w:rsidR="00AC7B53">
        <w:rPr>
          <w:lang w:val="en-US"/>
        </w:rPr>
        <w:t xml:space="preserve"> </w:t>
      </w:r>
      <w:r w:rsidR="008D06DE" w:rsidRPr="00CF22F3">
        <w:rPr>
          <w:lang w:val="en-US"/>
        </w:rPr>
        <w:t>A.-L., Sánchez Goñi</w:t>
      </w:r>
      <w:proofErr w:type="gramStart"/>
      <w:r w:rsidR="008D06DE" w:rsidRPr="00CF22F3">
        <w:rPr>
          <w:lang w:val="en-US"/>
        </w:rPr>
        <w:t>,</w:t>
      </w:r>
      <w:r w:rsidR="00AC7B53">
        <w:rPr>
          <w:lang w:val="en-US"/>
        </w:rPr>
        <w:t xml:space="preserve"> </w:t>
      </w:r>
      <w:r w:rsidR="008D06DE" w:rsidRPr="00CF22F3">
        <w:rPr>
          <w:lang w:val="en-US"/>
        </w:rPr>
        <w:t xml:space="preserve"> M.F</w:t>
      </w:r>
      <w:proofErr w:type="gramEnd"/>
      <w:r w:rsidR="008D06DE" w:rsidRPr="00CF22F3">
        <w:rPr>
          <w:lang w:val="en-US"/>
        </w:rPr>
        <w:t xml:space="preserve">.; Beaufort, L., Laggoun-Défarge F., Loutre, M.-F. </w:t>
      </w:r>
      <w:proofErr w:type="gramStart"/>
      <w:r w:rsidR="008D06DE" w:rsidRPr="00CF22F3">
        <w:rPr>
          <w:lang w:val="en-US"/>
        </w:rPr>
        <w:t>e</w:t>
      </w:r>
      <w:proofErr w:type="gramEnd"/>
      <w:r w:rsidR="008D06DE" w:rsidRPr="00CF22F3">
        <w:rPr>
          <w:lang w:val="en-US"/>
        </w:rPr>
        <w:t xml:space="preserve"> Duprat, J. (2007):  “Dansgaard-Oeschger climatic variability revealed by fire emissions in southwestern Iberia”, </w:t>
      </w:r>
      <w:r w:rsidR="008D06DE" w:rsidRPr="00CF22F3">
        <w:rPr>
          <w:i/>
          <w:lang w:val="en-US"/>
        </w:rPr>
        <w:t>Quaternary Science Reviews</w:t>
      </w:r>
      <w:r w:rsidR="008D06DE" w:rsidRPr="00CF22F3">
        <w:rPr>
          <w:lang w:val="en-US"/>
        </w:rPr>
        <w:t>, 26, 9-10. 1369-1383</w:t>
      </w:r>
    </w:p>
    <w:p w:rsidR="006C1C5C" w:rsidRDefault="006C1C5C"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Dansgaard, W., Johnsen, S.J., Clausen, H.B., Dahl-Jensen, D., Gundestrup, N.S., Hammer, C.U., Hvidberg, C.S., Steffensen, J.P., Sveinbjörnsdottir, A.E., Jouzel, J., </w:t>
      </w:r>
      <w:r>
        <w:rPr>
          <w:lang w:val="en-US"/>
        </w:rPr>
        <w:t>e</w:t>
      </w:r>
      <w:r w:rsidRPr="00CF22F3">
        <w:rPr>
          <w:lang w:val="en-US"/>
        </w:rPr>
        <w:t xml:space="preserve"> Bond, G. (1993): “Evidence for general instability of past climate from a 250-kyr ice core record”. </w:t>
      </w:r>
      <w:proofErr w:type="gramStart"/>
      <w:r w:rsidRPr="00CF22F3">
        <w:rPr>
          <w:i/>
          <w:lang w:val="en-US"/>
        </w:rPr>
        <w:t>Nature</w:t>
      </w:r>
      <w:r w:rsidRPr="00CF22F3">
        <w:rPr>
          <w:lang w:val="en-US"/>
        </w:rPr>
        <w:t>, 364.</w:t>
      </w:r>
      <w:proofErr w:type="gramEnd"/>
      <w:r w:rsidRPr="00CF22F3">
        <w:rPr>
          <w:lang w:val="en-US"/>
        </w:rPr>
        <w:t xml:space="preserve"> </w:t>
      </w:r>
      <w:proofErr w:type="gramStart"/>
      <w:r w:rsidRPr="00CF22F3">
        <w:rPr>
          <w:lang w:val="en-US"/>
        </w:rPr>
        <w:t>218–220.</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Deprez, S. (2009): </w:t>
      </w:r>
      <w:r>
        <w:rPr>
          <w:lang w:val="en-US"/>
        </w:rPr>
        <w:t>“</w:t>
      </w:r>
      <w:r w:rsidRPr="00CF22F3">
        <w:rPr>
          <w:lang w:val="en-US"/>
        </w:rPr>
        <w:t>Geoarchaeological study of the natural resources in the territory of the roman town of Ammaia (Northeastern Alentejo, Portugal): case studies on water suply, building stone quarrying and open cast gold mining</w:t>
      </w:r>
      <w:r>
        <w:rPr>
          <w:lang w:val="en-US"/>
        </w:rPr>
        <w:t xml:space="preserve">”. </w:t>
      </w:r>
      <w:proofErr w:type="gramStart"/>
      <w:r w:rsidRPr="00CF22F3">
        <w:rPr>
          <w:lang w:val="en-US"/>
        </w:rPr>
        <w:t>Tese de doutoramento, Departement of Geografy, faculty of Sciences, Ghent University.</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Dias, R.P.</w:t>
      </w:r>
      <w:r>
        <w:rPr>
          <w:lang w:val="en-US"/>
        </w:rPr>
        <w:t xml:space="preserve"> e</w:t>
      </w:r>
      <w:r w:rsidRPr="00CF22F3">
        <w:rPr>
          <w:lang w:val="en-US"/>
        </w:rPr>
        <w:t xml:space="preserve"> Cabral, J. (1989): </w:t>
      </w:r>
      <w:r>
        <w:rPr>
          <w:lang w:val="en-US"/>
        </w:rPr>
        <w:t>“</w:t>
      </w:r>
      <w:r w:rsidRPr="00CF22F3">
        <w:rPr>
          <w:lang w:val="en-US"/>
        </w:rPr>
        <w:t xml:space="preserve">Neogene and Quaternary reactivation of the Ponsul </w:t>
      </w:r>
      <w:proofErr w:type="gramStart"/>
      <w:r w:rsidRPr="00CF22F3">
        <w:rPr>
          <w:lang w:val="en-US"/>
        </w:rPr>
        <w:t>river</w:t>
      </w:r>
      <w:proofErr w:type="gramEnd"/>
      <w:r w:rsidRPr="00CF22F3">
        <w:rPr>
          <w:lang w:val="en-US"/>
        </w:rPr>
        <w:t xml:space="preserve"> fault in Portugal</w:t>
      </w:r>
      <w:r>
        <w:rPr>
          <w:lang w:val="en-US"/>
        </w:rPr>
        <w:t>”</w:t>
      </w:r>
      <w:r w:rsidRPr="00CF22F3">
        <w:rPr>
          <w:lang w:val="en-US"/>
        </w:rPr>
        <w:t xml:space="preserve">. </w:t>
      </w:r>
      <w:r w:rsidRPr="00CF22F3">
        <w:rPr>
          <w:i/>
          <w:lang w:val="en-US"/>
        </w:rPr>
        <w:t>Comunicações dos Serviços Geológicos de Portugal</w:t>
      </w:r>
      <w:r w:rsidRPr="00CF22F3">
        <w:rPr>
          <w:lang w:val="en-US"/>
        </w:rPr>
        <w:t xml:space="preserve">, 75. </w:t>
      </w:r>
      <w:proofErr w:type="gramStart"/>
      <w:r w:rsidRPr="00CF22F3">
        <w:rPr>
          <w:lang w:val="en-US"/>
        </w:rPr>
        <w:t>3 -28.</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Dibble, H.L.</w:t>
      </w:r>
      <w:r>
        <w:rPr>
          <w:lang w:val="en-US"/>
        </w:rPr>
        <w:t xml:space="preserve"> e</w:t>
      </w:r>
      <w:r w:rsidRPr="00CF22F3">
        <w:rPr>
          <w:lang w:val="en-US"/>
        </w:rPr>
        <w:t xml:space="preserve"> Bar-Yosef, O. (1995): </w:t>
      </w:r>
      <w:r>
        <w:rPr>
          <w:lang w:val="en-US"/>
        </w:rPr>
        <w:t>“</w:t>
      </w:r>
      <w:r w:rsidRPr="00CF22F3">
        <w:rPr>
          <w:lang w:val="en-US"/>
        </w:rPr>
        <w:t>The Definition and Interpretation of Levallois Technology</w:t>
      </w:r>
      <w:r>
        <w:rPr>
          <w:lang w:val="en-US"/>
        </w:rPr>
        <w:t>”</w:t>
      </w:r>
      <w:r w:rsidRPr="00CF22F3">
        <w:rPr>
          <w:lang w:val="en-US"/>
        </w:rPr>
        <w:t xml:space="preserve">. </w:t>
      </w:r>
      <w:proofErr w:type="gramStart"/>
      <w:r w:rsidRPr="00CF22F3">
        <w:rPr>
          <w:lang w:val="en-US"/>
        </w:rPr>
        <w:t>Prehistory Press.</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Pr>
          <w:lang w:val="en-US"/>
        </w:rPr>
        <w:t>Duller, G.A.T.</w:t>
      </w:r>
      <w:r w:rsidRPr="00CF22F3">
        <w:rPr>
          <w:lang w:val="en-US"/>
        </w:rPr>
        <w:t xml:space="preserve"> (2004): “Luminescence dating of Quaternary sediments: recent advances”. </w:t>
      </w:r>
      <w:proofErr w:type="gramStart"/>
      <w:r w:rsidRPr="00CF22F3">
        <w:rPr>
          <w:i/>
          <w:lang w:val="en-US"/>
        </w:rPr>
        <w:t>Journal of Quaternary Science</w:t>
      </w:r>
      <w:r w:rsidRPr="00CF22F3">
        <w:rPr>
          <w:lang w:val="en-US"/>
        </w:rPr>
        <w:t>, 19.</w:t>
      </w:r>
      <w:proofErr w:type="gramEnd"/>
      <w:r w:rsidRPr="00CF22F3">
        <w:rPr>
          <w:lang w:val="en-US"/>
        </w:rPr>
        <w:t xml:space="preserve"> </w:t>
      </w:r>
      <w:proofErr w:type="gramStart"/>
      <w:r w:rsidRPr="00CF22F3">
        <w:rPr>
          <w:lang w:val="en-US"/>
        </w:rPr>
        <w:t>183-192.</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Ehlars, J.  </w:t>
      </w:r>
      <w:proofErr w:type="gramStart"/>
      <w:r w:rsidRPr="00CF22F3">
        <w:rPr>
          <w:lang w:val="en-US"/>
        </w:rPr>
        <w:t>e</w:t>
      </w:r>
      <w:proofErr w:type="gramEnd"/>
      <w:r w:rsidRPr="00CF22F3">
        <w:rPr>
          <w:lang w:val="en-US"/>
        </w:rPr>
        <w:t xml:space="preserve"> Gibbard, P. (2008): “Extent and chronology of Quaternary glaciations”. </w:t>
      </w:r>
      <w:proofErr w:type="gramStart"/>
      <w:r w:rsidRPr="00CF22F3">
        <w:rPr>
          <w:i/>
          <w:lang w:val="en-US"/>
        </w:rPr>
        <w:t>Episodes</w:t>
      </w:r>
      <w:r w:rsidR="00AC7B53" w:rsidRPr="00CF22F3">
        <w:rPr>
          <w:lang w:val="en-US"/>
        </w:rPr>
        <w:t>, 31</w:t>
      </w:r>
      <w:r w:rsidRPr="00CF22F3">
        <w:rPr>
          <w:lang w:val="en-US"/>
        </w:rPr>
        <w:t>, 2.</w:t>
      </w:r>
      <w:proofErr w:type="gramEnd"/>
      <w:r w:rsidRPr="00CF22F3">
        <w:rPr>
          <w:lang w:val="en-US"/>
        </w:rPr>
        <w:t xml:space="preserve"> </w:t>
      </w:r>
      <w:proofErr w:type="gramStart"/>
      <w:r w:rsidRPr="00CF22F3">
        <w:rPr>
          <w:lang w:val="en-US"/>
        </w:rPr>
        <w:t>211-218.</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Eynaud, F., Turon, J.L., Sánchez-G</w:t>
      </w:r>
      <w:r>
        <w:rPr>
          <w:lang w:val="en-US"/>
        </w:rPr>
        <w:t>oñi, M.F. e Gendreau, S. (2000)</w:t>
      </w:r>
      <w:r w:rsidRPr="00CF22F3">
        <w:rPr>
          <w:lang w:val="en-US"/>
        </w:rPr>
        <w:t xml:space="preserve">: “Dinoflagellate cyst evidence of ‘Heinrich-like events’ off Portugal during the Marine Isotopic Stage 5”, </w:t>
      </w:r>
      <w:r w:rsidRPr="00CF22F3">
        <w:rPr>
          <w:i/>
          <w:lang w:val="en-US"/>
        </w:rPr>
        <w:t>Marine Micropaleontology</w:t>
      </w:r>
      <w:r w:rsidRPr="00CF22F3">
        <w:rPr>
          <w:lang w:val="en-US"/>
        </w:rPr>
        <w:t xml:space="preserve">, 40. </w:t>
      </w:r>
      <w:proofErr w:type="gramStart"/>
      <w:r w:rsidRPr="00CF22F3">
        <w:rPr>
          <w:lang w:val="en-US"/>
        </w:rPr>
        <w:t>9-21.</w:t>
      </w:r>
      <w:proofErr w:type="gramEnd"/>
    </w:p>
    <w:p w:rsidR="00D44AC3" w:rsidRDefault="00D44AC3" w:rsidP="008D06DE">
      <w:pPr>
        <w:autoSpaceDE w:val="0"/>
        <w:autoSpaceDN w:val="0"/>
        <w:adjustRightInd w:val="0"/>
        <w:spacing w:line="360" w:lineRule="auto"/>
        <w:jc w:val="both"/>
        <w:rPr>
          <w:rFonts w:eastAsia="AGaramond-Regular"/>
        </w:rPr>
      </w:pPr>
    </w:p>
    <w:p w:rsidR="008D06DE" w:rsidRPr="00CF22F3" w:rsidRDefault="008D06DE" w:rsidP="008D06DE">
      <w:pPr>
        <w:autoSpaceDE w:val="0"/>
        <w:autoSpaceDN w:val="0"/>
        <w:adjustRightInd w:val="0"/>
        <w:spacing w:line="360" w:lineRule="auto"/>
        <w:jc w:val="both"/>
        <w:rPr>
          <w:rFonts w:eastAsia="AGaramond-Regular"/>
        </w:rPr>
      </w:pPr>
      <w:r w:rsidRPr="00CF22F3">
        <w:rPr>
          <w:rFonts w:eastAsia="AGaramond-Regular"/>
        </w:rPr>
        <w:t>Ferreira, O. V. (1984): “O mais importante nível de ocupação do caçador Neandertal da Gruta Nova da Columbeira (</w:t>
      </w:r>
      <w:r w:rsidR="00D44AC3" w:rsidRPr="00CF22F3">
        <w:rPr>
          <w:rFonts w:eastAsia="AGaramond-Regular"/>
        </w:rPr>
        <w:t xml:space="preserve">Bombarral) </w:t>
      </w:r>
      <w:r w:rsidRPr="00CF22F3">
        <w:rPr>
          <w:rFonts w:eastAsia="AGaramond-Regular"/>
        </w:rPr>
        <w:t xml:space="preserve">”. </w:t>
      </w:r>
      <w:r w:rsidRPr="00C74B46">
        <w:rPr>
          <w:rFonts w:eastAsia="AGaramond-Regular"/>
          <w:i/>
          <w:lang w:val="fr-FR"/>
        </w:rPr>
        <w:t>In</w:t>
      </w:r>
      <w:r w:rsidRPr="00CF22F3">
        <w:rPr>
          <w:rFonts w:eastAsia="AGaramond-Regular"/>
          <w:lang w:val="fr-FR"/>
        </w:rPr>
        <w:t xml:space="preserve">: </w:t>
      </w:r>
      <w:r w:rsidRPr="00CF22F3">
        <w:rPr>
          <w:rFonts w:eastAsia="AGaramond-Regular"/>
          <w:iCs/>
          <w:lang w:val="fr-FR"/>
        </w:rPr>
        <w:t>Volume d’Hommage au géologue G. Zbyszewski</w:t>
      </w:r>
      <w:r w:rsidRPr="00CF22F3">
        <w:rPr>
          <w:rFonts w:eastAsia="AGaramond-Regular"/>
          <w:lang w:val="fr-FR"/>
        </w:rPr>
        <w:t xml:space="preserve">.  Editions Recherche sur les Civilisations. </w:t>
      </w:r>
      <w:r w:rsidRPr="00CF22F3">
        <w:rPr>
          <w:rFonts w:eastAsia="AGaramond-Regular"/>
        </w:rPr>
        <w:t>365-370.</w:t>
      </w:r>
    </w:p>
    <w:p w:rsidR="008D06DE" w:rsidRPr="00CF22F3" w:rsidRDefault="008D06DE" w:rsidP="008D06DE">
      <w:pPr>
        <w:autoSpaceDE w:val="0"/>
        <w:autoSpaceDN w:val="0"/>
        <w:adjustRightInd w:val="0"/>
        <w:spacing w:line="360" w:lineRule="auto"/>
        <w:jc w:val="both"/>
        <w:rPr>
          <w:rFonts w:eastAsia="AGaramond-Regular"/>
        </w:rPr>
      </w:pPr>
    </w:p>
    <w:p w:rsidR="008D06DE" w:rsidRPr="00CF22F3" w:rsidRDefault="008D06DE" w:rsidP="008D06DE">
      <w:pPr>
        <w:spacing w:line="360" w:lineRule="auto"/>
        <w:jc w:val="both"/>
      </w:pPr>
      <w:r w:rsidRPr="0086102E">
        <w:rPr>
          <w:lang w:val="en-US"/>
        </w:rPr>
        <w:t>Fernández Peris, J., Barciela González</w:t>
      </w:r>
      <w:proofErr w:type="gramStart"/>
      <w:r w:rsidRPr="0086102E">
        <w:rPr>
          <w:lang w:val="en-US"/>
        </w:rPr>
        <w:t>,V</w:t>
      </w:r>
      <w:proofErr w:type="gramEnd"/>
      <w:r w:rsidRPr="0086102E">
        <w:rPr>
          <w:lang w:val="en-US"/>
        </w:rPr>
        <w:t xml:space="preserve">., Blasco,R., Cuartero, F, Fluck, H. , Sañudo, P. e </w:t>
      </w:r>
      <w:r w:rsidRPr="00CF22F3">
        <w:rPr>
          <w:lang w:val="en-US"/>
        </w:rPr>
        <w:t>Verdasco, C. (2012):</w:t>
      </w:r>
      <w:r>
        <w:rPr>
          <w:lang w:val="en-US"/>
        </w:rPr>
        <w:t xml:space="preserve"> </w:t>
      </w:r>
      <w:r w:rsidRPr="00CF22F3">
        <w:rPr>
          <w:lang w:val="en-US"/>
        </w:rPr>
        <w:t xml:space="preserve"> “The earliest evidence of hearths in Southern Europe: The case of Bolomor Cave (Valencia, Spain)”. </w:t>
      </w:r>
      <w:r w:rsidRPr="00CF22F3">
        <w:rPr>
          <w:i/>
        </w:rPr>
        <w:t>Quaternary International</w:t>
      </w:r>
      <w:r w:rsidRPr="00CF22F3">
        <w:t>, 247. 267-277</w:t>
      </w:r>
    </w:p>
    <w:p w:rsidR="00D44AC3" w:rsidRDefault="00D44AC3" w:rsidP="008D06DE">
      <w:pPr>
        <w:spacing w:line="360" w:lineRule="auto"/>
        <w:jc w:val="both"/>
      </w:pPr>
    </w:p>
    <w:p w:rsidR="008D06DE" w:rsidRPr="00CF22F3" w:rsidRDefault="008D06DE" w:rsidP="008D06DE">
      <w:pPr>
        <w:spacing w:line="360" w:lineRule="auto"/>
        <w:jc w:val="both"/>
        <w:rPr>
          <w:lang w:val="fr-FR"/>
        </w:rPr>
      </w:pPr>
      <w:r w:rsidRPr="00CF22F3">
        <w:t xml:space="preserve">Gaspar, R e Aldeias, V. (2005): “O sítio paleolítico de Arneiro Cortiço (Benavente): Intervenções de emergência nos contextos dos terraços do Tejo”. </w:t>
      </w:r>
      <w:r w:rsidRPr="00CF22F3">
        <w:rPr>
          <w:lang w:val="fr-FR"/>
        </w:rPr>
        <w:t xml:space="preserve">IV Congresso </w:t>
      </w:r>
      <w:proofErr w:type="gramStart"/>
      <w:r w:rsidRPr="00CF22F3">
        <w:rPr>
          <w:lang w:val="fr-FR"/>
        </w:rPr>
        <w:t>de Arqueologia</w:t>
      </w:r>
      <w:proofErr w:type="gramEnd"/>
      <w:r w:rsidRPr="00CF22F3">
        <w:rPr>
          <w:lang w:val="fr-FR"/>
        </w:rPr>
        <w:t xml:space="preserve"> Peninsular, 2. Faro. 385-396.</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Geneste, J-M. (1985): “Analyse Lithique d’Industries Moustériennes du Périgord: une Approche Technologique du Comportement des Groupes Humains au Paléolithique Moyen”. These de Doutoramento, Université de Bordeaux I. </w:t>
      </w:r>
    </w:p>
    <w:p w:rsidR="008D06DE" w:rsidRPr="00CF22F3" w:rsidRDefault="008D06DE" w:rsidP="008D06DE">
      <w:pPr>
        <w:spacing w:line="360" w:lineRule="auto"/>
        <w:jc w:val="both"/>
      </w:pPr>
      <w:r w:rsidRPr="00CF22F3">
        <w:rPr>
          <w:lang w:val="fr-FR"/>
        </w:rPr>
        <w:t>Geneste, J.-M. (199</w:t>
      </w:r>
      <w:r>
        <w:rPr>
          <w:lang w:val="fr-FR"/>
        </w:rPr>
        <w:t xml:space="preserve">1): </w:t>
      </w:r>
      <w:r w:rsidRPr="00CF22F3">
        <w:rPr>
          <w:lang w:val="fr-FR"/>
        </w:rPr>
        <w:t xml:space="preserve">“Systèmes techniques de production lithique: variations techno-économiques dans les processus de réalisation des outillages paléolithiques”. </w:t>
      </w:r>
      <w:r w:rsidRPr="00CF22F3">
        <w:rPr>
          <w:i/>
        </w:rPr>
        <w:t>Techniques et culture</w:t>
      </w:r>
      <w:r w:rsidRPr="00CF22F3">
        <w:t>,</w:t>
      </w:r>
      <w:r>
        <w:t xml:space="preserve"> 17-18. 1-</w:t>
      </w:r>
      <w:r w:rsidRPr="00CF22F3">
        <w:t>35.</w:t>
      </w:r>
    </w:p>
    <w:p w:rsidR="00D44AC3" w:rsidRDefault="00D44AC3" w:rsidP="008D06DE">
      <w:pPr>
        <w:spacing w:line="360" w:lineRule="auto"/>
        <w:jc w:val="both"/>
      </w:pPr>
    </w:p>
    <w:p w:rsidR="008D06DE" w:rsidRPr="00CF22F3" w:rsidRDefault="008D06DE" w:rsidP="008D06DE">
      <w:pPr>
        <w:spacing w:line="360" w:lineRule="auto"/>
        <w:jc w:val="both"/>
      </w:pPr>
      <w:r>
        <w:t>G.E.P.P.</w:t>
      </w:r>
      <w:r w:rsidRPr="00CF22F3">
        <w:t xml:space="preserve"> (1977): “O Paleolítico As primeiras comunidades humanas de caçadores-recolectores Grupo para o Estudo do Paleolítico Português”. Castelo Branco: Edição do Museu Francisco Tavares Proença Júnior.</w:t>
      </w:r>
    </w:p>
    <w:p w:rsidR="00D44AC3" w:rsidRDefault="00D44AC3" w:rsidP="008D06DE">
      <w:pPr>
        <w:spacing w:line="360" w:lineRule="auto"/>
        <w:jc w:val="both"/>
      </w:pPr>
    </w:p>
    <w:p w:rsidR="008D06DE" w:rsidRPr="00CF22F3" w:rsidRDefault="008D06DE" w:rsidP="008D06DE">
      <w:pPr>
        <w:spacing w:line="360" w:lineRule="auto"/>
        <w:jc w:val="both"/>
      </w:pPr>
      <w:r>
        <w:t xml:space="preserve">G.E.P.P. </w:t>
      </w:r>
      <w:r w:rsidRPr="00CF22F3">
        <w:t>(1980):</w:t>
      </w:r>
      <w:r>
        <w:t xml:space="preserve"> </w:t>
      </w:r>
      <w:r w:rsidRPr="00CF22F3">
        <w:t xml:space="preserve">“Vilas Ruivas: um acampamento do Paleolítico Médio”. </w:t>
      </w:r>
      <w:r w:rsidRPr="00CF22F3">
        <w:rPr>
          <w:i/>
        </w:rPr>
        <w:t>História e Sociedade</w:t>
      </w:r>
      <w:r w:rsidRPr="00CF22F3">
        <w:t xml:space="preserve">, 7. 29-33. </w:t>
      </w:r>
    </w:p>
    <w:p w:rsidR="00D44AC3" w:rsidRDefault="00D44AC3" w:rsidP="008D06DE">
      <w:pPr>
        <w:spacing w:line="360" w:lineRule="auto"/>
        <w:jc w:val="both"/>
      </w:pPr>
    </w:p>
    <w:p w:rsidR="008D06DE" w:rsidRPr="00CF22F3" w:rsidRDefault="008D06DE" w:rsidP="008D06DE">
      <w:pPr>
        <w:spacing w:line="360" w:lineRule="auto"/>
        <w:jc w:val="both"/>
      </w:pPr>
      <w:r>
        <w:t>G.E.P.P.</w:t>
      </w:r>
      <w:r w:rsidRPr="00CF22F3">
        <w:t xml:space="preserve"> (1983): “A estação paleolítica de Vilas Ruivas (Rodão). Campanha de 1979”. </w:t>
      </w:r>
      <w:r w:rsidRPr="00CF22F3">
        <w:rPr>
          <w:i/>
        </w:rPr>
        <w:t>O Arqueólogo Português</w:t>
      </w:r>
      <w:r w:rsidRPr="00CF22F3">
        <w:t>, série IV, 11. 15-38.</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74B46">
        <w:rPr>
          <w:lang w:val="en-US"/>
        </w:rPr>
        <w:t>Goldberg, P. e MacPhail, R.I. (2006): “Practical and Theoretical Geoarchaeology</w:t>
      </w:r>
      <w:r>
        <w:rPr>
          <w:lang w:val="en-US"/>
        </w:rPr>
        <w:t>”</w:t>
      </w:r>
      <w:r w:rsidRPr="00C74B46">
        <w:rPr>
          <w:lang w:val="en-US"/>
        </w:rPr>
        <w:t xml:space="preserve">. </w:t>
      </w:r>
      <w:proofErr w:type="gramStart"/>
      <w:r w:rsidRPr="00CF22F3">
        <w:rPr>
          <w:lang w:val="en-US"/>
        </w:rPr>
        <w:t>BlacKwell Publishing.</w:t>
      </w:r>
      <w:proofErr w:type="gramEnd"/>
      <w:r w:rsidRPr="00CF22F3">
        <w:rPr>
          <w:lang w:val="en-US"/>
        </w:rPr>
        <w:t xml:space="preserve"> </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Goldberg, P., Dibble, H., Berna, F., Sandgathe, D., McPherron, S e Turq, A. (2012): “New evidence on Neandertal use of fire: Examples from Roc de Marsal and Pech de l’Azé IV”. </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325-340.</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lastRenderedPageBreak/>
        <w:t>Gómez-Orellana</w:t>
      </w:r>
      <w:proofErr w:type="gramStart"/>
      <w:r w:rsidRPr="00CF22F3">
        <w:rPr>
          <w:lang w:val="en-US"/>
        </w:rPr>
        <w:t xml:space="preserve">, </w:t>
      </w:r>
      <w:r w:rsidR="00D44AC3">
        <w:rPr>
          <w:lang w:val="en-US"/>
        </w:rPr>
        <w:t xml:space="preserve"> </w:t>
      </w:r>
      <w:r w:rsidRPr="00CF22F3">
        <w:rPr>
          <w:lang w:val="en-US"/>
        </w:rPr>
        <w:t>L</w:t>
      </w:r>
      <w:proofErr w:type="gramEnd"/>
      <w:r w:rsidRPr="00CF22F3">
        <w:rPr>
          <w:lang w:val="en-US"/>
        </w:rPr>
        <w:t xml:space="preserve">., Ramil-Rego, </w:t>
      </w:r>
      <w:r w:rsidR="00D44AC3">
        <w:rPr>
          <w:lang w:val="en-US"/>
        </w:rPr>
        <w:t xml:space="preserve"> </w:t>
      </w:r>
      <w:r w:rsidRPr="00CF22F3">
        <w:rPr>
          <w:lang w:val="en-US"/>
        </w:rPr>
        <w:t xml:space="preserve">P.  </w:t>
      </w:r>
      <w:proofErr w:type="gramStart"/>
      <w:r w:rsidRPr="00CF22F3">
        <w:rPr>
          <w:lang w:val="en-US"/>
        </w:rPr>
        <w:t>e</w:t>
      </w:r>
      <w:proofErr w:type="gramEnd"/>
      <w:r w:rsidRPr="00CF22F3">
        <w:rPr>
          <w:lang w:val="en-US"/>
        </w:rPr>
        <w:t xml:space="preserve"> Muñoz Sobrino, C. (2007): “The Würm in NW Iberia, a pollen record from Area Longa (Galicia)”, </w:t>
      </w:r>
      <w:r w:rsidRPr="00CF22F3">
        <w:rPr>
          <w:i/>
          <w:lang w:val="en-US"/>
        </w:rPr>
        <w:t>Quaternary Research</w:t>
      </w:r>
      <w:r w:rsidRPr="00CF22F3">
        <w:rPr>
          <w:lang w:val="en-US"/>
        </w:rPr>
        <w:t>, 67.</w:t>
      </w:r>
      <w:r>
        <w:rPr>
          <w:lang w:val="en-US"/>
        </w:rPr>
        <w:t xml:space="preserve"> </w:t>
      </w:r>
      <w:proofErr w:type="gramStart"/>
      <w:r>
        <w:rPr>
          <w:lang w:val="en-US"/>
        </w:rPr>
        <w:t>438-</w:t>
      </w:r>
      <w:r w:rsidRPr="00CF22F3">
        <w:rPr>
          <w:lang w:val="en-US"/>
        </w:rPr>
        <w:t>452.</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Goren-Inbar, N., Alperson, N., Kislev, M.E., Simchoni, Y., Bem-Nun, A. e Werker, E. (2004): “Evidence of Hominin Control of Fire at Gesher Benot Ya`aqov, Israel”. </w:t>
      </w:r>
      <w:proofErr w:type="gramStart"/>
      <w:r w:rsidRPr="00FA50C6">
        <w:rPr>
          <w:i/>
          <w:lang w:val="en-US"/>
        </w:rPr>
        <w:t>Science</w:t>
      </w:r>
      <w:r w:rsidRPr="00CF22F3">
        <w:rPr>
          <w:lang w:val="en-US"/>
        </w:rPr>
        <w:t>, 304, 5671.</w:t>
      </w:r>
      <w:proofErr w:type="gramEnd"/>
      <w:r w:rsidRPr="00CF22F3">
        <w:rPr>
          <w:lang w:val="en-US"/>
        </w:rPr>
        <w:t xml:space="preserve"> 725-727</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Gowlett, J. A. J. (2006): “The early settlement of northern Europe: Fire history in the context of climate change and the social brain”.  </w:t>
      </w:r>
      <w:r w:rsidRPr="00CF22F3">
        <w:rPr>
          <w:i/>
          <w:lang w:val="en-US"/>
        </w:rPr>
        <w:t>Comptes Rendus Palevol</w:t>
      </w:r>
      <w:r w:rsidRPr="00CF22F3">
        <w:rPr>
          <w:lang w:val="en-US"/>
        </w:rPr>
        <w:t>, 5, 1-2. 299-310</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Granja, H. M. (1999): “Evidence for Late Pleistocene and Holocene sea-level, neotectonic and climate control in the coastal zone of northwest Portugal”, </w:t>
      </w:r>
      <w:r w:rsidRPr="00CF22F3">
        <w:rPr>
          <w:i/>
          <w:lang w:val="en-US"/>
        </w:rPr>
        <w:t>Geologie en Mijnbouw</w:t>
      </w:r>
      <w:r>
        <w:rPr>
          <w:lang w:val="en-US"/>
        </w:rPr>
        <w:t>, 77, 233-</w:t>
      </w:r>
      <w:r w:rsidRPr="00CF22F3">
        <w:rPr>
          <w:lang w:val="en-US"/>
        </w:rPr>
        <w:t>245.</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Harris, E. C. (1989): </w:t>
      </w:r>
      <w:r>
        <w:rPr>
          <w:lang w:val="en-US"/>
        </w:rPr>
        <w:t>“</w:t>
      </w:r>
      <w:r w:rsidRPr="00CF22F3">
        <w:rPr>
          <w:lang w:val="en-US"/>
        </w:rPr>
        <w:t>Principles of archaeological stratigraphy</w:t>
      </w:r>
      <w:r>
        <w:rPr>
          <w:lang w:val="en-US"/>
        </w:rPr>
        <w:t>”</w:t>
      </w:r>
      <w:r w:rsidRPr="00CF22F3">
        <w:rPr>
          <w:lang w:val="en-US"/>
        </w:rPr>
        <w:t xml:space="preserve">. </w:t>
      </w:r>
      <w:proofErr w:type="gramStart"/>
      <w:r w:rsidRPr="00CF22F3">
        <w:rPr>
          <w:lang w:val="en-US"/>
        </w:rPr>
        <w:t>2.ª ed. Academic Press Limited.</w:t>
      </w:r>
      <w:proofErr w:type="gramEnd"/>
    </w:p>
    <w:p w:rsidR="00D44AC3" w:rsidRDefault="00D44AC3" w:rsidP="008D06DE">
      <w:pPr>
        <w:spacing w:line="360" w:lineRule="auto"/>
        <w:jc w:val="both"/>
        <w:rPr>
          <w:lang w:val="en-US"/>
        </w:rPr>
      </w:pPr>
    </w:p>
    <w:p w:rsidR="008D06DE" w:rsidRPr="00C74B46" w:rsidRDefault="008D06DE" w:rsidP="008D06DE">
      <w:pPr>
        <w:spacing w:line="360" w:lineRule="auto"/>
        <w:jc w:val="both"/>
        <w:rPr>
          <w:lang w:val="en-US"/>
        </w:rPr>
      </w:pPr>
      <w:r w:rsidRPr="00CF22F3">
        <w:rPr>
          <w:lang w:val="en-US"/>
        </w:rPr>
        <w:t>Heinrich, H. (1988): “Origin and consequences of cyclic ice ra</w:t>
      </w:r>
      <w:r>
        <w:rPr>
          <w:lang w:val="en-US"/>
        </w:rPr>
        <w:t xml:space="preserve">fting in the northeast Atlantic                                                 </w:t>
      </w:r>
      <w:r w:rsidRPr="00CF22F3">
        <w:rPr>
          <w:lang w:val="en-US"/>
        </w:rPr>
        <w:t xml:space="preserve">Ocean during the past 130 000 years”. </w:t>
      </w:r>
      <w:r>
        <w:rPr>
          <w:lang w:val="en-US"/>
        </w:rPr>
        <w:t xml:space="preserve"> </w:t>
      </w:r>
      <w:r w:rsidRPr="00C74B46">
        <w:rPr>
          <w:i/>
          <w:lang w:val="en-US"/>
        </w:rPr>
        <w:t>Q u a t e r n a r y Research</w:t>
      </w:r>
      <w:r w:rsidRPr="00C74B46">
        <w:rPr>
          <w:lang w:val="en-US"/>
        </w:rPr>
        <w:t xml:space="preserve">, 29, </w:t>
      </w:r>
      <w:r>
        <w:rPr>
          <w:lang w:val="en-US"/>
        </w:rPr>
        <w:t>142-1</w:t>
      </w:r>
      <w:r w:rsidRPr="00C74B46">
        <w:rPr>
          <w:lang w:val="en-US"/>
        </w:rPr>
        <w:t>52.</w:t>
      </w:r>
    </w:p>
    <w:p w:rsidR="00D44AC3" w:rsidRDefault="00D44AC3" w:rsidP="008D06DE">
      <w:pPr>
        <w:spacing w:line="360" w:lineRule="auto"/>
        <w:jc w:val="both"/>
        <w:rPr>
          <w:lang w:val="en-US"/>
        </w:rPr>
      </w:pPr>
    </w:p>
    <w:p w:rsidR="008D06DE" w:rsidRPr="00C74B46" w:rsidRDefault="008D06DE" w:rsidP="008D06DE">
      <w:pPr>
        <w:spacing w:line="360" w:lineRule="auto"/>
        <w:jc w:val="both"/>
        <w:rPr>
          <w:lang w:val="en-US"/>
        </w:rPr>
      </w:pPr>
      <w:r w:rsidRPr="00C74B46">
        <w:rPr>
          <w:lang w:val="en-US"/>
        </w:rPr>
        <w:t>Heleno, M. (</w:t>
      </w:r>
      <w:proofErr w:type="gramStart"/>
      <w:r w:rsidRPr="00C74B46">
        <w:rPr>
          <w:lang w:val="en-US"/>
        </w:rPr>
        <w:t>1962 )</w:t>
      </w:r>
      <w:proofErr w:type="gramEnd"/>
      <w:r w:rsidRPr="00C74B46">
        <w:rPr>
          <w:lang w:val="en-US"/>
        </w:rPr>
        <w:t xml:space="preserve">: </w:t>
      </w:r>
      <w:r>
        <w:rPr>
          <w:lang w:val="en-US"/>
        </w:rPr>
        <w:t>“</w:t>
      </w:r>
      <w:r w:rsidRPr="00C74B46">
        <w:rPr>
          <w:lang w:val="en-US"/>
        </w:rPr>
        <w:t>A villa lusitano-romana de Torre de Palma, Monforte</w:t>
      </w:r>
      <w:r>
        <w:rPr>
          <w:lang w:val="en-US"/>
        </w:rPr>
        <w:t>”</w:t>
      </w:r>
      <w:r w:rsidRPr="00C74B46">
        <w:rPr>
          <w:lang w:val="en-US"/>
        </w:rPr>
        <w:t xml:space="preserve">. </w:t>
      </w:r>
      <w:r>
        <w:rPr>
          <w:i/>
        </w:rPr>
        <w:t>O A</w:t>
      </w:r>
      <w:r w:rsidRPr="00CF22F3">
        <w:rPr>
          <w:i/>
        </w:rPr>
        <w:t>rqueólogo Português</w:t>
      </w:r>
      <w:r w:rsidRPr="00CF22F3">
        <w:t xml:space="preserve">. 2.º </w:t>
      </w:r>
      <w:proofErr w:type="gramStart"/>
      <w:r w:rsidRPr="00CF22F3">
        <w:t>serie</w:t>
      </w:r>
      <w:proofErr w:type="gramEnd"/>
      <w:r w:rsidRPr="00CF22F3">
        <w:t>, 4. 313-338.</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1E2BD5">
        <w:rPr>
          <w:lang w:val="en-US"/>
        </w:rPr>
        <w:t xml:space="preserve">Hernández Fernández, M., Azanza, B e Ángeles Álvarez Sierra, M. (2004): “Iberian Plio-Pleistocene biochronology: micromammalian evidence for MNs and ELMAs calibration in southwestern Europe”. </w:t>
      </w:r>
      <w:r w:rsidRPr="00CF22F3">
        <w:rPr>
          <w:i/>
        </w:rPr>
        <w:t>Journal of Quaternary Science</w:t>
      </w:r>
      <w:r w:rsidRPr="00CF22F3">
        <w:t xml:space="preserve">, </w:t>
      </w:r>
      <w:proofErr w:type="gramStart"/>
      <w:r w:rsidRPr="00CF22F3">
        <w:t>19,(6</w:t>
      </w:r>
      <w:proofErr w:type="gramEnd"/>
      <w:r w:rsidRPr="00CF22F3">
        <w:t xml:space="preserve">). </w:t>
      </w:r>
      <w:r>
        <w:t>605-</w:t>
      </w:r>
      <w:r w:rsidRPr="00CF22F3">
        <w:t>616.</w:t>
      </w:r>
    </w:p>
    <w:p w:rsidR="00D44AC3" w:rsidRDefault="00D44AC3" w:rsidP="008D06DE">
      <w:pPr>
        <w:spacing w:line="360" w:lineRule="auto"/>
        <w:jc w:val="both"/>
      </w:pPr>
    </w:p>
    <w:p w:rsidR="008D06DE" w:rsidRPr="00CF22F3" w:rsidRDefault="008D06DE" w:rsidP="00A045DA">
      <w:pPr>
        <w:spacing w:line="360" w:lineRule="auto"/>
        <w:jc w:val="both"/>
      </w:pPr>
      <w:r w:rsidRPr="00CF22F3">
        <w:t>ICN-</w:t>
      </w:r>
      <w:r>
        <w:t>PNSM</w:t>
      </w:r>
      <w:r w:rsidRPr="00CF22F3">
        <w:t xml:space="preserve"> (2003): </w:t>
      </w:r>
      <w:r>
        <w:t>“</w:t>
      </w:r>
      <w:r w:rsidRPr="00CF22F3">
        <w:t>Plano de Ordenamento d</w:t>
      </w:r>
      <w:r w:rsidR="00A045DA">
        <w:t>o Parque Natural da Serra de S.</w:t>
      </w:r>
      <w:r w:rsidRPr="00CF22F3">
        <w:t>Mamede</w:t>
      </w:r>
      <w:r>
        <w:t>”</w:t>
      </w:r>
      <w:r w:rsidRPr="00CF22F3">
        <w:t xml:space="preserve">. Relatório síntese. ICN. Ministério das Cidades, Ordenamento do Território </w:t>
      </w:r>
      <w:r w:rsidR="00A045DA">
        <w:t xml:space="preserve">e Ambiente. Consultado </w:t>
      </w:r>
      <w:proofErr w:type="gramStart"/>
      <w:r w:rsidR="00A045DA">
        <w:t>em</w:t>
      </w:r>
      <w:proofErr w:type="gramEnd"/>
      <w:r w:rsidR="00A045DA">
        <w:t>: WWW.</w:t>
      </w:r>
      <w:r w:rsidR="00A045DA" w:rsidRPr="00A045DA">
        <w:t>ICN.PT/Downloads/POAP/POPNSSMamede/RS.Cap.2:</w:t>
      </w:r>
      <w:proofErr w:type="gramStart"/>
      <w:r w:rsidR="00A045DA" w:rsidRPr="00A045DA">
        <w:t>PDF</w:t>
      </w:r>
      <w:r w:rsidR="00A045DA">
        <w:t>,     (</w:t>
      </w:r>
      <w:r w:rsidRPr="00CF22F3">
        <w:t>09-2013</w:t>
      </w:r>
      <w:proofErr w:type="gramEnd"/>
      <w:r w:rsidR="00A045DA">
        <w:t>)</w:t>
      </w:r>
      <w:r w:rsidRPr="00CF22F3">
        <w:t xml:space="preserve">. </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lastRenderedPageBreak/>
        <w:t>Imbrie, J., Mix, A. C.</w:t>
      </w:r>
      <w:r>
        <w:rPr>
          <w:lang w:val="en-US"/>
        </w:rPr>
        <w:t xml:space="preserve"> e</w:t>
      </w:r>
      <w:r w:rsidRPr="00CF22F3">
        <w:rPr>
          <w:lang w:val="en-US"/>
        </w:rPr>
        <w:t xml:space="preserve"> Martinson, D. G. (1993): “Milankovitch theory viewed from Devils Hole”</w:t>
      </w:r>
      <w:r>
        <w:rPr>
          <w:lang w:val="en-US"/>
        </w:rPr>
        <w:t>.</w:t>
      </w:r>
      <w:r w:rsidRPr="00CF22F3">
        <w:rPr>
          <w:lang w:val="en-US"/>
        </w:rPr>
        <w:t xml:space="preserve"> </w:t>
      </w:r>
      <w:proofErr w:type="gramStart"/>
      <w:r w:rsidRPr="00CF22F3">
        <w:rPr>
          <w:i/>
          <w:lang w:val="en-US"/>
        </w:rPr>
        <w:t>Nature</w:t>
      </w:r>
      <w:r w:rsidRPr="00CF22F3">
        <w:rPr>
          <w:lang w:val="en-US"/>
        </w:rPr>
        <w:t>, 363, 6429.</w:t>
      </w:r>
      <w:proofErr w:type="gramEnd"/>
      <w:r w:rsidRPr="00CF22F3">
        <w:rPr>
          <w:lang w:val="en-US"/>
        </w:rPr>
        <w:t xml:space="preserve"> </w:t>
      </w:r>
      <w:r w:rsidRPr="00CF22F3">
        <w:t xml:space="preserve">531-533. </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Inizan, M-L., Reduron-Ballinger, M., Roche, </w:t>
      </w:r>
      <w:r w:rsidR="00A045DA" w:rsidRPr="00CF22F3">
        <w:t>H. e</w:t>
      </w:r>
      <w:r w:rsidRPr="00CF22F3">
        <w:rPr>
          <w:lang w:val="fr-FR"/>
        </w:rPr>
        <w:t xml:space="preserve"> Tixier, J. (1995): “Préhistoire de la Pierre Taillée - t. 4: Technologie de la pierre taillée”. </w:t>
      </w:r>
      <w:r w:rsidRPr="00CF22F3">
        <w:t>CREP, Meudon.</w:t>
      </w:r>
    </w:p>
    <w:p w:rsidR="00D44AC3" w:rsidRDefault="00D44AC3" w:rsidP="008D06DE">
      <w:pPr>
        <w:spacing w:line="360" w:lineRule="auto"/>
        <w:jc w:val="both"/>
        <w:rPr>
          <w:lang w:val="es-ES_tradnl"/>
        </w:rPr>
      </w:pPr>
    </w:p>
    <w:p w:rsidR="008D06DE" w:rsidRPr="00CF22F3" w:rsidRDefault="008D06DE" w:rsidP="008D06DE">
      <w:pPr>
        <w:spacing w:line="360" w:lineRule="auto"/>
        <w:jc w:val="both"/>
      </w:pPr>
      <w:r w:rsidRPr="001E2BD5">
        <w:rPr>
          <w:lang w:val="es-ES_tradnl"/>
        </w:rPr>
        <w:t xml:space="preserve">Iriarte, M. J., Gómez-Orellana, L., Muñoz Sobrino, C., Ramil-Rego, P. e Arrizabalaga, A. (2005): “La dinámica de la vegetación en el NW peninsular durante la transición del Paleolítico Medio al Paleolítico Superior”. </w:t>
      </w:r>
      <w:r w:rsidRPr="00CF22F3">
        <w:t xml:space="preserve">Museo de Altamira. </w:t>
      </w:r>
      <w:r w:rsidRPr="00CF22F3">
        <w:rPr>
          <w:i/>
        </w:rPr>
        <w:t>Monografías</w:t>
      </w:r>
      <w:r w:rsidRPr="00CF22F3">
        <w:t>, 20, 231-253.</w:t>
      </w:r>
    </w:p>
    <w:p w:rsidR="00A045DA" w:rsidRDefault="00A045DA"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Jarry, M., Bertrand, P., Colonge, D., Lelouvier, L-A.</w:t>
      </w:r>
      <w:r>
        <w:rPr>
          <w:lang w:val="fr-FR"/>
        </w:rPr>
        <w:t xml:space="preserve"> e</w:t>
      </w:r>
      <w:r w:rsidRPr="00CF22F3">
        <w:rPr>
          <w:lang w:val="fr-FR"/>
        </w:rPr>
        <w:t xml:space="preserve"> Mourre, V. (2004): “Le gisement Paléolithique moyen ancient  des Bosses à Lamagdelaine (Lot, France)”. </w:t>
      </w:r>
      <w:r w:rsidRPr="001E2BD5">
        <w:rPr>
          <w:i/>
          <w:lang w:val="fr-FR"/>
        </w:rPr>
        <w:t>In</w:t>
      </w:r>
      <w:r w:rsidRPr="00CF22F3">
        <w:rPr>
          <w:lang w:val="fr-FR"/>
        </w:rPr>
        <w:t xml:space="preserve">: Le Paléolithique moyen, Van Peer, P., Semal, P. e Bonjean, D. eds. </w:t>
      </w:r>
      <w:r w:rsidRPr="00CF22F3">
        <w:rPr>
          <w:i/>
          <w:lang w:val="fr-FR"/>
        </w:rPr>
        <w:t>BAR</w:t>
      </w:r>
      <w:r w:rsidRPr="00CF22F3">
        <w:rPr>
          <w:lang w:val="fr-FR"/>
        </w:rPr>
        <w:t>, International Series, 1239. 177-185.</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en-US"/>
        </w:rPr>
      </w:pPr>
      <w:r w:rsidRPr="00CF22F3">
        <w:rPr>
          <w:lang w:val="fr-FR"/>
        </w:rPr>
        <w:t xml:space="preserve">Jaubert, J. e Jarry, M. (2006): “ le Paléolithique moyen en Eurasie septantrionale: geographie d’un continuum documentaire. </w:t>
      </w:r>
      <w:r w:rsidRPr="00CF22F3">
        <w:rPr>
          <w:lang w:val="en-US"/>
        </w:rPr>
        <w:t xml:space="preserve">Projet pour un atlas”. </w:t>
      </w:r>
      <w:r w:rsidRPr="001E2BD5">
        <w:rPr>
          <w:i/>
          <w:lang w:val="en-US"/>
        </w:rPr>
        <w:t>In</w:t>
      </w:r>
      <w:r w:rsidRPr="00CF22F3">
        <w:rPr>
          <w:lang w:val="en-US"/>
        </w:rPr>
        <w:t xml:space="preserve">: The Middle palaeolithic, Kulakovska, L.V.  </w:t>
      </w:r>
      <w:proofErr w:type="gramStart"/>
      <w:r w:rsidRPr="00CF22F3">
        <w:rPr>
          <w:lang w:val="en-US"/>
        </w:rPr>
        <w:t>ed</w:t>
      </w:r>
      <w:proofErr w:type="gramEnd"/>
      <w:r w:rsidRPr="00CF22F3">
        <w:rPr>
          <w:lang w:val="en-US"/>
        </w:rPr>
        <w:t>. Institute of Archaeology of the National Academy of Sciences of Ukraine. Kiev.78-101</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Johnsen, S. J., Clausen, H. B., Dansgaard, W., Gundestrup, N. S., Hammer, C. U., e Tauber, H. (1995): “The Eem stable isotope record along the GRIP i</w:t>
      </w:r>
      <w:r>
        <w:rPr>
          <w:lang w:val="en-US"/>
        </w:rPr>
        <w:t>ce core and its interpretation”.</w:t>
      </w:r>
      <w:r w:rsidRPr="00CF22F3">
        <w:rPr>
          <w:lang w:val="en-US"/>
        </w:rPr>
        <w:t xml:space="preserve"> </w:t>
      </w:r>
      <w:proofErr w:type="gramStart"/>
      <w:r w:rsidRPr="00CF22F3">
        <w:rPr>
          <w:i/>
          <w:lang w:val="en-US"/>
        </w:rPr>
        <w:t>Quaternary Research</w:t>
      </w:r>
      <w:r w:rsidRPr="00CF22F3">
        <w:rPr>
          <w:lang w:val="en-US"/>
        </w:rPr>
        <w:t>, 43.</w:t>
      </w:r>
      <w:proofErr w:type="gramEnd"/>
      <w:r w:rsidRPr="00CF22F3">
        <w:rPr>
          <w:lang w:val="en-US"/>
        </w:rPr>
        <w:t xml:space="preserve"> </w:t>
      </w:r>
      <w:r w:rsidRPr="00CF22F3">
        <w:t>117-124.</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Jorge, V. O. (1972): “Jazidas 1 e 2 do Monte da Faia (Rio Caia, Portalegre): Notícia preliminar”. </w:t>
      </w:r>
      <w:r w:rsidRPr="00CF22F3">
        <w:rPr>
          <w:i/>
        </w:rPr>
        <w:t>O Arqueólogo Português</w:t>
      </w:r>
      <w:r w:rsidRPr="00CF22F3">
        <w:t>, 3.ª série,</w:t>
      </w:r>
      <w:r>
        <w:t xml:space="preserve"> </w:t>
      </w:r>
      <w:r w:rsidRPr="00CF22F3">
        <w:t>6, Lisboa. 79-92.</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Jouzel, J.</w:t>
      </w:r>
      <w:r>
        <w:t xml:space="preserve">, </w:t>
      </w:r>
      <w:r w:rsidRPr="00CF22F3">
        <w:t>Barkov, N. I.</w:t>
      </w:r>
      <w:r>
        <w:t>,</w:t>
      </w:r>
      <w:r w:rsidRPr="00CF22F3">
        <w:t xml:space="preserve"> Barnola, J. M.</w:t>
      </w:r>
      <w:r>
        <w:t>,</w:t>
      </w:r>
      <w:r w:rsidRPr="00CF22F3">
        <w:t xml:space="preserve"> Bender, M.</w:t>
      </w:r>
      <w:r>
        <w:t>,</w:t>
      </w:r>
      <w:r w:rsidRPr="00CF22F3">
        <w:t xml:space="preserve"> Chappellaz, J.</w:t>
      </w:r>
      <w:r>
        <w:t>,</w:t>
      </w:r>
      <w:r w:rsidRPr="00CF22F3">
        <w:t xml:space="preserve"> Genthon, C.</w:t>
      </w:r>
      <w:r>
        <w:t>,</w:t>
      </w:r>
      <w:r w:rsidRPr="00CF22F3">
        <w:t xml:space="preserve"> Kotlyakov, V. M.</w:t>
      </w:r>
      <w:r>
        <w:t>,</w:t>
      </w:r>
      <w:r w:rsidRPr="00CF22F3">
        <w:t xml:space="preserve"> Lipenkov, V.</w:t>
      </w:r>
      <w:r>
        <w:t>,</w:t>
      </w:r>
      <w:r w:rsidRPr="00CF22F3">
        <w:t xml:space="preserve"> Lorius,</w:t>
      </w:r>
      <w:proofErr w:type="gramStart"/>
      <w:r w:rsidRPr="00CF22F3">
        <w:t> C.;</w:t>
      </w:r>
      <w:proofErr w:type="gramEnd"/>
      <w:r w:rsidRPr="00CF22F3">
        <w:t xml:space="preserve"> Petit, J. R.; Raynaud, D.</w:t>
      </w:r>
      <w:r>
        <w:t>,</w:t>
      </w:r>
      <w:r w:rsidRPr="00CF22F3">
        <w:t xml:space="preserve"> Raisbeck, G.</w:t>
      </w:r>
      <w:r>
        <w:t>,</w:t>
      </w:r>
      <w:r w:rsidRPr="00CF22F3">
        <w:t xml:space="preserve"> Ritz, C.</w:t>
      </w:r>
      <w:r>
        <w:t>,</w:t>
      </w:r>
      <w:r w:rsidRPr="00CF22F3">
        <w:t xml:space="preserve"> Sowers, T.</w:t>
      </w:r>
      <w:r>
        <w:t>,</w:t>
      </w:r>
      <w:r w:rsidRPr="00CF22F3">
        <w:t xml:space="preserve"> Stievenard, M.</w:t>
      </w:r>
      <w:r>
        <w:t>,</w:t>
      </w:r>
      <w:r w:rsidRPr="00CF22F3">
        <w:t xml:space="preserve"> Yiou, F.</w:t>
      </w:r>
      <w:r>
        <w:t xml:space="preserve"> </w:t>
      </w:r>
      <w:proofErr w:type="gramStart"/>
      <w:r>
        <w:t>e</w:t>
      </w:r>
      <w:proofErr w:type="gramEnd"/>
      <w:r>
        <w:t xml:space="preserve"> </w:t>
      </w:r>
      <w:r w:rsidRPr="00CF22F3">
        <w:t xml:space="preserve"> Yiou, P. (1993): “Extending the Vostok ice-core record of palaeoclimate to the penultimate glacial period”. </w:t>
      </w:r>
      <w:r w:rsidRPr="0086102E">
        <w:rPr>
          <w:i/>
        </w:rPr>
        <w:t>Nature</w:t>
      </w:r>
      <w:r w:rsidRPr="0086102E">
        <w:t xml:space="preserve">, 364, 6436. </w:t>
      </w:r>
      <w:proofErr w:type="gramStart"/>
      <w:r w:rsidRPr="00CF22F3">
        <w:rPr>
          <w:lang w:val="en-US"/>
        </w:rPr>
        <w:t>407-412.</w:t>
      </w:r>
      <w:proofErr w:type="gramEnd"/>
      <w:r w:rsidRPr="00CF22F3">
        <w:rPr>
          <w:lang w:val="en-US"/>
        </w:rPr>
        <w:t xml:space="preserve"> </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lastRenderedPageBreak/>
        <w:t xml:space="preserve">Knudsen, K. L. e Gibbard, P. L. (2006): “Eemian and Weichselian environmental development in the western Baltic </w:t>
      </w:r>
      <w:r>
        <w:rPr>
          <w:lang w:val="en-US"/>
        </w:rPr>
        <w:t>area, NW Europe – Introduction”.</w:t>
      </w:r>
      <w:r w:rsidRPr="00CF22F3">
        <w:rPr>
          <w:lang w:val="en-US"/>
        </w:rPr>
        <w:t xml:space="preserve"> </w:t>
      </w:r>
      <w:r w:rsidRPr="00CF22F3">
        <w:rPr>
          <w:i/>
          <w:lang w:val="en-US"/>
        </w:rPr>
        <w:t>Boreas</w:t>
      </w:r>
      <w:r w:rsidRPr="00CF22F3">
        <w:rPr>
          <w:lang w:val="en-US"/>
        </w:rPr>
        <w:t>, 35, 317-319.</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Landais, A., Masson-Delmotte, V., Combourieu Nebout, N., Jouzel, J., Blunier, T., Leuenberger, M., Dahl-Jensen, D. e Johnsen, S. (2007):</w:t>
      </w:r>
      <w:r>
        <w:rPr>
          <w:lang w:val="en-US"/>
        </w:rPr>
        <w:t xml:space="preserve"> </w:t>
      </w:r>
      <w:r w:rsidRPr="00CF22F3">
        <w:rPr>
          <w:lang w:val="en-US"/>
        </w:rPr>
        <w:t xml:space="preserve"> “Millenial scale variations of the isotopic composition of atmospheric oxyge</w:t>
      </w:r>
      <w:r>
        <w:rPr>
          <w:lang w:val="en-US"/>
        </w:rPr>
        <w:t>n over Marine Isotopic Stage 4”.</w:t>
      </w:r>
      <w:r w:rsidRPr="00CF22F3">
        <w:rPr>
          <w:lang w:val="en-US"/>
        </w:rPr>
        <w:t xml:space="preserve"> </w:t>
      </w:r>
      <w:proofErr w:type="gramStart"/>
      <w:r w:rsidRPr="00CF22F3">
        <w:rPr>
          <w:i/>
          <w:lang w:val="en-US"/>
        </w:rPr>
        <w:t>Earth and Planetary Science Letters</w:t>
      </w:r>
      <w:r w:rsidRPr="00CF22F3">
        <w:rPr>
          <w:lang w:val="en-US"/>
        </w:rPr>
        <w:t>, 258.</w:t>
      </w:r>
      <w:proofErr w:type="gramEnd"/>
      <w:r w:rsidRPr="00CF22F3">
        <w:rPr>
          <w:lang w:val="en-US"/>
        </w:rPr>
        <w:t xml:space="preserve"> </w:t>
      </w:r>
      <w:proofErr w:type="gramStart"/>
      <w:r w:rsidRPr="00CF22F3">
        <w:rPr>
          <w:lang w:val="en-US"/>
        </w:rPr>
        <w:t>10</w:t>
      </w:r>
      <w:r>
        <w:rPr>
          <w:lang w:val="en-US"/>
        </w:rPr>
        <w:t>1-</w:t>
      </w:r>
      <w:r w:rsidRPr="00CF22F3">
        <w:rPr>
          <w:lang w:val="en-US"/>
        </w:rPr>
        <w:t>113.</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1E2BD5">
        <w:rPr>
          <w:lang w:val="en-US"/>
        </w:rPr>
        <w:t>Kretzoi, M. e Dobosi, V.T. (1990): "Vértesszölös, Man, Site and Culture". Bu</w:t>
      </w:r>
      <w:r w:rsidRPr="00CF22F3">
        <w:t>dapest.</w:t>
      </w:r>
    </w:p>
    <w:p w:rsidR="008D06DE" w:rsidRPr="00CF22F3" w:rsidRDefault="008D06DE" w:rsidP="008D06DE">
      <w:pPr>
        <w:spacing w:line="360" w:lineRule="auto"/>
        <w:jc w:val="both"/>
      </w:pPr>
      <w:r w:rsidRPr="00CF22F3">
        <w:rPr>
          <w:lang w:val="fr-FR"/>
        </w:rPr>
        <w:t xml:space="preserve">Laplace, G. (1971): </w:t>
      </w:r>
      <w:r>
        <w:rPr>
          <w:lang w:val="fr-FR"/>
        </w:rPr>
        <w:t>"De l’application des coordonnée</w:t>
      </w:r>
      <w:r w:rsidRPr="00CF22F3">
        <w:rPr>
          <w:lang w:val="fr-FR"/>
        </w:rPr>
        <w:t>s à</w:t>
      </w:r>
      <w:r>
        <w:rPr>
          <w:lang w:val="fr-FR"/>
        </w:rPr>
        <w:t xml:space="preserve"> la fouille stratigraphique".</w:t>
      </w:r>
      <w:r w:rsidRPr="00CF22F3">
        <w:rPr>
          <w:lang w:val="fr-FR"/>
        </w:rPr>
        <w:t xml:space="preserve"> </w:t>
      </w:r>
      <w:r w:rsidRPr="00CF22F3">
        <w:rPr>
          <w:i/>
          <w:lang w:val="fr-FR"/>
        </w:rPr>
        <w:t>Munibe</w:t>
      </w:r>
      <w:r w:rsidRPr="00CF22F3">
        <w:rPr>
          <w:lang w:val="fr-FR"/>
        </w:rPr>
        <w:t xml:space="preserve">, XXIII, 2/3. </w:t>
      </w:r>
      <w:r w:rsidRPr="00CF22F3">
        <w:t>223-236</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Leite de Vasconcelos, J. (1920): “Objectos paleolíticos d’ Arronches remetidos ao Museu etnológico pelo Sr. Padre Henry Breuil”. </w:t>
      </w:r>
      <w:r w:rsidRPr="00CF22F3">
        <w:rPr>
          <w:i/>
        </w:rPr>
        <w:t>O Archeólogo Português</w:t>
      </w:r>
      <w:r w:rsidRPr="00CF22F3">
        <w:t xml:space="preserve">. 1.ª </w:t>
      </w:r>
      <w:proofErr w:type="gramStart"/>
      <w:r w:rsidRPr="00CF22F3">
        <w:t>serie</w:t>
      </w:r>
      <w:proofErr w:type="gramEnd"/>
      <w:r w:rsidRPr="00CF22F3">
        <w:t>. 24, Lisboa. 56-58.</w:t>
      </w:r>
    </w:p>
    <w:p w:rsidR="00D44AC3" w:rsidRDefault="00D44AC3" w:rsidP="008D06DE">
      <w:pPr>
        <w:spacing w:line="360" w:lineRule="auto"/>
        <w:jc w:val="both"/>
      </w:pPr>
    </w:p>
    <w:p w:rsidR="008D06DE" w:rsidRPr="00CF22F3" w:rsidRDefault="008D06DE" w:rsidP="008D06DE">
      <w:pPr>
        <w:spacing w:line="360" w:lineRule="auto"/>
        <w:jc w:val="both"/>
      </w:pPr>
      <w:r w:rsidRPr="00CF22F3">
        <w:t>Leroi-Gouran, A.</w:t>
      </w:r>
      <w:r>
        <w:t xml:space="preserve"> </w:t>
      </w:r>
      <w:r w:rsidRPr="00CF22F3">
        <w:t>(1990): “O gesto e a palavra: técnica e linguagem”. Lisboa: Ed. 70.</w:t>
      </w:r>
    </w:p>
    <w:p w:rsidR="00A045DA" w:rsidRDefault="00A045DA"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Löwemark, L., Schönfeld, J., Werner, F. e Schäfer, P. (2004): “Trace fossils as a paleoceanographic tool: evidence from Late Quaternary sediments of </w:t>
      </w:r>
      <w:r>
        <w:rPr>
          <w:lang w:val="en-US"/>
        </w:rPr>
        <w:t>the southwestern Iberian margin</w:t>
      </w:r>
      <w:r w:rsidRPr="00CF22F3">
        <w:rPr>
          <w:lang w:val="en-US"/>
        </w:rPr>
        <w:t>”</w:t>
      </w:r>
      <w:r>
        <w:rPr>
          <w:lang w:val="en-US"/>
        </w:rPr>
        <w:t>.</w:t>
      </w:r>
      <w:r w:rsidRPr="00CF22F3">
        <w:rPr>
          <w:lang w:val="en-US"/>
        </w:rPr>
        <w:t xml:space="preserve"> </w:t>
      </w:r>
      <w:proofErr w:type="gramStart"/>
      <w:r w:rsidRPr="001E2BD5">
        <w:rPr>
          <w:i/>
          <w:lang w:val="en-US"/>
        </w:rPr>
        <w:t>Marine Geology</w:t>
      </w:r>
      <w:r w:rsidRPr="001E2BD5">
        <w:rPr>
          <w:lang w:val="en-US"/>
        </w:rPr>
        <w:t>, 204.</w:t>
      </w:r>
      <w:proofErr w:type="gramEnd"/>
      <w:r w:rsidRPr="001E2BD5">
        <w:rPr>
          <w:lang w:val="en-US"/>
        </w:rPr>
        <w:t xml:space="preserve"> </w:t>
      </w:r>
      <w:r w:rsidRPr="00CF22F3">
        <w:t>27-41.</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Lussu, T., Rosina, P., Oosterbeek, L. e Costa, F. (2001): “ O Musteriense de Santa Cita (Tomar, Alto Ribatejo, Portugal): investig</w:t>
      </w:r>
      <w:r>
        <w:t>ação e conservação”.</w:t>
      </w:r>
      <w:r w:rsidRPr="00CF22F3">
        <w:t xml:space="preserve"> </w:t>
      </w:r>
      <w:r w:rsidRPr="00CF22F3">
        <w:rPr>
          <w:i/>
        </w:rPr>
        <w:t>Arkeos</w:t>
      </w:r>
      <w:r w:rsidRPr="00CF22F3">
        <w:t xml:space="preserve">, 11. </w:t>
      </w:r>
      <w:proofErr w:type="gramStart"/>
      <w:r w:rsidRPr="00CF22F3">
        <w:rPr>
          <w:lang w:val="en-US"/>
        </w:rPr>
        <w:t>13-70.</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Mania, D., </w:t>
      </w:r>
      <w:r>
        <w:rPr>
          <w:lang w:val="en-US"/>
        </w:rPr>
        <w:t>e</w:t>
      </w:r>
      <w:r w:rsidRPr="00CF22F3">
        <w:rPr>
          <w:lang w:val="en-US"/>
        </w:rPr>
        <w:t xml:space="preserve"> Mania, U. (2005): “The natural and socio-cultural environment of Homo erectus at Bilzingsleben, Germany”. The Hominid Individual in Context: Archaeological investigations of Lower and Middle Palaeolithic landscapes, locales and artifacts, 98-114.</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Marks, A., Monigal, K. e</w:t>
      </w:r>
      <w:r>
        <w:rPr>
          <w:lang w:val="en-US"/>
        </w:rPr>
        <w:t xml:space="preserve"> </w:t>
      </w:r>
      <w:r w:rsidRPr="00CF22F3">
        <w:rPr>
          <w:lang w:val="en-US"/>
        </w:rPr>
        <w:t xml:space="preserve">Zilhão, J. (2001): “The lithic assemblages of the Late Mousterian at Gruta da Oliveira, Almonda, Portugal”. </w:t>
      </w:r>
      <w:proofErr w:type="gramStart"/>
      <w:r w:rsidRPr="001E2BD5">
        <w:rPr>
          <w:i/>
          <w:lang w:val="en-US"/>
        </w:rPr>
        <w:t>In</w:t>
      </w:r>
      <w:r w:rsidRPr="00CF22F3">
        <w:rPr>
          <w:lang w:val="en-US"/>
        </w:rPr>
        <w:t xml:space="preserve"> :</w:t>
      </w:r>
      <w:proofErr w:type="gramEnd"/>
      <w:r w:rsidRPr="00CF22F3">
        <w:rPr>
          <w:lang w:val="en-US"/>
        </w:rPr>
        <w:t xml:space="preserve"> Les premiers hommes modernes de la Péninsule Ibérique. Zilhão, J., Aubry, T.e Carvalho, A.F., eds. Actes du </w:t>
      </w:r>
      <w:r w:rsidRPr="00CF22F3">
        <w:rPr>
          <w:lang w:val="en-US"/>
        </w:rPr>
        <w:lastRenderedPageBreak/>
        <w:t xml:space="preserve">Colloque de la Comission VIII de l’UISPP., Vila Nova de Foz Côa. </w:t>
      </w:r>
      <w:r w:rsidRPr="00CF22F3">
        <w:t xml:space="preserve">Octobre 1998. Instituto Português de Arqueologia. </w:t>
      </w:r>
      <w:r w:rsidRPr="00CF22F3">
        <w:rPr>
          <w:i/>
        </w:rPr>
        <w:t>Trabalhos de Arqueologia</w:t>
      </w:r>
      <w:r w:rsidRPr="00CF22F3">
        <w:t>; 17. 145</w:t>
      </w:r>
      <w:r w:rsidR="00D44AC3">
        <w:t>-</w:t>
      </w:r>
      <w:r w:rsidRPr="00CF22F3">
        <w:t>154.</w:t>
      </w:r>
    </w:p>
    <w:p w:rsidR="00D44AC3" w:rsidRDefault="00D44AC3" w:rsidP="008D06DE">
      <w:pPr>
        <w:spacing w:line="360" w:lineRule="auto"/>
        <w:jc w:val="both"/>
        <w:rPr>
          <w:lang w:val="en-US"/>
        </w:rPr>
      </w:pPr>
    </w:p>
    <w:p w:rsidR="008D06DE" w:rsidRDefault="00D44AC3" w:rsidP="008D06DE">
      <w:pPr>
        <w:spacing w:line="360" w:lineRule="auto"/>
        <w:jc w:val="both"/>
        <w:rPr>
          <w:lang w:val="fr-FR"/>
        </w:rPr>
      </w:pPr>
      <w:r>
        <w:rPr>
          <w:lang w:val="en-US"/>
        </w:rPr>
        <w:t xml:space="preserve">Marks, A.E., </w:t>
      </w:r>
      <w:r w:rsidR="008D06DE" w:rsidRPr="00CF22F3">
        <w:rPr>
          <w:lang w:val="en-US"/>
        </w:rPr>
        <w:t>Brugal, J-Ph., Chabai, V.P.</w:t>
      </w:r>
      <w:proofErr w:type="gramStart"/>
      <w:r w:rsidR="008D06DE" w:rsidRPr="00CF22F3">
        <w:rPr>
          <w:lang w:val="en-US"/>
        </w:rPr>
        <w:t>,  Monigal</w:t>
      </w:r>
      <w:proofErr w:type="gramEnd"/>
      <w:r w:rsidR="008D06DE" w:rsidRPr="00CF22F3">
        <w:rPr>
          <w:lang w:val="en-US"/>
        </w:rPr>
        <w:t xml:space="preserve">, K., Goldberg, P.,  Hockett, B., Peman, E.,  Elorza M.  </w:t>
      </w:r>
      <w:proofErr w:type="gramStart"/>
      <w:r w:rsidR="008D06DE" w:rsidRPr="00CF22F3">
        <w:rPr>
          <w:lang w:val="fr-FR"/>
        </w:rPr>
        <w:t>e</w:t>
      </w:r>
      <w:proofErr w:type="gramEnd"/>
      <w:r w:rsidR="008D06DE" w:rsidRPr="00CF22F3">
        <w:rPr>
          <w:lang w:val="fr-FR"/>
        </w:rPr>
        <w:t xml:space="preserve"> Mallol C. (2002): “</w:t>
      </w:r>
      <w:r w:rsidR="008D06DE">
        <w:rPr>
          <w:lang w:val="fr-FR"/>
        </w:rPr>
        <w:t>Le gisement P</w:t>
      </w:r>
      <w:r w:rsidR="008D06DE" w:rsidRPr="00CF22F3">
        <w:rPr>
          <w:lang w:val="fr-FR"/>
        </w:rPr>
        <w:t xml:space="preserve">léistocène moyen de Galeria Pesada (Estrémadure, Portugal) : premiers résultats”. </w:t>
      </w:r>
      <w:r w:rsidR="008D06DE" w:rsidRPr="00CF22F3">
        <w:rPr>
          <w:i/>
          <w:lang w:val="fr-FR"/>
        </w:rPr>
        <w:t>P</w:t>
      </w:r>
      <w:r w:rsidR="008D06DE">
        <w:rPr>
          <w:i/>
          <w:lang w:val="fr-FR"/>
        </w:rPr>
        <w:t>aleo</w:t>
      </w:r>
      <w:r w:rsidR="008D06DE" w:rsidRPr="00CF22F3">
        <w:rPr>
          <w:lang w:val="fr-FR"/>
        </w:rPr>
        <w:t>, 14. 77-100.</w:t>
      </w:r>
    </w:p>
    <w:p w:rsidR="00D44AC3" w:rsidRPr="00CF22F3" w:rsidRDefault="00D44AC3" w:rsidP="008D06DE">
      <w:pPr>
        <w:spacing w:line="360" w:lineRule="auto"/>
        <w:jc w:val="both"/>
        <w:rPr>
          <w:lang w:val="fr-FR"/>
        </w:rPr>
      </w:pPr>
    </w:p>
    <w:p w:rsidR="008D06DE" w:rsidRPr="00CF22F3" w:rsidRDefault="008D06DE" w:rsidP="008D06DE">
      <w:pPr>
        <w:spacing w:line="360" w:lineRule="auto"/>
        <w:jc w:val="both"/>
      </w:pPr>
      <w:r w:rsidRPr="00CF22F3">
        <w:rPr>
          <w:lang w:val="fr-FR"/>
        </w:rPr>
        <w:t>Márquez, B., Mosquera, M. Baquedano, E.,  Panera, J., Pérez-González, A., Espinosa, J.A.,  Arsuaga, J.L., e Gómez,</w:t>
      </w:r>
      <w:r>
        <w:rPr>
          <w:lang w:val="fr-FR"/>
        </w:rPr>
        <w:t xml:space="preserve"> </w:t>
      </w:r>
      <w:r w:rsidRPr="00CF22F3">
        <w:rPr>
          <w:lang w:val="fr-FR"/>
        </w:rPr>
        <w:t>J.</w:t>
      </w:r>
      <w:r>
        <w:rPr>
          <w:lang w:val="fr-FR"/>
        </w:rPr>
        <w:t xml:space="preserve"> (2013):</w:t>
      </w:r>
      <w:r w:rsidRPr="00CF22F3">
        <w:rPr>
          <w:lang w:val="fr-FR"/>
        </w:rPr>
        <w:t xml:space="preserve"> “Evidence of a neanderthal-made quartz-based technology at Navalmaíllo rockshelter (Pinilla del Valle, Madrid region, Spain)</w:t>
      </w:r>
      <w:r w:rsidRPr="001E2BD5">
        <w:rPr>
          <w:lang w:val="fr-FR"/>
        </w:rPr>
        <w:t xml:space="preserve"> ”</w:t>
      </w:r>
      <w:r w:rsidRPr="00CF22F3">
        <w:rPr>
          <w:lang w:val="fr-FR"/>
        </w:rPr>
        <w:t xml:space="preserve">. </w:t>
      </w:r>
      <w:r w:rsidRPr="00CF22F3">
        <w:rPr>
          <w:i/>
          <w:lang w:val="fr-FR"/>
        </w:rPr>
        <w:t>Journal of Anthropological Research</w:t>
      </w:r>
      <w:r w:rsidRPr="00CF22F3">
        <w:rPr>
          <w:lang w:val="fr-FR"/>
        </w:rPr>
        <w:t xml:space="preserve">, 69. </w:t>
      </w:r>
      <w:r w:rsidRPr="00CF22F3">
        <w:t>373-395.</w:t>
      </w:r>
    </w:p>
    <w:p w:rsidR="00A045DA" w:rsidRDefault="00A045DA" w:rsidP="008D06DE">
      <w:pPr>
        <w:spacing w:line="360" w:lineRule="auto"/>
        <w:jc w:val="both"/>
      </w:pPr>
    </w:p>
    <w:p w:rsidR="008D06DE" w:rsidRPr="00CF22F3" w:rsidRDefault="008D06DE" w:rsidP="008D06DE">
      <w:pPr>
        <w:spacing w:line="360" w:lineRule="auto"/>
        <w:jc w:val="both"/>
        <w:rPr>
          <w:lang w:val="en-US"/>
        </w:rPr>
      </w:pPr>
      <w:r w:rsidRPr="00CF22F3">
        <w:t xml:space="preserve">Martins, A. (1999): </w:t>
      </w:r>
      <w:r w:rsidRPr="001E2BD5">
        <w:t>“</w:t>
      </w:r>
      <w:r w:rsidRPr="00CF22F3">
        <w:t>Caracterização Morfotectónica e Morfossedimentar da Bacia do Baixo Tejo (Pliocénico e Quaternário)</w:t>
      </w:r>
      <w:r w:rsidRPr="001E2BD5">
        <w:t xml:space="preserve"> ”</w:t>
      </w:r>
      <w:r w:rsidRPr="00CF22F3">
        <w:t xml:space="preserve">. Tese de doutoramento. </w:t>
      </w:r>
      <w:r w:rsidRPr="00CF22F3">
        <w:rPr>
          <w:lang w:val="en-US"/>
        </w:rPr>
        <w:t>Universidade de Évora.</w:t>
      </w:r>
    </w:p>
    <w:p w:rsidR="00D44AC3" w:rsidRDefault="00D44AC3" w:rsidP="008D06DE">
      <w:pPr>
        <w:autoSpaceDE w:val="0"/>
        <w:autoSpaceDN w:val="0"/>
        <w:adjustRightInd w:val="0"/>
        <w:spacing w:line="360" w:lineRule="auto"/>
        <w:jc w:val="both"/>
        <w:rPr>
          <w:lang w:val="en-US"/>
        </w:rPr>
      </w:pPr>
    </w:p>
    <w:p w:rsidR="008D06DE" w:rsidRPr="00CF22F3" w:rsidRDefault="008D06DE" w:rsidP="008D06DE">
      <w:pPr>
        <w:autoSpaceDE w:val="0"/>
        <w:autoSpaceDN w:val="0"/>
        <w:adjustRightInd w:val="0"/>
        <w:spacing w:line="360" w:lineRule="auto"/>
        <w:jc w:val="both"/>
        <w:rPr>
          <w:lang w:val="en-US"/>
        </w:rPr>
      </w:pPr>
      <w:r w:rsidRPr="00CF22F3">
        <w:rPr>
          <w:lang w:val="en-US"/>
        </w:rPr>
        <w:t>Martins, A. A., Cunha, P.P., Buylaert, J.P., Huot, S., Mu</w:t>
      </w:r>
      <w:r>
        <w:rPr>
          <w:lang w:val="en-US"/>
        </w:rPr>
        <w:t>rray, A., Dinis, P. e Stokes, M.</w:t>
      </w:r>
      <w:r w:rsidRPr="00CF22F3">
        <w:rPr>
          <w:lang w:val="en-US"/>
        </w:rPr>
        <w:t xml:space="preserve"> (2010): “K-feldspar IRSL dating of a Pleistocene river terrace sequence of the Lower Tejo River (Portugal, western Iberia)”. </w:t>
      </w:r>
      <w:r w:rsidRPr="00CF22F3">
        <w:rPr>
          <w:i/>
          <w:lang w:val="en-US"/>
        </w:rPr>
        <w:t>Quaternary Geochronology,</w:t>
      </w:r>
      <w:r w:rsidRPr="00CF22F3">
        <w:rPr>
          <w:lang w:val="en-US"/>
        </w:rPr>
        <w:t xml:space="preserve"> 5.176-180.</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Martinson, D. G., Pisias, N. G., Hays J.D, Imbrie, J., Moore, </w:t>
      </w:r>
      <w:proofErr w:type="gramStart"/>
      <w:r w:rsidRPr="00CF22F3">
        <w:rPr>
          <w:lang w:val="en-US"/>
        </w:rPr>
        <w:t>Jr</w:t>
      </w:r>
      <w:proofErr w:type="gramEnd"/>
      <w:r w:rsidRPr="00CF22F3">
        <w:rPr>
          <w:lang w:val="en-US"/>
        </w:rPr>
        <w:t xml:space="preserve">., T.C. e Shackleton, N.J. (1987): “Age dating and the orbital theory of the ice ages: Development of a high-resolution 0 to 300,000-year chronostratigraphy”. </w:t>
      </w:r>
      <w:proofErr w:type="gramStart"/>
      <w:r w:rsidRPr="00CF22F3">
        <w:rPr>
          <w:i/>
          <w:lang w:val="en-US"/>
        </w:rPr>
        <w:t>Quaternary Research</w:t>
      </w:r>
      <w:r w:rsidRPr="00CF22F3">
        <w:rPr>
          <w:lang w:val="en-US"/>
        </w:rPr>
        <w:t>, 27, 1.</w:t>
      </w:r>
      <w:proofErr w:type="gramEnd"/>
      <w:r w:rsidRPr="00CF22F3">
        <w:rPr>
          <w:lang w:val="en-US"/>
        </w:rPr>
        <w:t xml:space="preserve"> </w:t>
      </w:r>
      <w:proofErr w:type="gramStart"/>
      <w:r w:rsidRPr="00CF22F3">
        <w:rPr>
          <w:lang w:val="en-US"/>
        </w:rPr>
        <w:t>1-29.</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Maslin, M.A., Adams, J., Thomas, E., Faure, H. </w:t>
      </w:r>
      <w:proofErr w:type="gramStart"/>
      <w:r w:rsidRPr="00CF22F3">
        <w:rPr>
          <w:lang w:val="en-US"/>
        </w:rPr>
        <w:t>e  Haines</w:t>
      </w:r>
      <w:proofErr w:type="gramEnd"/>
      <w:r w:rsidRPr="00CF22F3">
        <w:rPr>
          <w:lang w:val="en-US"/>
        </w:rPr>
        <w:t xml:space="preserve">-Young, R. (1995): “Estimating the carbon transfer between the ocean, atmosphere and the terrestrial biosphere since the last glacial maximum”. </w:t>
      </w:r>
      <w:r w:rsidRPr="00CF22F3">
        <w:rPr>
          <w:i/>
        </w:rPr>
        <w:t>Terra Nova</w:t>
      </w:r>
      <w:r w:rsidRPr="00CF22F3">
        <w:t xml:space="preserve">, 7. </w:t>
      </w:r>
      <w:r>
        <w:t>358-</w:t>
      </w:r>
      <w:r w:rsidRPr="00CF22F3">
        <w:t>366.</w:t>
      </w:r>
    </w:p>
    <w:p w:rsidR="00D44AC3" w:rsidRDefault="00D44AC3" w:rsidP="008D06DE">
      <w:pPr>
        <w:spacing w:line="360" w:lineRule="auto"/>
        <w:jc w:val="both"/>
      </w:pPr>
    </w:p>
    <w:p w:rsidR="008D06DE" w:rsidRPr="00CF22F3" w:rsidRDefault="008D06DE" w:rsidP="008D06DE">
      <w:pPr>
        <w:spacing w:line="360" w:lineRule="auto"/>
        <w:jc w:val="both"/>
      </w:pPr>
      <w:r w:rsidRPr="00CF22F3">
        <w:t>Mateus, J. (1984): “Intervenção arqueológica de emergência na estação paleolítica da</w:t>
      </w:r>
      <w:r>
        <w:t xml:space="preserve"> Estrada do Prado (</w:t>
      </w:r>
      <w:proofErr w:type="gramStart"/>
      <w:r>
        <w:t>Tomar)</w:t>
      </w:r>
      <w:proofErr w:type="gramEnd"/>
      <w:r>
        <w:t>”.</w:t>
      </w:r>
      <w:r w:rsidRPr="00CF22F3">
        <w:t xml:space="preserve"> </w:t>
      </w:r>
      <w:r w:rsidRPr="00CF22F3">
        <w:rPr>
          <w:i/>
        </w:rPr>
        <w:t>Informação Arqueológica</w:t>
      </w:r>
      <w:r w:rsidRPr="00CF22F3">
        <w:t>, 4. Lisboa. 158-164.</w:t>
      </w:r>
    </w:p>
    <w:p w:rsidR="00D44AC3" w:rsidRDefault="00D44AC3" w:rsidP="008D06DE">
      <w:pPr>
        <w:autoSpaceDE w:val="0"/>
        <w:autoSpaceDN w:val="0"/>
        <w:adjustRightInd w:val="0"/>
        <w:spacing w:line="360" w:lineRule="auto"/>
        <w:jc w:val="both"/>
      </w:pPr>
    </w:p>
    <w:p w:rsidR="008D06DE" w:rsidRPr="00CF22F3" w:rsidRDefault="008D06DE" w:rsidP="008D06DE">
      <w:pPr>
        <w:autoSpaceDE w:val="0"/>
        <w:autoSpaceDN w:val="0"/>
        <w:adjustRightInd w:val="0"/>
        <w:spacing w:line="360" w:lineRule="auto"/>
        <w:jc w:val="both"/>
      </w:pPr>
      <w:r w:rsidRPr="00CF22F3">
        <w:t>Matias, H. (2012</w:t>
      </w:r>
      <w:r>
        <w:t>):</w:t>
      </w:r>
      <w:r w:rsidRPr="00CF22F3">
        <w:t xml:space="preserve"> “</w:t>
      </w:r>
      <w:r w:rsidRPr="00CF22F3">
        <w:rPr>
          <w:iCs/>
        </w:rPr>
        <w:t>O aprovisionamento de matérias</w:t>
      </w:r>
      <w:r w:rsidRPr="00CF22F3">
        <w:rPr>
          <w:rFonts w:eastAsia="MS Mincho" w:hAnsi="MS Mincho"/>
        </w:rPr>
        <w:t>‑</w:t>
      </w:r>
      <w:r w:rsidRPr="00CF22F3">
        <w:rPr>
          <w:iCs/>
        </w:rPr>
        <w:t xml:space="preserve">primas líticas na Gruta da Oliveira (Torres </w:t>
      </w:r>
      <w:proofErr w:type="gramStart"/>
      <w:r w:rsidRPr="00CF22F3">
        <w:rPr>
          <w:iCs/>
        </w:rPr>
        <w:t>Novas)</w:t>
      </w:r>
      <w:proofErr w:type="gramEnd"/>
      <w:r w:rsidRPr="00CF22F3">
        <w:rPr>
          <w:iCs/>
        </w:rPr>
        <w:t>”</w:t>
      </w:r>
      <w:r w:rsidRPr="00CF22F3">
        <w:t>. Tese de Mestrado. Faculdade de Ciências. Universidade de Lisboa.</w:t>
      </w:r>
    </w:p>
    <w:p w:rsidR="008D06DE" w:rsidRPr="00CF22F3" w:rsidRDefault="008D06DE" w:rsidP="008D06DE">
      <w:pPr>
        <w:autoSpaceDE w:val="0"/>
        <w:autoSpaceDN w:val="0"/>
        <w:adjustRightInd w:val="0"/>
        <w:spacing w:line="360" w:lineRule="auto"/>
        <w:jc w:val="both"/>
      </w:pPr>
    </w:p>
    <w:p w:rsidR="008D06DE" w:rsidRPr="00CF22F3" w:rsidRDefault="008D06DE" w:rsidP="008D06DE">
      <w:pPr>
        <w:spacing w:line="360" w:lineRule="auto"/>
        <w:jc w:val="both"/>
        <w:rPr>
          <w:lang w:val="fr-FR"/>
        </w:rPr>
      </w:pPr>
      <w:r w:rsidRPr="00CF22F3">
        <w:lastRenderedPageBreak/>
        <w:t xml:space="preserve">Meireles, J. e Texier J-P. </w:t>
      </w:r>
      <w:r w:rsidRPr="00CF22F3">
        <w:rPr>
          <w:lang w:val="fr-FR"/>
        </w:rPr>
        <w:t xml:space="preserve">(2000): </w:t>
      </w:r>
      <w:r w:rsidRPr="001E2BD5">
        <w:rPr>
          <w:lang w:val="fr-FR"/>
        </w:rPr>
        <w:t>“</w:t>
      </w:r>
      <w:r w:rsidRPr="00CF22F3">
        <w:rPr>
          <w:lang w:val="fr-FR"/>
        </w:rPr>
        <w:t>Etude morpho-stratigraphique des dépôts litt</w:t>
      </w:r>
      <w:r>
        <w:rPr>
          <w:lang w:val="fr-FR"/>
        </w:rPr>
        <w:t>oraux du Minho (NW du Portugal)</w:t>
      </w:r>
      <w:r w:rsidRPr="001E2BD5">
        <w:rPr>
          <w:lang w:val="fr-FR"/>
        </w:rPr>
        <w:t>”</w:t>
      </w:r>
      <w:r w:rsidRPr="00CF22F3">
        <w:rPr>
          <w:lang w:val="fr-FR"/>
        </w:rPr>
        <w:t xml:space="preserve">. </w:t>
      </w:r>
      <w:r w:rsidRPr="00CF22F3">
        <w:rPr>
          <w:i/>
          <w:iCs/>
          <w:lang w:val="fr-FR"/>
        </w:rPr>
        <w:t>Quaternaire</w:t>
      </w:r>
      <w:r w:rsidRPr="00CF22F3">
        <w:rPr>
          <w:lang w:val="fr-FR"/>
        </w:rPr>
        <w:t>, 11, 1. 21-29.</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Mejias, </w:t>
      </w:r>
      <w:proofErr w:type="gramStart"/>
      <w:r w:rsidRPr="00CF22F3">
        <w:t>D.</w:t>
      </w:r>
      <w:proofErr w:type="gramEnd"/>
      <w:r w:rsidRPr="00CF22F3">
        <w:t xml:space="preserve"> (2009): “Tecnocomplejos del Pleistoceno en la cuenca media-baja del Tajo: el yacimiento Vendimia en la penillanura del Salor, </w:t>
      </w:r>
      <w:proofErr w:type="gramStart"/>
      <w:r w:rsidRPr="00CF22F3">
        <w:t>zona y afluente integrados</w:t>
      </w:r>
      <w:proofErr w:type="gramEnd"/>
      <w:r w:rsidRPr="00CF22F3">
        <w:t xml:space="preserve">”. Tese de </w:t>
      </w:r>
      <w:proofErr w:type="gramStart"/>
      <w:r w:rsidRPr="00CF22F3">
        <w:t xml:space="preserve">doutoramento.  </w:t>
      </w:r>
      <w:proofErr w:type="gramEnd"/>
      <w:r w:rsidRPr="00CF22F3">
        <w:t>Área de Prehistoria, Departamento de Geografia e Historia. Universidad Rovira y Virgili</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proofErr w:type="gramStart"/>
      <w:r w:rsidRPr="00CF22F3">
        <w:rPr>
          <w:lang w:val="en-US"/>
        </w:rPr>
        <w:t>Moncel, M-H.</w:t>
      </w:r>
      <w:proofErr w:type="gramEnd"/>
      <w:r w:rsidRPr="00CF22F3">
        <w:rPr>
          <w:lang w:val="en-US"/>
        </w:rPr>
        <w:t xml:space="preserve"> Moigne, A-M.</w:t>
      </w:r>
      <w:proofErr w:type="gramStart"/>
      <w:r w:rsidRPr="00CF22F3">
        <w:rPr>
          <w:lang w:val="en-US"/>
        </w:rPr>
        <w:t>,  Sam,Y</w:t>
      </w:r>
      <w:proofErr w:type="gramEnd"/>
      <w:r w:rsidRPr="00CF22F3">
        <w:rPr>
          <w:lang w:val="en-US"/>
        </w:rPr>
        <w:t>., e Combier, J.  (2011):</w:t>
      </w:r>
      <w:r>
        <w:rPr>
          <w:lang w:val="en-US"/>
        </w:rPr>
        <w:t xml:space="preserve"> </w:t>
      </w:r>
      <w:proofErr w:type="gramStart"/>
      <w:r w:rsidRPr="00CF22F3">
        <w:rPr>
          <w:lang w:val="en-US"/>
        </w:rPr>
        <w:t>“ The</w:t>
      </w:r>
      <w:proofErr w:type="gramEnd"/>
      <w:r w:rsidRPr="00CF22F3">
        <w:rPr>
          <w:lang w:val="en-US"/>
        </w:rPr>
        <w:t xml:space="preserve"> Emergence of Neanderthal Technical Behavior: New Evidence from Orgnac 3 (Level 1, MIS 8), Southeastern France”.  </w:t>
      </w:r>
      <w:proofErr w:type="gramStart"/>
      <w:r w:rsidRPr="00CF22F3">
        <w:rPr>
          <w:i/>
          <w:lang w:val="en-US"/>
        </w:rPr>
        <w:t>Current Anthropology</w:t>
      </w:r>
      <w:r w:rsidRPr="00CF22F3">
        <w:rPr>
          <w:lang w:val="en-US"/>
        </w:rPr>
        <w:t>, 52, 1.</w:t>
      </w:r>
      <w:proofErr w:type="gramEnd"/>
      <w:r w:rsidRPr="00CF22F3">
        <w:rPr>
          <w:lang w:val="en-US"/>
        </w:rPr>
        <w:t xml:space="preserve"> </w:t>
      </w:r>
      <w:proofErr w:type="gramStart"/>
      <w:r w:rsidRPr="00CF22F3">
        <w:rPr>
          <w:lang w:val="en-US"/>
        </w:rPr>
        <w:t>37-75.</w:t>
      </w:r>
      <w:proofErr w:type="gramEnd"/>
    </w:p>
    <w:p w:rsidR="00A045DA" w:rsidRDefault="00A045DA"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Moncel, M-H</w:t>
      </w:r>
      <w:r>
        <w:rPr>
          <w:lang w:val="en-US"/>
        </w:rPr>
        <w:t xml:space="preserve"> </w:t>
      </w:r>
      <w:proofErr w:type="gramStart"/>
      <w:r>
        <w:rPr>
          <w:lang w:val="en-US"/>
        </w:rPr>
        <w:t>e</w:t>
      </w:r>
      <w:r w:rsidRPr="00CF22F3">
        <w:rPr>
          <w:lang w:val="en-US"/>
        </w:rPr>
        <w:t xml:space="preserve">  Daujeard</w:t>
      </w:r>
      <w:proofErr w:type="gramEnd"/>
      <w:r w:rsidRPr="00CF22F3">
        <w:rPr>
          <w:lang w:val="en-US"/>
        </w:rPr>
        <w:t>, C. (2012): “The variability of the Middle Palaeolithic on the right bank of the Middle Rhône Valley (southeast France): Technical traditions or functional choices?”.</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103-124.</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fr-FR"/>
        </w:rPr>
      </w:pPr>
      <w:proofErr w:type="gramStart"/>
      <w:r w:rsidRPr="0086102E">
        <w:rPr>
          <w:lang w:val="en-US"/>
        </w:rPr>
        <w:t>Moncel, M-H., Puaud, S., Daujeard, C., Lartigot-Campin, A-S.</w:t>
      </w:r>
      <w:proofErr w:type="gramEnd"/>
      <w:r w:rsidRPr="0086102E">
        <w:rPr>
          <w:lang w:val="en-US"/>
        </w:rPr>
        <w:t xml:space="preserve"> </w:t>
      </w:r>
      <w:r w:rsidRPr="00CF22F3">
        <w:rPr>
          <w:lang w:val="fr-FR"/>
        </w:rPr>
        <w:t xml:space="preserve">Millet, J-J. Theodoropoulou, A., Crégut-Bonnoure, E. Gély, B. Vercoutère, C. Desclaux, E. </w:t>
      </w:r>
      <w:proofErr w:type="gramStart"/>
      <w:r w:rsidRPr="00CF22F3">
        <w:rPr>
          <w:lang w:val="fr-FR"/>
        </w:rPr>
        <w:t>Roger ,T</w:t>
      </w:r>
      <w:proofErr w:type="gramEnd"/>
      <w:r w:rsidRPr="00CF22F3">
        <w:rPr>
          <w:lang w:val="fr-FR"/>
        </w:rPr>
        <w:t>. e Bourges, F.</w:t>
      </w:r>
      <w:r>
        <w:rPr>
          <w:lang w:val="fr-FR"/>
        </w:rPr>
        <w:t xml:space="preserve"> </w:t>
      </w:r>
      <w:r w:rsidRPr="00CF22F3">
        <w:rPr>
          <w:lang w:val="fr-FR"/>
        </w:rPr>
        <w:t xml:space="preserve">(2012): “La Grotte du Figuier (Saint-Martin-d’Ardèche): Bilan des travaux récents sur un site du Paléolithique moyen et supérieur de la moyenne vallée du Rhône (Sud-Est de la France)”. </w:t>
      </w:r>
      <w:r w:rsidRPr="00CF22F3">
        <w:rPr>
          <w:i/>
          <w:lang w:val="fr-FR"/>
        </w:rPr>
        <w:t>Bulletin de la Société Prehistorique Francaise</w:t>
      </w:r>
      <w:r w:rsidRPr="00CF22F3">
        <w:rPr>
          <w:lang w:val="fr-FR"/>
        </w:rPr>
        <w:t>,  109,</w:t>
      </w:r>
      <w:r>
        <w:rPr>
          <w:lang w:val="fr-FR"/>
        </w:rPr>
        <w:t xml:space="preserve"> 1.</w:t>
      </w:r>
      <w:r w:rsidRPr="00CF22F3">
        <w:rPr>
          <w:lang w:val="fr-FR"/>
        </w:rPr>
        <w:t xml:space="preserve"> 35-67.</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fr-FR"/>
        </w:rPr>
      </w:pPr>
      <w:r w:rsidRPr="001E2BD5">
        <w:rPr>
          <w:lang w:val="en-US"/>
        </w:rPr>
        <w:t xml:space="preserve">Monnier, G.F. (2006): “The Lower/Middle Paleolithic periodization in Western Europe”. </w:t>
      </w:r>
      <w:r w:rsidRPr="00CF22F3">
        <w:rPr>
          <w:i/>
          <w:lang w:val="fr-FR"/>
        </w:rPr>
        <w:t>Current Anthropology</w:t>
      </w:r>
      <w:r>
        <w:rPr>
          <w:lang w:val="fr-FR"/>
        </w:rPr>
        <w:t>, 47. 709-</w:t>
      </w:r>
      <w:r w:rsidRPr="00CF22F3">
        <w:rPr>
          <w:lang w:val="fr-FR"/>
        </w:rPr>
        <w:t xml:space="preserve">744. </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fr-FR"/>
        </w:rPr>
      </w:pPr>
      <w:r w:rsidRPr="00CF22F3">
        <w:rPr>
          <w:lang w:val="en-US"/>
        </w:rPr>
        <w:t>Monnier, J-L., Hallégouët, B., Hinguant, S., Laurent, M., Auguste,P., Bahain,J_J., Falguères, C., Gebhardt, A., Marguerie, D., Molines, N., Morzadec, H. e Yokoyama, Y. (1994): “A new regional group of the Lower Palaeolithic in Brittany (France), recently dated by Electron Spin Resonance</w:t>
      </w:r>
      <w:r>
        <w:rPr>
          <w:lang w:val="en-US"/>
        </w:rPr>
        <w:t>”</w:t>
      </w:r>
      <w:r w:rsidRPr="001E2BD5">
        <w:rPr>
          <w:lang w:val="en-US"/>
        </w:rPr>
        <w:t xml:space="preserve">. </w:t>
      </w:r>
      <w:r w:rsidRPr="00CF22F3">
        <w:rPr>
          <w:i/>
          <w:lang w:val="fr-FR"/>
        </w:rPr>
        <w:t>C.R. Acad. Sci. Paris</w:t>
      </w:r>
      <w:r>
        <w:rPr>
          <w:lang w:val="fr-FR"/>
        </w:rPr>
        <w:t xml:space="preserve">, 319, série II. </w:t>
      </w:r>
      <w:r w:rsidRPr="00CF22F3">
        <w:rPr>
          <w:lang w:val="fr-FR"/>
        </w:rPr>
        <w:t>155 -160,</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Monnier, J.-L., Hallégouët, B., Hinguant, S., e Molines, N. (2001): </w:t>
      </w:r>
      <w:r w:rsidRPr="001E2BD5">
        <w:rPr>
          <w:lang w:val="fr-FR"/>
        </w:rPr>
        <w:t>“</w:t>
      </w:r>
      <w:r w:rsidRPr="00CF22F3">
        <w:rPr>
          <w:lang w:val="fr-FR"/>
        </w:rPr>
        <w:t xml:space="preserve">La datation de l’habitat Paléolithique inférieur de Menez-Dregan 1 (Plouhinec, Finistère, France). Argumentation géologique et archéologique”. </w:t>
      </w:r>
      <w:r w:rsidRPr="001E2BD5">
        <w:rPr>
          <w:i/>
          <w:lang w:val="fr-FR"/>
        </w:rPr>
        <w:t>In</w:t>
      </w:r>
      <w:r w:rsidRPr="00CF22F3">
        <w:rPr>
          <w:lang w:val="fr-FR"/>
        </w:rPr>
        <w:t xml:space="preserve">: Barradon, J.N., Guibert, P., Michel, </w:t>
      </w:r>
      <w:r w:rsidRPr="00CF22F3">
        <w:rPr>
          <w:lang w:val="fr-FR"/>
        </w:rPr>
        <w:lastRenderedPageBreak/>
        <w:t>V., Eds</w:t>
      </w:r>
      <w:proofErr w:type="gramStart"/>
      <w:r w:rsidRPr="00CF22F3">
        <w:rPr>
          <w:lang w:val="fr-FR"/>
        </w:rPr>
        <w:t>..</w:t>
      </w:r>
      <w:proofErr w:type="gramEnd"/>
      <w:r w:rsidRPr="00CF22F3">
        <w:rPr>
          <w:lang w:val="fr-FR"/>
        </w:rPr>
        <w:t xml:space="preserve"> XXI Rencontres Internationales d’Archéologie et d’Histoire d’Antibes. APDCA. 261-277.</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Mora, R., Martínez-Moreno, J. e Casanova. J. (2008): “Abordando la noción de “variabilidad musteriense” en Roca dels Bous (Prepirineo suroriental, </w:t>
      </w:r>
      <w:proofErr w:type="gramStart"/>
      <w:r w:rsidRPr="00CF22F3">
        <w:t>Lleida)</w:t>
      </w:r>
      <w:proofErr w:type="gramEnd"/>
      <w:r w:rsidRPr="00CF22F3">
        <w:t xml:space="preserve">”. </w:t>
      </w:r>
      <w:r w:rsidRPr="00CF22F3">
        <w:rPr>
          <w:i/>
        </w:rPr>
        <w:t>Trabajos de Prehistoria</w:t>
      </w:r>
      <w:r w:rsidRPr="00CF22F3">
        <w:t>, 65, 2. 13-28</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Mosquera, M. (1995): “Procesos </w:t>
      </w:r>
      <w:proofErr w:type="gramStart"/>
      <w:r w:rsidRPr="00CF22F3">
        <w:t>técnicos y variabilidad en la industria</w:t>
      </w:r>
      <w:proofErr w:type="gramEnd"/>
      <w:r w:rsidRPr="00CF22F3">
        <w:t xml:space="preserve"> lítica del Plesitocenomedio de la Meseta: Sierra de Atapuerca, Torralba, Ambrona y Aridos”. Tese de doutoramento, Departamento de Prehistoria, Universidad Complutense.</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Mourre, V., Chalard, P., Colonge, D., Jarry, M., Lelouvier, L-A., Servelle, C. e Turq, A.</w:t>
      </w:r>
      <w:r>
        <w:rPr>
          <w:lang w:val="fr-FR"/>
        </w:rPr>
        <w:t xml:space="preserve"> </w:t>
      </w:r>
      <w:r w:rsidRPr="00CF22F3">
        <w:rPr>
          <w:lang w:val="fr-FR"/>
        </w:rPr>
        <w:t xml:space="preserve">(2007): “L’Industrie lithique des Bosses”. </w:t>
      </w:r>
      <w:r w:rsidRPr="001E2BD5">
        <w:rPr>
          <w:i/>
          <w:lang w:val="fr-FR"/>
        </w:rPr>
        <w:t>In</w:t>
      </w:r>
      <w:r w:rsidRPr="00CF22F3">
        <w:rPr>
          <w:lang w:val="fr-FR"/>
        </w:rPr>
        <w:t xml:space="preserve">: Les Bosses (Lamagdelaine, Lot, France): un gisement Paléolithique moyen anterieur à l’avant-dernier Interglaciaire sur la moyenne terrasse du Lot, Jarry, M., Colonge, D., Lelouvier, L-A. e Mourre, V. eds. </w:t>
      </w:r>
      <w:r w:rsidRPr="00CF22F3">
        <w:rPr>
          <w:i/>
          <w:lang w:val="fr-FR"/>
        </w:rPr>
        <w:t>Travaux</w:t>
      </w:r>
      <w:r w:rsidRPr="00CF22F3">
        <w:rPr>
          <w:lang w:val="fr-FR"/>
        </w:rPr>
        <w:t>, 7. Société Préhistorique Francaise. 43-119.</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Mozzi, P., Azevedo, M.T.</w:t>
      </w:r>
      <w:proofErr w:type="gramStart"/>
      <w:r w:rsidRPr="00CF22F3">
        <w:rPr>
          <w:lang w:val="en-US"/>
        </w:rPr>
        <w:t>,  Nune</w:t>
      </w:r>
      <w:r>
        <w:rPr>
          <w:lang w:val="en-US"/>
        </w:rPr>
        <w:t>s</w:t>
      </w:r>
      <w:proofErr w:type="gramEnd"/>
      <w:r>
        <w:rPr>
          <w:lang w:val="en-US"/>
        </w:rPr>
        <w:t>, E. e Raposo, L.</w:t>
      </w:r>
      <w:r w:rsidRPr="00CF22F3">
        <w:rPr>
          <w:lang w:val="en-US"/>
        </w:rPr>
        <w:t xml:space="preserve"> (2000): “Middle Terrace Deposits of the Tagus River in Alpiarça, Portugal, in Relation to Early Human Occupation”. </w:t>
      </w:r>
      <w:proofErr w:type="gramStart"/>
      <w:r w:rsidRPr="00CF22F3">
        <w:rPr>
          <w:i/>
          <w:lang w:val="en-US"/>
        </w:rPr>
        <w:t>Quaternary Research</w:t>
      </w:r>
      <w:r w:rsidRPr="00CF22F3">
        <w:rPr>
          <w:lang w:val="en-US"/>
        </w:rPr>
        <w:t xml:space="preserve">, </w:t>
      </w:r>
      <w:r>
        <w:rPr>
          <w:lang w:val="en-US"/>
        </w:rPr>
        <w:t>54.</w:t>
      </w:r>
      <w:proofErr w:type="gramEnd"/>
      <w:r>
        <w:rPr>
          <w:lang w:val="en-US"/>
        </w:rPr>
        <w:t xml:space="preserve"> </w:t>
      </w:r>
      <w:proofErr w:type="gramStart"/>
      <w:r>
        <w:rPr>
          <w:lang w:val="en-US"/>
        </w:rPr>
        <w:t>359-</w:t>
      </w:r>
      <w:r w:rsidRPr="00CF22F3">
        <w:rPr>
          <w:lang w:val="en-US"/>
        </w:rPr>
        <w:t>371.</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Murray, A. S., Marten, R., Johnston, </w:t>
      </w:r>
      <w:proofErr w:type="gramStart"/>
      <w:r w:rsidRPr="00CF22F3">
        <w:rPr>
          <w:lang w:val="en-US"/>
        </w:rPr>
        <w:t>A</w:t>
      </w:r>
      <w:proofErr w:type="gramEnd"/>
      <w:r w:rsidRPr="00CF22F3">
        <w:rPr>
          <w:lang w:val="en-US"/>
        </w:rPr>
        <w:t xml:space="preserve"> e Martin, P. (1987): “Analysis for naturally occurring radionuclides at environmental concentrations by gamma spectrometry”. </w:t>
      </w:r>
      <w:proofErr w:type="gramStart"/>
      <w:r w:rsidRPr="00CF22F3">
        <w:rPr>
          <w:i/>
          <w:lang w:val="en-US"/>
        </w:rPr>
        <w:t>Journal of Radioanalytical and Nuclear Chemistry</w:t>
      </w:r>
      <w:r w:rsidRPr="00CF22F3">
        <w:rPr>
          <w:lang w:val="en-US"/>
        </w:rPr>
        <w:t>, 115.</w:t>
      </w:r>
      <w:proofErr w:type="gramEnd"/>
      <w:r w:rsidRPr="00CF22F3">
        <w:rPr>
          <w:lang w:val="en-US"/>
        </w:rPr>
        <w:t xml:space="preserve"> </w:t>
      </w:r>
      <w:proofErr w:type="gramStart"/>
      <w:r>
        <w:rPr>
          <w:lang w:val="en-US"/>
        </w:rPr>
        <w:t>263-</w:t>
      </w:r>
      <w:r w:rsidRPr="00CF22F3">
        <w:rPr>
          <w:lang w:val="en-US"/>
        </w:rPr>
        <w:t>288.</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Murray, A. S.e </w:t>
      </w:r>
      <w:r>
        <w:rPr>
          <w:lang w:val="en-US"/>
        </w:rPr>
        <w:t>Wintle, A. G. (2003): “</w:t>
      </w:r>
      <w:r w:rsidRPr="00CF22F3">
        <w:rPr>
          <w:lang w:val="en-US"/>
        </w:rPr>
        <w:t>The single aliquot regeneration dose protocol: potential for improvements in reliability</w:t>
      </w:r>
      <w:r>
        <w:rPr>
          <w:lang w:val="en-US"/>
        </w:rPr>
        <w:t>”</w:t>
      </w:r>
      <w:r w:rsidRPr="00CF22F3">
        <w:rPr>
          <w:lang w:val="en-US"/>
        </w:rPr>
        <w:t xml:space="preserve">. </w:t>
      </w:r>
      <w:r>
        <w:t>Radiation Measurements 37, 377-</w:t>
      </w:r>
      <w:r w:rsidRPr="00CF22F3">
        <w:t>381.</w:t>
      </w:r>
    </w:p>
    <w:p w:rsidR="00D44AC3" w:rsidRDefault="00D44AC3" w:rsidP="008D06DE">
      <w:pPr>
        <w:spacing w:line="360" w:lineRule="auto"/>
        <w:jc w:val="both"/>
      </w:pPr>
    </w:p>
    <w:p w:rsidR="008D06DE" w:rsidRPr="00CF22F3" w:rsidRDefault="008D06DE" w:rsidP="008D06DE">
      <w:pPr>
        <w:spacing w:line="360" w:lineRule="auto"/>
        <w:jc w:val="both"/>
      </w:pPr>
      <w:r w:rsidRPr="00CF22F3">
        <w:t>Paço, A. (1934): “Carta Paleolítica e Epipaleolítica de Portugal”. Trabalhos da Associação dos Arqueólogos Portugueses, Vol. I, Lisboa. 23-47.</w:t>
      </w:r>
    </w:p>
    <w:p w:rsidR="00D44AC3" w:rsidRDefault="00D44AC3" w:rsidP="008D06DE">
      <w:pPr>
        <w:spacing w:line="360" w:lineRule="auto"/>
        <w:jc w:val="both"/>
      </w:pPr>
    </w:p>
    <w:p w:rsidR="008D06DE" w:rsidRPr="00CF22F3" w:rsidRDefault="008D06DE" w:rsidP="008D06DE">
      <w:pPr>
        <w:spacing w:line="360" w:lineRule="auto"/>
        <w:jc w:val="both"/>
      </w:pPr>
      <w:r w:rsidRPr="00CF22F3">
        <w:t>Paço, A. (1940): “Revisões dos Problemas do Paleolítico, Mesolítico e Asturiense”. Congresso do mundo português, 1º Congresso,</w:t>
      </w:r>
      <w:r>
        <w:t xml:space="preserve"> </w:t>
      </w:r>
      <w:r w:rsidRPr="00CF22F3">
        <w:t>Lisboa, 131-158.</w:t>
      </w:r>
    </w:p>
    <w:p w:rsidR="00D44AC3" w:rsidRDefault="00D44AC3" w:rsidP="008D06DE">
      <w:pPr>
        <w:spacing w:line="360" w:lineRule="auto"/>
        <w:jc w:val="both"/>
      </w:pPr>
    </w:p>
    <w:p w:rsidR="008D06DE" w:rsidRPr="00CF22F3" w:rsidRDefault="008D06DE" w:rsidP="008D06DE">
      <w:pPr>
        <w:spacing w:line="360" w:lineRule="auto"/>
        <w:jc w:val="both"/>
      </w:pPr>
      <w:r w:rsidRPr="00CF22F3">
        <w:lastRenderedPageBreak/>
        <w:t>Paço, A. (1950): “Carta Arqueológica do Concelho de Marvão”, C. M. Marvão.</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Pailler, D. e Bard, E. (2002):  “High frequency palaeoceanographic changes during the past 140 000 yr recorded by the organic matter in s</w:t>
      </w:r>
      <w:r>
        <w:rPr>
          <w:lang w:val="en-US"/>
        </w:rPr>
        <w:t>ediments of the Iberian Margin”.</w:t>
      </w:r>
      <w:r w:rsidRPr="00CF22F3">
        <w:rPr>
          <w:lang w:val="en-US"/>
        </w:rPr>
        <w:t xml:space="preserve"> </w:t>
      </w:r>
      <w:r w:rsidRPr="00CF22F3">
        <w:rPr>
          <w:i/>
          <w:lang w:val="en-US"/>
        </w:rPr>
        <w:t>Palaeogeography, Palaeoclimatology, Palaeoecology</w:t>
      </w:r>
      <w:r w:rsidRPr="00CF22F3">
        <w:rPr>
          <w:lang w:val="en-US"/>
        </w:rPr>
        <w:t>, 181, 431-452.</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fr-FR"/>
        </w:rPr>
      </w:pPr>
      <w:r w:rsidRPr="00CF22F3">
        <w:rPr>
          <w:lang w:val="en-US"/>
        </w:rPr>
        <w:t>Pawlik, A.F.</w:t>
      </w:r>
      <w:r>
        <w:rPr>
          <w:lang w:val="en-US"/>
        </w:rPr>
        <w:t xml:space="preserve"> e</w:t>
      </w:r>
      <w:r w:rsidRPr="00CF22F3">
        <w:rPr>
          <w:lang w:val="en-US"/>
        </w:rPr>
        <w:t xml:space="preserve"> Thissen, J.P. (2011): “Hafted armatures and multi-component tool design at the Micoquian site of Inden-altdorf, Germany”. </w:t>
      </w:r>
      <w:r w:rsidRPr="00CF22F3">
        <w:rPr>
          <w:i/>
          <w:lang w:val="fr-FR"/>
        </w:rPr>
        <w:t>Journal of Archaeological Science</w:t>
      </w:r>
      <w:r w:rsidRPr="00CF22F3">
        <w:rPr>
          <w:lang w:val="fr-FR"/>
        </w:rPr>
        <w:t>, 38 .1699-1708</w:t>
      </w:r>
    </w:p>
    <w:p w:rsidR="00A045DA" w:rsidRDefault="00A045DA" w:rsidP="008D06DE">
      <w:pPr>
        <w:spacing w:line="360" w:lineRule="auto"/>
        <w:jc w:val="both"/>
        <w:rPr>
          <w:lang w:val="fr-FR"/>
        </w:rPr>
      </w:pPr>
    </w:p>
    <w:p w:rsidR="008D06DE" w:rsidRPr="00CF22F3" w:rsidRDefault="008D06DE" w:rsidP="008D06DE">
      <w:pPr>
        <w:spacing w:line="360" w:lineRule="auto"/>
        <w:jc w:val="both"/>
      </w:pPr>
      <w:r w:rsidRPr="00CF22F3">
        <w:rPr>
          <w:lang w:val="fr-FR"/>
        </w:rPr>
        <w:t>Pelegrin, J., Karlin, C e Bodu, P.</w:t>
      </w:r>
      <w:r>
        <w:rPr>
          <w:lang w:val="fr-FR"/>
        </w:rPr>
        <w:t xml:space="preserve"> </w:t>
      </w:r>
      <w:r w:rsidRPr="00CF22F3">
        <w:rPr>
          <w:lang w:val="fr-FR"/>
        </w:rPr>
        <w:t>(1988): “Chaines Opératoires: un Outil pour le P</w:t>
      </w:r>
      <w:r>
        <w:rPr>
          <w:lang w:val="fr-FR"/>
        </w:rPr>
        <w:t>réhistorien</w:t>
      </w:r>
      <w:r w:rsidRPr="005E5682">
        <w:rPr>
          <w:lang w:val="fr-FR"/>
        </w:rPr>
        <w:t>”</w:t>
      </w:r>
      <w:r>
        <w:rPr>
          <w:lang w:val="fr-FR"/>
        </w:rPr>
        <w:t xml:space="preserve">. </w:t>
      </w:r>
      <w:r w:rsidRPr="001E2BD5">
        <w:rPr>
          <w:i/>
          <w:lang w:val="fr-FR"/>
        </w:rPr>
        <w:t>In</w:t>
      </w:r>
      <w:r>
        <w:rPr>
          <w:lang w:val="fr-FR"/>
        </w:rPr>
        <w:t xml:space="preserve">: Technologie Préhistorique, Texier, J. </w:t>
      </w:r>
      <w:proofErr w:type="gramStart"/>
      <w:r>
        <w:rPr>
          <w:lang w:val="fr-FR"/>
        </w:rPr>
        <w:t>ed</w:t>
      </w:r>
      <w:r w:rsidRPr="00CF22F3">
        <w:rPr>
          <w:lang w:val="fr-FR"/>
        </w:rPr>
        <w:t>.,</w:t>
      </w:r>
      <w:proofErr w:type="gramEnd"/>
      <w:r w:rsidRPr="00CF22F3">
        <w:rPr>
          <w:lang w:val="fr-FR"/>
        </w:rPr>
        <w:t xml:space="preserve"> Notes et Monographies Techniques du CRA, n°25. </w:t>
      </w:r>
      <w:r w:rsidRPr="00CF22F3">
        <w:t>Edition du CNRS. 55-62.</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Pereira, A. R. e Angelucci</w:t>
      </w:r>
      <w:r>
        <w:t>, D. E.</w:t>
      </w:r>
      <w:r w:rsidRPr="00CF22F3">
        <w:t xml:space="preserve"> (2004): “Formações dunares no litoral português, do final do Plistocénico e inícios do Holocénico, como indicadores paleoclimáticos e paleogeográficos”. </w:t>
      </w:r>
      <w:r w:rsidRPr="001E2BD5">
        <w:rPr>
          <w:i/>
        </w:rPr>
        <w:t>In</w:t>
      </w:r>
      <w:r w:rsidRPr="00CF22F3">
        <w:t xml:space="preserve">: Evolução geohistórica do litoral português e fenómenos correlativos. Geologia, História, Arqueologia e Climatologia. Tavares, A. A., Tavares, M. J. F. e Cardoso, J. L. eds., Universidade Aberta, Lisboa. </w:t>
      </w:r>
      <w:proofErr w:type="gramStart"/>
      <w:r w:rsidRPr="00CF22F3">
        <w:rPr>
          <w:lang w:val="en-US"/>
        </w:rPr>
        <w:t>221-256.</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Pereira, T. e Benedetti, M.M. (2013): “A model for raw material management as a response to local and global environmental constraints</w:t>
      </w:r>
      <w:r w:rsidRPr="00CF22F3">
        <w:rPr>
          <w:i/>
          <w:lang w:val="en-US"/>
        </w:rPr>
        <w:t xml:space="preserve">”. </w:t>
      </w:r>
      <w:proofErr w:type="gramStart"/>
      <w:r w:rsidRPr="00CF22F3">
        <w:rPr>
          <w:i/>
          <w:lang w:val="en-US"/>
        </w:rPr>
        <w:t>Quaternary International</w:t>
      </w:r>
      <w:r w:rsidRPr="00CF22F3">
        <w:rPr>
          <w:lang w:val="en-US"/>
        </w:rPr>
        <w:t xml:space="preserve">, </w:t>
      </w:r>
      <w:r>
        <w:rPr>
          <w:lang w:val="en-US"/>
        </w:rPr>
        <w:t>318, 18.</w:t>
      </w:r>
      <w:proofErr w:type="gramEnd"/>
      <w:r>
        <w:rPr>
          <w:lang w:val="en-US"/>
        </w:rPr>
        <w:t xml:space="preserve"> 19-</w:t>
      </w:r>
      <w:r w:rsidRPr="00CF22F3">
        <w:rPr>
          <w:lang w:val="en-US"/>
        </w:rPr>
        <w:t>32</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fr-FR"/>
        </w:rPr>
      </w:pPr>
      <w:r w:rsidRPr="00CF22F3">
        <w:rPr>
          <w:lang w:val="en-US"/>
        </w:rPr>
        <w:t>Peresani, M. (2012):</w:t>
      </w:r>
      <w:r>
        <w:rPr>
          <w:lang w:val="en-US"/>
        </w:rPr>
        <w:t xml:space="preserve"> </w:t>
      </w:r>
      <w:r w:rsidRPr="005E5682">
        <w:rPr>
          <w:lang w:val="en-US"/>
        </w:rPr>
        <w:t>“</w:t>
      </w:r>
      <w:r w:rsidRPr="00CF22F3">
        <w:rPr>
          <w:lang w:val="en-US"/>
        </w:rPr>
        <w:t>Fifty thousand years of flint knapping and tool shaping across the Mousterian and U</w:t>
      </w:r>
      <w:r>
        <w:rPr>
          <w:lang w:val="en-US"/>
        </w:rPr>
        <w:t>luzzian sequence of Fumane cave</w:t>
      </w:r>
      <w:r w:rsidRPr="00CF22F3">
        <w:rPr>
          <w:lang w:val="en-US"/>
        </w:rPr>
        <w:t>”</w:t>
      </w:r>
      <w:r>
        <w:rPr>
          <w:lang w:val="en-US"/>
        </w:rPr>
        <w:t>.</w:t>
      </w:r>
      <w:r w:rsidRPr="00CF22F3">
        <w:rPr>
          <w:lang w:val="en-US"/>
        </w:rPr>
        <w:t xml:space="preserve">  </w:t>
      </w:r>
      <w:proofErr w:type="gramStart"/>
      <w:r w:rsidRPr="001E2BD5">
        <w:rPr>
          <w:i/>
          <w:lang w:val="en-US"/>
        </w:rPr>
        <w:t>Quaternary International</w:t>
      </w:r>
      <w:r w:rsidRPr="001E2BD5">
        <w:rPr>
          <w:lang w:val="en-US"/>
        </w:rPr>
        <w:t>, 247.</w:t>
      </w:r>
      <w:proofErr w:type="gramEnd"/>
      <w:r w:rsidRPr="001E2BD5">
        <w:rPr>
          <w:lang w:val="en-US"/>
        </w:rPr>
        <w:t xml:space="preserve"> </w:t>
      </w:r>
      <w:r w:rsidRPr="00CF22F3">
        <w:rPr>
          <w:lang w:val="fr-FR"/>
        </w:rPr>
        <w:t>125-150.</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Perlés, C. (1990): </w:t>
      </w:r>
      <w:r w:rsidRPr="005E5682">
        <w:rPr>
          <w:lang w:val="fr-FR"/>
        </w:rPr>
        <w:t>“</w:t>
      </w:r>
      <w:r w:rsidRPr="00CF22F3">
        <w:rPr>
          <w:lang w:val="fr-FR"/>
        </w:rPr>
        <w:t xml:space="preserve"> L'outillage de pierre taillée néolithique en Grèce : approvisionnement et exploitation des matières premières”. </w:t>
      </w:r>
      <w:r w:rsidRPr="00CF22F3">
        <w:rPr>
          <w:i/>
          <w:lang w:val="fr-FR"/>
        </w:rPr>
        <w:t>Bulletin de correspondance hellénique</w:t>
      </w:r>
      <w:r w:rsidRPr="00CF22F3">
        <w:rPr>
          <w:lang w:val="fr-FR"/>
        </w:rPr>
        <w:t>.114,  1.1-42.</w:t>
      </w:r>
    </w:p>
    <w:p w:rsidR="00D44AC3" w:rsidRDefault="00D44AC3" w:rsidP="008D06DE">
      <w:pPr>
        <w:spacing w:line="360" w:lineRule="auto"/>
        <w:jc w:val="both"/>
        <w:rPr>
          <w:lang w:val="en-GB"/>
        </w:rPr>
      </w:pPr>
    </w:p>
    <w:p w:rsidR="008D06DE" w:rsidRPr="00CF22F3" w:rsidRDefault="008D06DE" w:rsidP="008D06DE">
      <w:pPr>
        <w:spacing w:line="360" w:lineRule="auto"/>
        <w:jc w:val="both"/>
        <w:rPr>
          <w:lang w:val="en-GB"/>
        </w:rPr>
      </w:pPr>
      <w:proofErr w:type="gramStart"/>
      <w:r w:rsidRPr="00CF22F3">
        <w:rPr>
          <w:lang w:val="en-GB"/>
        </w:rPr>
        <w:t>Picin, A., Peresani, M., Falgères, C., Gruppioni, G. e Bahain J-J.</w:t>
      </w:r>
      <w:proofErr w:type="gramEnd"/>
      <w:r w:rsidRPr="00CF22F3">
        <w:rPr>
          <w:lang w:val="en-GB"/>
        </w:rPr>
        <w:t xml:space="preserve"> (2013)</w:t>
      </w:r>
      <w:r w:rsidRPr="00CF22F3">
        <w:rPr>
          <w:lang w:val="en-US"/>
        </w:rPr>
        <w:t>:</w:t>
      </w:r>
      <w:r w:rsidRPr="00CF22F3">
        <w:rPr>
          <w:lang w:val="en-GB"/>
        </w:rPr>
        <w:t xml:space="preserve"> </w:t>
      </w:r>
      <w:r w:rsidRPr="005E5682">
        <w:rPr>
          <w:lang w:val="en-US"/>
        </w:rPr>
        <w:t>“</w:t>
      </w:r>
      <w:r w:rsidRPr="00CF22F3">
        <w:rPr>
          <w:lang w:val="en-GB"/>
        </w:rPr>
        <w:t xml:space="preserve">San Bernardino Cave (Italy) and the Appearance of Levallois Technology in Europe: </w:t>
      </w:r>
      <w:r w:rsidRPr="00CF22F3">
        <w:rPr>
          <w:lang w:val="en-GB"/>
        </w:rPr>
        <w:lastRenderedPageBreak/>
        <w:t>Results of a Radiometric and Technological Reassessment</w:t>
      </w:r>
      <w:r w:rsidRPr="005E5682">
        <w:rPr>
          <w:lang w:val="en-US"/>
        </w:rPr>
        <w:t>”</w:t>
      </w:r>
      <w:r w:rsidRPr="00CF22F3">
        <w:rPr>
          <w:lang w:val="en-GB"/>
        </w:rPr>
        <w:t>. PLoS ONE 8(10): e76182. doi:10.1371/journal.pone.0076182</w:t>
      </w:r>
    </w:p>
    <w:p w:rsidR="00D44AC3" w:rsidRDefault="00D44AC3" w:rsidP="008D06DE">
      <w:pPr>
        <w:spacing w:line="360" w:lineRule="auto"/>
        <w:jc w:val="both"/>
      </w:pPr>
    </w:p>
    <w:p w:rsidR="008D06DE" w:rsidRPr="00CF22F3" w:rsidRDefault="008D06DE" w:rsidP="008D06DE">
      <w:pPr>
        <w:spacing w:line="360" w:lineRule="auto"/>
        <w:jc w:val="both"/>
      </w:pPr>
      <w:r w:rsidRPr="00CF22F3">
        <w:t>Raposo, L. (1987): “Os Mais Antigos Vestígios de Ocupação Humana Paleolítica na Região de Ródão”. Da Pré-história à História - Homenagem a Octávio da Veiga Ferreira, Editorial Delta. 153-178.</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Raposo, L. (1993): “O Paleolítico Médio”. </w:t>
      </w:r>
      <w:r w:rsidRPr="007E759C">
        <w:rPr>
          <w:i/>
        </w:rPr>
        <w:t>In</w:t>
      </w:r>
      <w:r w:rsidRPr="00CF22F3">
        <w:t>: O quaternário em Portugal, problemas e perspectivas. Colibri, Lisboa. 147-161.</w:t>
      </w:r>
    </w:p>
    <w:p w:rsidR="00A045DA" w:rsidRDefault="00A045DA" w:rsidP="008D06DE">
      <w:pPr>
        <w:spacing w:line="360" w:lineRule="auto"/>
        <w:jc w:val="both"/>
      </w:pPr>
    </w:p>
    <w:p w:rsidR="008D06DE" w:rsidRPr="00CF22F3" w:rsidRDefault="008D06DE" w:rsidP="008D06DE">
      <w:pPr>
        <w:spacing w:line="360" w:lineRule="auto"/>
        <w:jc w:val="both"/>
      </w:pPr>
      <w:r w:rsidRPr="00CF22F3">
        <w:t>Raposo, L. (1995): “Ambientes, territorios y subsistência en el</w:t>
      </w:r>
      <w:r>
        <w:t xml:space="preserve"> Paleolítico médio de Portugal”.</w:t>
      </w:r>
      <w:r w:rsidRPr="00CF22F3">
        <w:t xml:space="preserve"> </w:t>
      </w:r>
      <w:r w:rsidRPr="00CF22F3">
        <w:rPr>
          <w:i/>
        </w:rPr>
        <w:t>Complutum</w:t>
      </w:r>
      <w:r>
        <w:t>, 6.</w:t>
      </w:r>
      <w:r w:rsidRPr="00CF22F3">
        <w:t xml:space="preserve"> 57-77.</w:t>
      </w:r>
      <w:r>
        <w:t xml:space="preserve"> </w:t>
      </w:r>
    </w:p>
    <w:p w:rsidR="00D44AC3" w:rsidRDefault="00D44AC3" w:rsidP="008D06DE">
      <w:pPr>
        <w:spacing w:line="360" w:lineRule="auto"/>
        <w:jc w:val="both"/>
      </w:pPr>
    </w:p>
    <w:p w:rsidR="008D06DE" w:rsidRPr="00CF22F3" w:rsidRDefault="008D06DE" w:rsidP="008D06DE">
      <w:pPr>
        <w:spacing w:line="360" w:lineRule="auto"/>
        <w:jc w:val="both"/>
      </w:pPr>
      <w:r w:rsidRPr="00CF22F3">
        <w:t>Raposo, L.</w:t>
      </w:r>
      <w:r>
        <w:t xml:space="preserve"> e</w:t>
      </w:r>
      <w:r w:rsidRPr="00CF22F3">
        <w:t xml:space="preserve"> Silva, A.C. (1985): “A campanha de escavações de 1982 em Vilas Ruivas”. </w:t>
      </w:r>
      <w:r w:rsidRPr="00FA50C6">
        <w:rPr>
          <w:i/>
        </w:rPr>
        <w:t>Informação Arqueológica</w:t>
      </w:r>
      <w:r w:rsidRPr="00CF22F3">
        <w:t>, 5. 70.</w:t>
      </w:r>
    </w:p>
    <w:p w:rsidR="00D44AC3" w:rsidRDefault="00D44AC3" w:rsidP="008D06DE">
      <w:pPr>
        <w:autoSpaceDE w:val="0"/>
        <w:autoSpaceDN w:val="0"/>
        <w:adjustRightInd w:val="0"/>
        <w:spacing w:line="360" w:lineRule="auto"/>
        <w:jc w:val="both"/>
      </w:pPr>
    </w:p>
    <w:p w:rsidR="008D06DE" w:rsidRPr="00CF22F3" w:rsidRDefault="008D06DE" w:rsidP="008D06DE">
      <w:pPr>
        <w:autoSpaceDE w:val="0"/>
        <w:autoSpaceDN w:val="0"/>
        <w:adjustRightInd w:val="0"/>
        <w:spacing w:line="360" w:lineRule="auto"/>
        <w:jc w:val="both"/>
      </w:pPr>
      <w:r w:rsidRPr="00CF22F3">
        <w:t>Raposo, L., Silva, A.C.</w:t>
      </w:r>
      <w:r>
        <w:t xml:space="preserve"> e</w:t>
      </w:r>
      <w:r w:rsidRPr="00CF22F3">
        <w:t xml:space="preserve"> Salvador, M. (1985): “Notícia da descoberta da estação Mustierense da Foz do Enxarrique (</w:t>
      </w:r>
      <w:proofErr w:type="gramStart"/>
      <w:r w:rsidRPr="00CF22F3">
        <w:t>Ródão)</w:t>
      </w:r>
      <w:proofErr w:type="gramEnd"/>
      <w:r w:rsidRPr="00CF22F3">
        <w:t>”. I Reunião do Quaternário Ibérico (P</w:t>
      </w:r>
      <w:r>
        <w:t>roceedings), Lisboa, vol. 2. 79-</w:t>
      </w:r>
      <w:r w:rsidRPr="00CF22F3">
        <w:t>90.</w:t>
      </w:r>
    </w:p>
    <w:p w:rsidR="00D44AC3" w:rsidRDefault="00D44AC3" w:rsidP="008D06DE">
      <w:pPr>
        <w:spacing w:line="360" w:lineRule="auto"/>
        <w:jc w:val="both"/>
      </w:pPr>
    </w:p>
    <w:p w:rsidR="008D06DE" w:rsidRPr="007E759C" w:rsidRDefault="008D06DE" w:rsidP="008D06DE">
      <w:pPr>
        <w:spacing w:line="360" w:lineRule="auto"/>
        <w:jc w:val="both"/>
        <w:rPr>
          <w:lang w:val="es-ES_tradnl"/>
        </w:rPr>
      </w:pPr>
      <w:r w:rsidRPr="00CF22F3">
        <w:t>Raposo, L. e Cardoso, J.L. (1998): “O Paleolítico méd</w:t>
      </w:r>
      <w:r>
        <w:t>io da Conceição (</w:t>
      </w:r>
      <w:proofErr w:type="gramStart"/>
      <w:r>
        <w:t>Alcochete)</w:t>
      </w:r>
      <w:proofErr w:type="gramEnd"/>
      <w:r>
        <w:t>”.</w:t>
      </w:r>
      <w:r w:rsidRPr="00CF22F3">
        <w:t xml:space="preserve"> </w:t>
      </w:r>
      <w:r w:rsidRPr="007E759C">
        <w:rPr>
          <w:lang w:val="es-ES_tradnl"/>
        </w:rPr>
        <w:t>Lusoponte/CEMA. Lisboa. (</w:t>
      </w:r>
      <w:proofErr w:type="gramStart"/>
      <w:r w:rsidRPr="007E759C">
        <w:rPr>
          <w:lang w:val="es-ES_tradnl"/>
        </w:rPr>
        <w:t>consultado</w:t>
      </w:r>
      <w:proofErr w:type="gramEnd"/>
      <w:r w:rsidRPr="007E759C">
        <w:rPr>
          <w:lang w:val="es-ES_tradnl"/>
        </w:rPr>
        <w:t xml:space="preserve"> em www.lusoponte.pt/arqueologia/)</w:t>
      </w:r>
    </w:p>
    <w:p w:rsidR="00D44AC3" w:rsidRDefault="00D44AC3" w:rsidP="008D06DE">
      <w:pPr>
        <w:spacing w:line="360" w:lineRule="auto"/>
        <w:jc w:val="both"/>
        <w:rPr>
          <w:lang w:val="es-ES_tradnl"/>
        </w:rPr>
      </w:pPr>
    </w:p>
    <w:p w:rsidR="008D06DE" w:rsidRPr="00CF22F3" w:rsidRDefault="008D06DE" w:rsidP="008D06DE">
      <w:pPr>
        <w:spacing w:line="360" w:lineRule="auto"/>
        <w:jc w:val="both"/>
      </w:pPr>
      <w:r w:rsidRPr="007E759C">
        <w:rPr>
          <w:lang w:val="es-ES_tradnl"/>
        </w:rPr>
        <w:t xml:space="preserve">Rasines, P. (2005): “El final de la Transición. Dataciones de las primeras ocupaciones del Paleolítico Superior en el centro de la Región Cantábrica”. </w:t>
      </w:r>
      <w:r w:rsidRPr="007E759C">
        <w:rPr>
          <w:i/>
          <w:lang w:val="es-ES_tradnl"/>
        </w:rPr>
        <w:t>Monografías</w:t>
      </w:r>
      <w:r w:rsidRPr="007E759C">
        <w:rPr>
          <w:lang w:val="es-ES_tradnl"/>
        </w:rPr>
        <w:t xml:space="preserve"> nº 20. Museo de Altamira.  </w:t>
      </w:r>
      <w:r w:rsidRPr="00CF22F3">
        <w:t>577-587</w:t>
      </w:r>
    </w:p>
    <w:p w:rsidR="00D44AC3" w:rsidRDefault="00D44AC3" w:rsidP="008D06DE">
      <w:pPr>
        <w:spacing w:line="360" w:lineRule="auto"/>
        <w:jc w:val="both"/>
        <w:rPr>
          <w:lang w:val="en-US"/>
        </w:rPr>
      </w:pPr>
    </w:p>
    <w:p w:rsidR="008D06DE" w:rsidRPr="00CF22F3" w:rsidRDefault="008D06DE" w:rsidP="008D06DE">
      <w:pPr>
        <w:spacing w:line="360" w:lineRule="auto"/>
        <w:jc w:val="both"/>
      </w:pPr>
      <w:proofErr w:type="gramStart"/>
      <w:r w:rsidRPr="00CF22F3">
        <w:rPr>
          <w:lang w:val="en-US"/>
        </w:rPr>
        <w:t>Rendu ,</w:t>
      </w:r>
      <w:proofErr w:type="gramEnd"/>
      <w:r w:rsidRPr="00CF22F3">
        <w:rPr>
          <w:lang w:val="en-US"/>
        </w:rPr>
        <w:t xml:space="preserve"> W, Costamagno S., Meignen ,L. e Soulier, M.-C. (2012): “Monospecific faunal spectra in Mousterian contexts: Implications for social behavior”. </w:t>
      </w:r>
      <w:r w:rsidRPr="00CF22F3">
        <w:rPr>
          <w:i/>
        </w:rPr>
        <w:t>Quaternary International</w:t>
      </w:r>
      <w:r w:rsidRPr="00CF22F3">
        <w:t>, 247. 50-58</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 xml:space="preserve">Ribeiro, O. Carvalho, H., Peres, A. e Fernandes, P. (1965): “Carta geológica de Portugal, escala1 /50000- Notícia explicativa da folha 28-B Nisa”. </w:t>
      </w:r>
      <w:proofErr w:type="gramStart"/>
      <w:r w:rsidRPr="00CF22F3">
        <w:rPr>
          <w:lang w:val="en-US"/>
        </w:rPr>
        <w:t>Serviços geológicos de Portugal.</w:t>
      </w:r>
      <w:proofErr w:type="gramEnd"/>
      <w:r w:rsidRPr="00CF22F3">
        <w:rPr>
          <w:lang w:val="en-US"/>
        </w:rPr>
        <w:t xml:space="preserve"> Lisboa</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Richter, D., e Thieme, H. (2012)</w:t>
      </w:r>
      <w:r w:rsidRPr="005E5682">
        <w:rPr>
          <w:lang w:val="en-US"/>
        </w:rPr>
        <w:t>:</w:t>
      </w:r>
      <w:r w:rsidRPr="00CF22F3">
        <w:rPr>
          <w:lang w:val="en-US"/>
        </w:rPr>
        <w:t xml:space="preserve"> “One first chronometric date for the Lower Palaeolithic occupation at Schoningen 13”. </w:t>
      </w:r>
      <w:r w:rsidRPr="007E759C">
        <w:rPr>
          <w:i/>
          <w:lang w:val="en-US"/>
        </w:rPr>
        <w:t>In</w:t>
      </w:r>
      <w:r w:rsidRPr="00CF22F3">
        <w:rPr>
          <w:lang w:val="en-US"/>
        </w:rPr>
        <w:t xml:space="preserve">: The chronological setting of the Palaeolithic Sites of Schőningen. </w:t>
      </w:r>
      <w:r w:rsidRPr="00CF22F3">
        <w:t>Forschungen zur Urgeschichte au</w:t>
      </w:r>
      <w:r>
        <w:t>s dem Tagebau von Schöningen, 1.</w:t>
      </w:r>
      <w:r w:rsidRPr="00CF22F3">
        <w:t xml:space="preserve"> 171-181.</w:t>
      </w:r>
    </w:p>
    <w:p w:rsidR="00D44AC3" w:rsidRDefault="00D44AC3" w:rsidP="008D06DE">
      <w:pPr>
        <w:spacing w:line="360" w:lineRule="auto"/>
        <w:jc w:val="both"/>
      </w:pPr>
    </w:p>
    <w:p w:rsidR="008D06DE" w:rsidRPr="00CF22F3" w:rsidRDefault="008D06DE" w:rsidP="008D06DE">
      <w:pPr>
        <w:spacing w:line="360" w:lineRule="auto"/>
        <w:jc w:val="both"/>
      </w:pPr>
      <w:r w:rsidRPr="00CF22F3">
        <w:t>Rodrigues, S. (1996): “Contribuição para o estudo das indústrias líticas do vale do rio Caia (Alto Alentejo – Portugal) ”. Tese de mestrado. Faculdade de Letras da Universidade do Porto.</w:t>
      </w:r>
    </w:p>
    <w:p w:rsidR="00A045DA" w:rsidRDefault="00A045DA" w:rsidP="008D06DE">
      <w:pPr>
        <w:spacing w:line="360" w:lineRule="auto"/>
        <w:jc w:val="both"/>
        <w:rPr>
          <w:lang w:val="es-ES_tradnl"/>
        </w:rPr>
      </w:pPr>
    </w:p>
    <w:p w:rsidR="008D06DE" w:rsidRPr="00CF22F3" w:rsidRDefault="008D06DE" w:rsidP="008D06DE">
      <w:pPr>
        <w:spacing w:line="360" w:lineRule="auto"/>
        <w:jc w:val="both"/>
      </w:pPr>
      <w:r w:rsidRPr="007E759C">
        <w:rPr>
          <w:lang w:val="es-ES_tradnl"/>
        </w:rPr>
        <w:t xml:space="preserve">Rodríguez Álvarez, X. P. (1997): “Sistemas Técnicos de Producción Lítica del Pleistoceno inferior y medio de la Península Ibérica: variabilidad tecnológica entre yacimientos del Noreste y de la Sierra de Atapuerca”. </w:t>
      </w:r>
      <w:r w:rsidRPr="00CF22F3">
        <w:t xml:space="preserve">Tese de </w:t>
      </w:r>
      <w:proofErr w:type="gramStart"/>
      <w:r w:rsidRPr="00CF22F3">
        <w:t>doutoramento,  Departamento</w:t>
      </w:r>
      <w:proofErr w:type="gramEnd"/>
      <w:r w:rsidRPr="00CF22F3">
        <w:t xml:space="preserve"> de Historia, Universitat Rovira i Virgili. </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Roebroeks, W e Villa, P. (2011): “On the earliest evidence for habitual use of fire in Europe”. </w:t>
      </w:r>
      <w:r w:rsidRPr="00CF22F3">
        <w:rPr>
          <w:i/>
        </w:rPr>
        <w:t>PNAS</w:t>
      </w:r>
      <w:r w:rsidRPr="00CF22F3">
        <w:t> , 108. 5209-5214</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Rosell, J.</w:t>
      </w:r>
      <w:r w:rsidR="00D44AC3" w:rsidRPr="00CF22F3">
        <w:t>, Blasco</w:t>
      </w:r>
      <w:r w:rsidRPr="00CF22F3">
        <w:t>, R.</w:t>
      </w:r>
      <w:proofErr w:type="gramStart"/>
      <w:r w:rsidRPr="00CF22F3">
        <w:t>,  Rivals</w:t>
      </w:r>
      <w:proofErr w:type="gramEnd"/>
      <w:r w:rsidRPr="00CF22F3">
        <w:t>, Gema Chacón, F. M.,  Menéndez, L., Morales, J.I.,  Rodríguez-Hidalgo, A., Cebrià, A.,  Carbon</w:t>
      </w:r>
      <w:r>
        <w:rPr>
          <w:lang w:val="en-US"/>
        </w:rPr>
        <w:t>ell, E.  e  Serrat, D.</w:t>
      </w:r>
      <w:r w:rsidRPr="00CF22F3">
        <w:rPr>
          <w:lang w:val="en-US"/>
        </w:rPr>
        <w:t xml:space="preserve"> (2010): “A stop along the way: the role of Neanderthal groups at level iii of Teixoneres cave (Moià, Barcelona, Spain)”.</w:t>
      </w:r>
      <w:r w:rsidRPr="00CF22F3">
        <w:rPr>
          <w:i/>
          <w:lang w:val="en-US"/>
        </w:rPr>
        <w:t>Quaternaire</w:t>
      </w:r>
      <w:r w:rsidRPr="00CF22F3">
        <w:rPr>
          <w:lang w:val="en-US"/>
        </w:rPr>
        <w:t>, 21, (2).139-154</w:t>
      </w:r>
    </w:p>
    <w:p w:rsidR="00D44AC3" w:rsidRDefault="00D44AC3" w:rsidP="008D06DE">
      <w:pPr>
        <w:spacing w:line="360" w:lineRule="auto"/>
        <w:jc w:val="both"/>
      </w:pPr>
    </w:p>
    <w:p w:rsidR="008D06DE" w:rsidRPr="00CF22F3" w:rsidRDefault="008D06DE" w:rsidP="008D06DE">
      <w:pPr>
        <w:spacing w:line="360" w:lineRule="auto"/>
        <w:jc w:val="both"/>
      </w:pPr>
      <w:r w:rsidRPr="00CF22F3">
        <w:t>Rosina, P., Cura, S.</w:t>
      </w:r>
      <w:r w:rsidR="00D44AC3" w:rsidRPr="00CF22F3">
        <w:t>, Oosterbeek</w:t>
      </w:r>
      <w:r w:rsidRPr="00CF22F3">
        <w:t>, L.</w:t>
      </w:r>
      <w:proofErr w:type="gramStart"/>
      <w:r w:rsidRPr="00CF22F3">
        <w:t>,  Grimaldi</w:t>
      </w:r>
      <w:proofErr w:type="gramEnd"/>
      <w:r w:rsidRPr="00CF22F3">
        <w:t xml:space="preserve">, S. e  Gomes, J. (2010): “Crono-estratigrafia das ocupações humanas quaternárias do Alto Ribatejo e a problemática dos complexos macrolíticos”. Actas do Congresso Internacional de Arqueologia “Cem anos de investigação arqueológica no Interior Centro”. </w:t>
      </w:r>
      <w:r w:rsidRPr="00CF22F3">
        <w:rPr>
          <w:i/>
        </w:rPr>
        <w:t>Materiaes</w:t>
      </w:r>
      <w:r w:rsidRPr="00CF22F3">
        <w:t>, Numero Especial. Museu Francisco Tavares Proença Junior. 107- 148.</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 xml:space="preserve">Roussel, M.,  Bourguignon, L.  </w:t>
      </w:r>
      <w:proofErr w:type="gramStart"/>
      <w:r>
        <w:rPr>
          <w:lang w:val="fr-FR"/>
        </w:rPr>
        <w:t>e</w:t>
      </w:r>
      <w:proofErr w:type="gramEnd"/>
      <w:r>
        <w:rPr>
          <w:lang w:val="fr-FR"/>
        </w:rPr>
        <w:t xml:space="preserve"> </w:t>
      </w:r>
      <w:r w:rsidRPr="00CF22F3">
        <w:rPr>
          <w:lang w:val="fr-FR"/>
        </w:rPr>
        <w:t xml:space="preserve">Soressi, M. (2009): </w:t>
      </w:r>
      <w:r w:rsidRPr="007E759C">
        <w:rPr>
          <w:lang w:val="fr-FR"/>
        </w:rPr>
        <w:t>“</w:t>
      </w:r>
      <w:r w:rsidRPr="00CF22F3">
        <w:rPr>
          <w:lang w:val="fr-FR"/>
        </w:rPr>
        <w:t xml:space="preserve"> Identification par l’expérimentation de la percussion au percuteur de calcaire au Paléolithique moyen : le cas du façonnage des racloirs bifaciaux Quina de Chez Pinaud (Jonzac, Charente-Maritime)</w:t>
      </w:r>
      <w:r w:rsidRPr="007E759C">
        <w:rPr>
          <w:lang w:val="fr-FR"/>
        </w:rPr>
        <w:t xml:space="preserve"> ”</w:t>
      </w:r>
      <w:r w:rsidRPr="00CF22F3">
        <w:rPr>
          <w:lang w:val="fr-FR"/>
        </w:rPr>
        <w:t xml:space="preserve">. </w:t>
      </w:r>
      <w:r w:rsidRPr="00CF22F3">
        <w:rPr>
          <w:i/>
          <w:lang w:val="fr-FR"/>
        </w:rPr>
        <w:t>Bulletin de la Société Préhistorique Française</w:t>
      </w:r>
      <w:r w:rsidRPr="00CF22F3">
        <w:rPr>
          <w:lang w:val="fr-FR"/>
        </w:rPr>
        <w:t>, 106, 2. 219-238</w:t>
      </w:r>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7E759C">
        <w:rPr>
          <w:lang w:val="en-US"/>
        </w:rPr>
        <w:lastRenderedPageBreak/>
        <w:t xml:space="preserve">Ruebens, K. (2012): </w:t>
      </w:r>
      <w:proofErr w:type="gramStart"/>
      <w:r w:rsidRPr="007E759C">
        <w:rPr>
          <w:lang w:val="en-US"/>
        </w:rPr>
        <w:t>“ From</w:t>
      </w:r>
      <w:proofErr w:type="gramEnd"/>
      <w:r w:rsidRPr="007E759C">
        <w:rPr>
          <w:lang w:val="en-US"/>
        </w:rPr>
        <w:t xml:space="preserve"> Keilmesser to Bout Coupé Handaxes: Macro-Regional Variability among Western European Late Middle Palaeolithic Bifacial Tools”. </w:t>
      </w:r>
      <w:proofErr w:type="gramStart"/>
      <w:r w:rsidRPr="007E759C">
        <w:rPr>
          <w:lang w:val="en-US"/>
        </w:rPr>
        <w:t>Tese de doutoramento.</w:t>
      </w:r>
      <w:proofErr w:type="gramEnd"/>
      <w:r w:rsidRPr="007E759C">
        <w:rPr>
          <w:lang w:val="en-US"/>
        </w:rPr>
        <w:t xml:space="preserve"> </w:t>
      </w:r>
      <w:r w:rsidRPr="00CF22F3">
        <w:t>Southampton University.</w:t>
      </w:r>
    </w:p>
    <w:p w:rsidR="00D44AC3" w:rsidRDefault="00D44AC3" w:rsidP="008D06DE">
      <w:pPr>
        <w:spacing w:line="360" w:lineRule="auto"/>
        <w:jc w:val="both"/>
      </w:pPr>
    </w:p>
    <w:p w:rsidR="008D06DE" w:rsidRPr="00CF22F3" w:rsidRDefault="008D06DE" w:rsidP="008D06DE">
      <w:pPr>
        <w:spacing w:line="360" w:lineRule="auto"/>
        <w:jc w:val="both"/>
      </w:pPr>
      <w:r w:rsidRPr="00CF22F3">
        <w:t>Salvador, M. M. M. S. (2002):</w:t>
      </w:r>
      <w:r w:rsidRPr="005E5682">
        <w:t xml:space="preserve"> “</w:t>
      </w:r>
      <w:r w:rsidRPr="00CF22F3">
        <w:t>Contribuição para o estudo do Paleolítico inferior do Vale do Forno-Alpiarça, no seu contexto crono-estratigráfico”. Tese mestrado em Pré-História e Arqueologia, Univ. Lisboa.</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Sanchez Goni, M.F., Turon, J-L., </w:t>
      </w:r>
      <w:proofErr w:type="gramStart"/>
      <w:r w:rsidRPr="00CF22F3">
        <w:rPr>
          <w:lang w:val="en-US"/>
        </w:rPr>
        <w:t>Eynaud</w:t>
      </w:r>
      <w:proofErr w:type="gramEnd"/>
      <w:r w:rsidRPr="00CF22F3">
        <w:rPr>
          <w:lang w:val="en-US"/>
        </w:rPr>
        <w:t xml:space="preserve">, F e Shackelton, N.J. (1999): “High resolution palynological record off the Iberian margin: direct land–sea correlation for the Last Interglacial complex”. </w:t>
      </w:r>
      <w:proofErr w:type="gramStart"/>
      <w:r w:rsidRPr="00CF22F3">
        <w:rPr>
          <w:i/>
          <w:lang w:val="en-US"/>
        </w:rPr>
        <w:t>Earth and Planetary Science Letters</w:t>
      </w:r>
      <w:r>
        <w:rPr>
          <w:lang w:val="en-US"/>
        </w:rPr>
        <w:t>, 171.</w:t>
      </w:r>
      <w:proofErr w:type="gramEnd"/>
      <w:r>
        <w:rPr>
          <w:lang w:val="en-US"/>
        </w:rPr>
        <w:t xml:space="preserve"> </w:t>
      </w:r>
      <w:proofErr w:type="gramStart"/>
      <w:r>
        <w:rPr>
          <w:lang w:val="en-US"/>
        </w:rPr>
        <w:t>123-</w:t>
      </w:r>
      <w:r w:rsidRPr="00CF22F3">
        <w:rPr>
          <w:lang w:val="en-US"/>
        </w:rPr>
        <w:t>137.</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Sanchez Goni, M.F., Turon, J-L., Eynaud, F, Shackelton, N.J. e Cayre, O. (2000): “Direct land/sea correlation of the Eemian, and its comparison with the Holocene: a high-resolution palynological</w:t>
      </w:r>
      <w:r>
        <w:rPr>
          <w:lang w:val="en-US"/>
        </w:rPr>
        <w:t xml:space="preserve"> record off the Iberian margin”.</w:t>
      </w:r>
      <w:r w:rsidRPr="00CF22F3">
        <w:rPr>
          <w:lang w:val="en-US"/>
        </w:rPr>
        <w:t xml:space="preserve"> </w:t>
      </w:r>
      <w:proofErr w:type="gramStart"/>
      <w:r w:rsidRPr="00CF22F3">
        <w:rPr>
          <w:i/>
          <w:lang w:val="en-US"/>
        </w:rPr>
        <w:t>Geologie en Mijnbouw / Netherlands Journal of Geosciences,</w:t>
      </w:r>
      <w:r w:rsidRPr="00CF22F3">
        <w:rPr>
          <w:lang w:val="en-US"/>
        </w:rPr>
        <w:t xml:space="preserve"> 79(2/3), 345-354.</w:t>
      </w:r>
      <w:proofErr w:type="gramEnd"/>
    </w:p>
    <w:p w:rsidR="00D44AC3" w:rsidRDefault="00D44AC3" w:rsidP="008D06DE">
      <w:pPr>
        <w:spacing w:line="360" w:lineRule="auto"/>
        <w:jc w:val="both"/>
        <w:rPr>
          <w:lang w:val="es-ES_tradnl"/>
        </w:rPr>
      </w:pPr>
    </w:p>
    <w:p w:rsidR="008D06DE" w:rsidRPr="00CF22F3" w:rsidRDefault="008D06DE" w:rsidP="008D06DE">
      <w:pPr>
        <w:spacing w:line="360" w:lineRule="auto"/>
        <w:jc w:val="both"/>
        <w:rPr>
          <w:lang w:val="es-ES_tradnl"/>
        </w:rPr>
      </w:pPr>
      <w:r w:rsidRPr="00CF22F3">
        <w:rPr>
          <w:lang w:val="es-ES_tradnl"/>
        </w:rPr>
        <w:t xml:space="preserve">Sanchez Goni, M.F. e D’Errico, F. (2005): “La historia de la vegetación y el clima del último ciclo climático (OIS5-OIS1, 140.000-10.000 años BP) en la Península Ibérica y su posible impacto sobre los grupos paleolíticos”. </w:t>
      </w:r>
      <w:r w:rsidRPr="00CF22F3">
        <w:rPr>
          <w:i/>
          <w:lang w:val="es-ES_tradnl"/>
        </w:rPr>
        <w:t>Monografías</w:t>
      </w:r>
      <w:r w:rsidRPr="00CF22F3">
        <w:rPr>
          <w:lang w:val="es-ES_tradnl"/>
        </w:rPr>
        <w:t xml:space="preserve">, </w:t>
      </w:r>
      <w:r>
        <w:rPr>
          <w:lang w:val="es-ES_tradnl"/>
        </w:rPr>
        <w:t>20. Museo de Altamira.</w:t>
      </w:r>
      <w:r w:rsidRPr="00CF22F3">
        <w:rPr>
          <w:lang w:val="es-ES_tradnl"/>
        </w:rPr>
        <w:t xml:space="preserve"> 115-129.</w:t>
      </w:r>
    </w:p>
    <w:p w:rsidR="00D44AC3" w:rsidRDefault="00D44AC3" w:rsidP="008D06DE">
      <w:pPr>
        <w:spacing w:line="360" w:lineRule="auto"/>
        <w:jc w:val="both"/>
        <w:rPr>
          <w:lang w:val="es-ES_tradnl"/>
        </w:rPr>
      </w:pPr>
    </w:p>
    <w:p w:rsidR="008D06DE" w:rsidRPr="00CF22F3" w:rsidRDefault="008D06DE" w:rsidP="008D06DE">
      <w:pPr>
        <w:spacing w:line="360" w:lineRule="auto"/>
        <w:jc w:val="both"/>
      </w:pPr>
      <w:r w:rsidRPr="00B25828">
        <w:rPr>
          <w:lang w:val="es-ES_tradnl"/>
        </w:rPr>
        <w:t>Sandgathe, D., Diblle, H., Goldberg, P., McPherron, S., Turq, A., Niven, L., e Hodgkins, J. (2011): “Timing and appear</w:t>
      </w:r>
      <w:r w:rsidRPr="00CF22F3">
        <w:rPr>
          <w:lang w:val="en-US"/>
        </w:rPr>
        <w:t xml:space="preserve">ance of habitual fire use”. </w:t>
      </w:r>
      <w:r w:rsidRPr="00CF22F3">
        <w:rPr>
          <w:i/>
        </w:rPr>
        <w:t>PNAS</w:t>
      </w:r>
      <w:r w:rsidRPr="00CF22F3">
        <w:t>, 108, 29.E298 (online)</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Santonja, M. e Pérez-González, A. (2001): “El Paleolítico Inferior en el interior de la Península Ibérica. Un punto de vista desde la Geoarqueología”. </w:t>
      </w:r>
      <w:r w:rsidRPr="00CF22F3">
        <w:rPr>
          <w:i/>
        </w:rPr>
        <w:t>Zephyrus</w:t>
      </w:r>
      <w:r w:rsidRPr="00CF22F3">
        <w:t>, 53-54. 27-77.</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Shackleton, N. J., Chapman, M., Sanchez-Goni, M.F., Pailler, </w:t>
      </w:r>
      <w:proofErr w:type="gramStart"/>
      <w:r w:rsidRPr="00CF22F3">
        <w:t>D.</w:t>
      </w:r>
      <w:proofErr w:type="gramEnd"/>
      <w:r w:rsidRPr="00CF22F3">
        <w:t xml:space="preserve"> e Lancelot, Y. (2002): “The Clas</w:t>
      </w:r>
      <w:r>
        <w:t>sic Marine Isotope Substage 5e”.</w:t>
      </w:r>
      <w:r w:rsidRPr="00CF22F3">
        <w:t xml:space="preserve"> </w:t>
      </w:r>
      <w:r w:rsidRPr="00CF22F3">
        <w:rPr>
          <w:i/>
        </w:rPr>
        <w:t>Quaternary Research</w:t>
      </w:r>
      <w:r>
        <w:t>, 58. 14-</w:t>
      </w:r>
      <w:r w:rsidRPr="00CF22F3">
        <w:t xml:space="preserve">16. </w:t>
      </w:r>
    </w:p>
    <w:p w:rsidR="00D44AC3" w:rsidRDefault="00D44AC3" w:rsidP="008D06DE">
      <w:pPr>
        <w:spacing w:line="360" w:lineRule="auto"/>
        <w:jc w:val="both"/>
      </w:pPr>
    </w:p>
    <w:p w:rsidR="008D06DE" w:rsidRPr="007E759C" w:rsidRDefault="008D06DE" w:rsidP="008D06DE">
      <w:pPr>
        <w:spacing w:line="360" w:lineRule="auto"/>
        <w:jc w:val="both"/>
      </w:pPr>
      <w:r w:rsidRPr="007E759C">
        <w:lastRenderedPageBreak/>
        <w:t xml:space="preserve">Shackleton, N. J., Sanchez-Goni, M.F., Pailler, </w:t>
      </w:r>
      <w:proofErr w:type="gramStart"/>
      <w:r w:rsidRPr="007E759C">
        <w:t>D.</w:t>
      </w:r>
      <w:proofErr w:type="gramEnd"/>
      <w:r w:rsidRPr="007E759C">
        <w:t xml:space="preserve"> e Lancelot, Y. (2003): “</w:t>
      </w:r>
      <w:proofErr w:type="gramStart"/>
      <w:r w:rsidRPr="007E759C">
        <w:t>Marine</w:t>
      </w:r>
      <w:proofErr w:type="gramEnd"/>
      <w:r w:rsidRPr="007E759C">
        <w:t xml:space="preserve"> Isotope Substage 5e and the Eemian Interglacial”. </w:t>
      </w:r>
      <w:r w:rsidRPr="007E759C">
        <w:rPr>
          <w:i/>
        </w:rPr>
        <w:t>Global and Planetary Change</w:t>
      </w:r>
      <w:r>
        <w:t>, 36. 151-</w:t>
      </w:r>
      <w:r w:rsidRPr="007E759C">
        <w:t>155.</w:t>
      </w:r>
    </w:p>
    <w:p w:rsidR="00D44AC3" w:rsidRDefault="00D44AC3" w:rsidP="008D06DE">
      <w:pPr>
        <w:spacing w:line="360" w:lineRule="auto"/>
        <w:jc w:val="both"/>
      </w:pPr>
    </w:p>
    <w:p w:rsidR="008D06DE" w:rsidRPr="00CF22F3" w:rsidRDefault="008D06DE" w:rsidP="008D06DE">
      <w:pPr>
        <w:spacing w:line="360" w:lineRule="auto"/>
        <w:jc w:val="both"/>
      </w:pPr>
      <w:r w:rsidRPr="00CF22F3">
        <w:t>Silva, A. C. (2011): “Escoural: Uma gruta pré-histórica no Alentejo”. Direcção Regional de Cultura do Alentejo.</w:t>
      </w:r>
    </w:p>
    <w:p w:rsidR="00D44AC3" w:rsidRDefault="00D44AC3" w:rsidP="008D06DE">
      <w:pPr>
        <w:autoSpaceDE w:val="0"/>
        <w:autoSpaceDN w:val="0"/>
        <w:adjustRightInd w:val="0"/>
        <w:spacing w:line="360" w:lineRule="auto"/>
        <w:jc w:val="both"/>
        <w:rPr>
          <w:lang w:eastAsia="ko-KR"/>
        </w:rPr>
      </w:pPr>
    </w:p>
    <w:p w:rsidR="008D06DE" w:rsidRPr="00CF22F3" w:rsidRDefault="008D06DE" w:rsidP="008D06DE">
      <w:pPr>
        <w:autoSpaceDE w:val="0"/>
        <w:autoSpaceDN w:val="0"/>
        <w:adjustRightInd w:val="0"/>
        <w:spacing w:line="360" w:lineRule="auto"/>
        <w:jc w:val="both"/>
      </w:pPr>
      <w:r w:rsidRPr="00CF22F3">
        <w:rPr>
          <w:lang w:eastAsia="ko-KR"/>
        </w:rPr>
        <w:t>Silva, A., Pimenta, C., Lemos, F., Zilhão, J., Mateus, J., Rapos</w:t>
      </w:r>
      <w:r>
        <w:rPr>
          <w:lang w:eastAsia="ko-KR"/>
        </w:rPr>
        <w:t>o, L. e Coutinho, M.</w:t>
      </w:r>
      <w:r w:rsidRPr="00CF22F3">
        <w:rPr>
          <w:lang w:eastAsia="ko-KR"/>
        </w:rPr>
        <w:t xml:space="preserve"> (1981): “Vilas Ruivas: um acampamento do Paleolítico Médio”. Breve história dos trabalhos arqueológicos realizados em Vilas ruivas. </w:t>
      </w:r>
      <w:r w:rsidRPr="00CF22F3">
        <w:rPr>
          <w:i/>
          <w:lang w:eastAsia="ko-KR"/>
        </w:rPr>
        <w:t>História e Sociedade</w:t>
      </w:r>
      <w:r w:rsidRPr="00CF22F3">
        <w:rPr>
          <w:lang w:eastAsia="ko-KR"/>
        </w:rPr>
        <w:t xml:space="preserve">, 7. 29-33. </w:t>
      </w:r>
    </w:p>
    <w:p w:rsidR="00A045DA" w:rsidRDefault="00A045DA" w:rsidP="008D06DE">
      <w:pPr>
        <w:spacing w:line="360" w:lineRule="auto"/>
        <w:jc w:val="both"/>
      </w:pPr>
    </w:p>
    <w:p w:rsidR="008D06DE" w:rsidRPr="00CF22F3" w:rsidRDefault="008D06DE" w:rsidP="008D06DE">
      <w:pPr>
        <w:spacing w:line="360" w:lineRule="auto"/>
        <w:jc w:val="both"/>
      </w:pPr>
      <w:r w:rsidRPr="00CF22F3">
        <w:t>Silva A.C. e Raposo, L</w:t>
      </w:r>
      <w:r>
        <w:t>.</w:t>
      </w:r>
      <w:r w:rsidRPr="00CF22F3">
        <w:t xml:space="preserve"> (1982): “ A estação de Vila Ruivas”. </w:t>
      </w:r>
      <w:r w:rsidRPr="00CF22F3">
        <w:rPr>
          <w:i/>
        </w:rPr>
        <w:t>Informação Arqueológica</w:t>
      </w:r>
      <w:r w:rsidRPr="00CF22F3">
        <w:t>, 2. IPPC. Lisboa. 43-48</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7E759C">
        <w:rPr>
          <w:lang w:val="en-US"/>
        </w:rPr>
        <w:t>Slowey, N. C., Henderson, G. M. e Curry, W. B. (1996): “Direct U-Th dating of m</w:t>
      </w:r>
      <w:r w:rsidRPr="00CF22F3">
        <w:rPr>
          <w:lang w:val="en-US"/>
        </w:rPr>
        <w:t>arine sediments from the two mo</w:t>
      </w:r>
      <w:r>
        <w:rPr>
          <w:lang w:val="en-US"/>
        </w:rPr>
        <w:t>st recent interglacial periods”.</w:t>
      </w:r>
      <w:r w:rsidRPr="00CF22F3">
        <w:rPr>
          <w:lang w:val="en-US"/>
        </w:rPr>
        <w:t xml:space="preserve"> </w:t>
      </w:r>
      <w:proofErr w:type="gramStart"/>
      <w:r w:rsidRPr="00CF22F3">
        <w:rPr>
          <w:i/>
          <w:lang w:val="en-US"/>
        </w:rPr>
        <w:t>Nature</w:t>
      </w:r>
      <w:r w:rsidRPr="00CF22F3">
        <w:rPr>
          <w:lang w:val="en-US"/>
        </w:rPr>
        <w:t>, 383, 6597.</w:t>
      </w:r>
      <w:proofErr w:type="gramEnd"/>
      <w:r w:rsidRPr="00CF22F3">
        <w:rPr>
          <w:lang w:val="en-US"/>
        </w:rPr>
        <w:t xml:space="preserve"> </w:t>
      </w:r>
      <w:proofErr w:type="gramStart"/>
      <w:r w:rsidRPr="00CF22F3">
        <w:rPr>
          <w:lang w:val="en-US"/>
        </w:rPr>
        <w:t>242-244.</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proofErr w:type="gramStart"/>
      <w:r w:rsidRPr="00CF22F3">
        <w:rPr>
          <w:lang w:val="en-US"/>
        </w:rPr>
        <w:t>Sohbati, R., Murray, A. S., Jain, M., Buylaert, J.-P.</w:t>
      </w:r>
      <w:proofErr w:type="gramEnd"/>
      <w:r w:rsidRPr="00CF22F3">
        <w:rPr>
          <w:lang w:val="en-US"/>
        </w:rPr>
        <w:t xml:space="preserve"> </w:t>
      </w:r>
      <w:proofErr w:type="gramStart"/>
      <w:r w:rsidRPr="00CF22F3">
        <w:rPr>
          <w:lang w:val="en-US"/>
        </w:rPr>
        <w:t>e</w:t>
      </w:r>
      <w:proofErr w:type="gramEnd"/>
      <w:r w:rsidRPr="00CF22F3">
        <w:rPr>
          <w:lang w:val="en-US"/>
        </w:rPr>
        <w:t xml:space="preserve"> Thomsen, K. J. (2011): “Investigating the resetting of OSL signals in rock surfaces”. </w:t>
      </w:r>
      <w:proofErr w:type="gramStart"/>
      <w:r w:rsidRPr="00CF22F3">
        <w:rPr>
          <w:i/>
          <w:lang w:val="en-US"/>
        </w:rPr>
        <w:t>Geochronometria</w:t>
      </w:r>
      <w:r>
        <w:rPr>
          <w:lang w:val="en-US"/>
        </w:rPr>
        <w:t>, 38.</w:t>
      </w:r>
      <w:proofErr w:type="gramEnd"/>
      <w:r>
        <w:rPr>
          <w:lang w:val="en-US"/>
        </w:rPr>
        <w:t xml:space="preserve"> </w:t>
      </w:r>
      <w:proofErr w:type="gramStart"/>
      <w:r>
        <w:rPr>
          <w:lang w:val="en-US"/>
        </w:rPr>
        <w:t>249-</w:t>
      </w:r>
      <w:r w:rsidRPr="00CF22F3">
        <w:rPr>
          <w:lang w:val="en-US"/>
        </w:rPr>
        <w:t>258.</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Sohbati, R., Murray, A. S., Buylaert J. P., Cunha, P. P., Martins, A. A. e Almeida, N. A. C. (2012): “Optically stimulated luminescence (OSL) dating of quartzite cobbles from the Tapada do Montinho archaeological site (east-central Portugal)”. </w:t>
      </w:r>
      <w:r w:rsidRPr="00CF22F3">
        <w:rPr>
          <w:i/>
          <w:lang w:val="en-US"/>
        </w:rPr>
        <w:t>Boreas</w:t>
      </w:r>
      <w:r w:rsidRPr="00CF22F3">
        <w:rPr>
          <w:lang w:val="en-US"/>
        </w:rPr>
        <w:t>, 41.452-462.</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en-US"/>
        </w:rPr>
      </w:pPr>
      <w:r w:rsidRPr="00CF22F3">
        <w:rPr>
          <w:lang w:val="fr-FR"/>
        </w:rPr>
        <w:t xml:space="preserve">Soressi, M., (2002): </w:t>
      </w:r>
      <w:r w:rsidRPr="005E5682">
        <w:rPr>
          <w:lang w:val="fr-FR"/>
        </w:rPr>
        <w:t>“</w:t>
      </w:r>
      <w:r w:rsidRPr="00CF22F3">
        <w:rPr>
          <w:lang w:val="fr-FR"/>
        </w:rPr>
        <w:t xml:space="preserve">Le Moustérien de tradition acheuléenne du sud-ouest de la France. Discussion sur la signification du faciès à partir de l’étude comparée de quatre sites: Pech-de-l’Azé I, Le Moustier, La Rochette et la Grotte XVI. </w:t>
      </w:r>
      <w:proofErr w:type="gramStart"/>
      <w:r w:rsidRPr="00CF22F3">
        <w:rPr>
          <w:lang w:val="en-US"/>
        </w:rPr>
        <w:t>Tese de doutoramento, Université de Bordeaux I.</w:t>
      </w:r>
      <w:proofErr w:type="gramEnd"/>
    </w:p>
    <w:p w:rsidR="00D44AC3" w:rsidRDefault="00D44AC3" w:rsidP="008D06DE">
      <w:pPr>
        <w:spacing w:line="360" w:lineRule="auto"/>
        <w:jc w:val="both"/>
      </w:pPr>
    </w:p>
    <w:p w:rsidR="008D06DE" w:rsidRPr="00CF22F3" w:rsidRDefault="008D06DE" w:rsidP="008D06DE">
      <w:pPr>
        <w:spacing w:line="360" w:lineRule="auto"/>
        <w:jc w:val="both"/>
        <w:rPr>
          <w:lang w:val="fr-FR"/>
        </w:rPr>
      </w:pPr>
      <w:r w:rsidRPr="00CF22F3">
        <w:t xml:space="preserve">Soressi, M. e Geneste, J-M. </w:t>
      </w:r>
      <w:r w:rsidRPr="00CF22F3">
        <w:rPr>
          <w:lang w:val="en-US"/>
        </w:rPr>
        <w:t xml:space="preserve">(2011): </w:t>
      </w:r>
      <w:r w:rsidRPr="005E5682">
        <w:rPr>
          <w:lang w:val="en-US"/>
        </w:rPr>
        <w:t>“</w:t>
      </w:r>
      <w:r w:rsidRPr="00CF22F3">
        <w:rPr>
          <w:lang w:val="en-US"/>
        </w:rPr>
        <w:t>The History and Efficacy of the Chaîne Opératoire Approach to Lithic Analysis: Studying Techniques to Reveal Past Societies in an Evolutionary Perspective</w:t>
      </w:r>
      <w:r w:rsidRPr="005E5682">
        <w:rPr>
          <w:lang w:val="en-US"/>
        </w:rPr>
        <w:t>”</w:t>
      </w:r>
      <w:r w:rsidRPr="00CF22F3">
        <w:rPr>
          <w:lang w:val="en-US"/>
        </w:rPr>
        <w:t xml:space="preserve">. Special Issue: Reduction Sequence, Chaîne Opératoire, and </w:t>
      </w:r>
      <w:r w:rsidRPr="00CF22F3">
        <w:rPr>
          <w:lang w:val="en-US"/>
        </w:rPr>
        <w:lastRenderedPageBreak/>
        <w:t xml:space="preserve">Other Methods: The Epistemologies of Different Approaches to Lithic Analysis. </w:t>
      </w:r>
      <w:r w:rsidRPr="00CF22F3">
        <w:rPr>
          <w:i/>
          <w:lang w:val="fr-FR"/>
        </w:rPr>
        <w:t>PaleoAnthropology</w:t>
      </w:r>
      <w:r w:rsidRPr="00CF22F3">
        <w:rPr>
          <w:lang w:val="fr-FR"/>
        </w:rPr>
        <w:t>. 334-350</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Texier, J., Inizan, M.L., Roche, H. e Dauvois, M. (1980)</w:t>
      </w:r>
      <w:r w:rsidRPr="005E5682">
        <w:rPr>
          <w:lang w:val="fr-FR"/>
        </w:rPr>
        <w:t xml:space="preserve"> : “</w:t>
      </w:r>
      <w:r w:rsidRPr="00CF22F3">
        <w:rPr>
          <w:lang w:val="fr-FR"/>
        </w:rPr>
        <w:t>Préhistoire de la pierre taillé I. Terminologie et technologie”. CNRS.</w:t>
      </w:r>
    </w:p>
    <w:p w:rsidR="00D44AC3" w:rsidRDefault="00D44AC3" w:rsidP="008D06DE">
      <w:pPr>
        <w:spacing w:line="360" w:lineRule="auto"/>
        <w:jc w:val="both"/>
        <w:rPr>
          <w:lang w:val="fr-FR"/>
        </w:rPr>
      </w:pPr>
    </w:p>
    <w:p w:rsidR="00D44AC3" w:rsidRDefault="008D06DE" w:rsidP="008D06DE">
      <w:pPr>
        <w:spacing w:line="360" w:lineRule="auto"/>
        <w:jc w:val="both"/>
        <w:rPr>
          <w:lang w:val="fr-FR"/>
        </w:rPr>
      </w:pPr>
      <w:r w:rsidRPr="00CF22F3">
        <w:rPr>
          <w:lang w:val="fr-FR"/>
        </w:rPr>
        <w:t xml:space="preserve">Thiébaut, C., Claud, E., Costamagno, S., Coudenneau, A., Coumont, M.P., Deschamps, </w:t>
      </w:r>
    </w:p>
    <w:p w:rsidR="008D06DE" w:rsidRPr="00CF22F3" w:rsidRDefault="008D06DE" w:rsidP="008D06DE">
      <w:pPr>
        <w:spacing w:line="360" w:lineRule="auto"/>
        <w:jc w:val="both"/>
        <w:rPr>
          <w:lang w:val="fr-FR"/>
        </w:rPr>
      </w:pPr>
      <w:r w:rsidRPr="00CF22F3">
        <w:rPr>
          <w:lang w:val="fr-FR"/>
        </w:rPr>
        <w:t xml:space="preserve">M., Gerbe, M., Mallye, J-B., Mourre, V., Asselin, G., Beauval, C., Brenet, M., Gema Chacón, Maury, S., Paravel, B., Provenzano, N. e Soulier, M-C. (2009a): </w:t>
      </w:r>
      <w:r w:rsidRPr="005E5682">
        <w:rPr>
          <w:lang w:val="fr-FR"/>
        </w:rPr>
        <w:t>“</w:t>
      </w:r>
      <w:r w:rsidRPr="00CF22F3">
        <w:rPr>
          <w:lang w:val="fr-FR"/>
        </w:rPr>
        <w:t xml:space="preserve">Des traces et des hommes, Projet interdisciplinaire pour interpréter les comportements techno-économiques des Néandertaliens”. </w:t>
      </w:r>
      <w:r w:rsidRPr="00CF22F3">
        <w:rPr>
          <w:i/>
          <w:lang w:val="fr-FR"/>
        </w:rPr>
        <w:t>Les Nouvelles de l’archéologie</w:t>
      </w:r>
      <w:r w:rsidRPr="00CF22F3">
        <w:rPr>
          <w:lang w:val="fr-FR"/>
        </w:rPr>
        <w:t>, 118.49-54.</w:t>
      </w:r>
    </w:p>
    <w:p w:rsidR="00A045DA" w:rsidRDefault="00A045DA"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Thiébaut</w:t>
      </w:r>
      <w:proofErr w:type="gramStart"/>
      <w:r w:rsidRPr="00CF22F3">
        <w:rPr>
          <w:lang w:val="fr-FR"/>
        </w:rPr>
        <w:t>,C</w:t>
      </w:r>
      <w:proofErr w:type="gramEnd"/>
      <w:r w:rsidRPr="00CF22F3">
        <w:rPr>
          <w:lang w:val="fr-FR"/>
        </w:rPr>
        <w:t>.,  Mourre, V. e Turq, A.</w:t>
      </w:r>
      <w:r>
        <w:rPr>
          <w:lang w:val="fr-FR"/>
        </w:rPr>
        <w:t xml:space="preserve"> </w:t>
      </w:r>
      <w:r w:rsidRPr="00CF22F3">
        <w:rPr>
          <w:lang w:val="fr-FR"/>
        </w:rPr>
        <w:t xml:space="preserve">(2009b): “Diversité des matériaux et diversité des schémas de production au sein de l’industrie moustérienne de la couche K des Fieux (Miers, Lot)”. </w:t>
      </w:r>
      <w:r w:rsidRPr="00CF22F3">
        <w:rPr>
          <w:i/>
          <w:lang w:val="fr-FR"/>
        </w:rPr>
        <w:t>Bulletin de la Société Préhistorique Française</w:t>
      </w:r>
      <w:r w:rsidRPr="00CF22F3">
        <w:rPr>
          <w:lang w:val="fr-FR"/>
        </w:rPr>
        <w:t>, 106, 2.  239-256.</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Thiébaut, C., Mourre, V., Chalard, P., Colonge, D., Coudenneau, A., Deschamps, M. e Sacco-Sonador, A. (2012): “Lithic technology of the final Mousterian on both sides of the Pyrenees”. </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182-198.</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Thomsen, K. J., Jain, M., Murray, A. S., Denby, P. M., Roy, N. e Bøtter-Jensen, L. (2008): “Minimizing feldspar OSL contamination in quartz UV-OSL using pulsed blue stimulation”. </w:t>
      </w:r>
      <w:r w:rsidRPr="00CF22F3">
        <w:rPr>
          <w:i/>
          <w:lang w:val="en-US"/>
        </w:rPr>
        <w:t>Radiation Measurements</w:t>
      </w:r>
      <w:r w:rsidRPr="00CF22F3">
        <w:rPr>
          <w:lang w:val="en-US"/>
        </w:rPr>
        <w:t>, 43.</w:t>
      </w:r>
      <w:r>
        <w:rPr>
          <w:lang w:val="en-US"/>
        </w:rPr>
        <w:t>752-</w:t>
      </w:r>
      <w:r w:rsidRPr="00CF22F3">
        <w:rPr>
          <w:lang w:val="en-US"/>
        </w:rPr>
        <w:t>757.</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Tostevin, G. B. (2011): “Levels of Theory and Social Practice in the Reduction Sequence and Chaîne Opératoire Methods of Lithic Analysis”. Special Issue: Reduction Sequence, Chaîne Opératoire, and Other Methods: The Epistemologies of Different Approaches to Lithic Analysis, </w:t>
      </w:r>
      <w:proofErr w:type="gramStart"/>
      <w:r w:rsidRPr="00CF22F3">
        <w:rPr>
          <w:i/>
          <w:lang w:val="en-US"/>
        </w:rPr>
        <w:t>PaleoAnthropology</w:t>
      </w:r>
      <w:r>
        <w:rPr>
          <w:lang w:val="en-US"/>
        </w:rPr>
        <w:t xml:space="preserve"> .</w:t>
      </w:r>
      <w:proofErr w:type="gramEnd"/>
      <w:r>
        <w:rPr>
          <w:lang w:val="en-US"/>
        </w:rPr>
        <w:t xml:space="preserve"> 351-</w:t>
      </w:r>
      <w:r w:rsidRPr="00CF22F3">
        <w:rPr>
          <w:lang w:val="en-US"/>
        </w:rPr>
        <w:t>375</w:t>
      </w:r>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CF22F3">
        <w:t xml:space="preserve">Trinkaus, E., Maki, J. e Zilhão, J. (2007): “Middle Paleolithic Human Remains From the Gruta da Oliveira (Torres Novas), Portugal”. </w:t>
      </w:r>
      <w:proofErr w:type="gramStart"/>
      <w:r w:rsidRPr="00CF22F3">
        <w:rPr>
          <w:i/>
          <w:lang w:val="en-US"/>
        </w:rPr>
        <w:t>American Journal of Physical Anthropology</w:t>
      </w:r>
      <w:r>
        <w:rPr>
          <w:lang w:val="en-US"/>
        </w:rPr>
        <w:t>, 134.</w:t>
      </w:r>
      <w:proofErr w:type="gramEnd"/>
      <w:r>
        <w:rPr>
          <w:lang w:val="en-US"/>
        </w:rPr>
        <w:t xml:space="preserve"> 263-</w:t>
      </w:r>
      <w:r w:rsidRPr="00CF22F3">
        <w:rPr>
          <w:lang w:val="en-US"/>
        </w:rPr>
        <w:t xml:space="preserve"> 273.</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en-US"/>
        </w:rPr>
      </w:pPr>
      <w:r w:rsidRPr="00CF22F3">
        <w:rPr>
          <w:lang w:val="fr-FR"/>
        </w:rPr>
        <w:lastRenderedPageBreak/>
        <w:t xml:space="preserve">Tuffreau, A. (2004): </w:t>
      </w:r>
      <w:r w:rsidRPr="005E5682">
        <w:rPr>
          <w:lang w:val="fr-FR"/>
        </w:rPr>
        <w:t>“</w:t>
      </w:r>
      <w:r w:rsidRPr="00CF22F3">
        <w:rPr>
          <w:lang w:val="fr-FR"/>
        </w:rPr>
        <w:t>L' Acheulien de L'Homo erectus à l'homme de Neandertal</w:t>
      </w:r>
      <w:r w:rsidRPr="005E5682">
        <w:rPr>
          <w:lang w:val="fr-FR"/>
        </w:rPr>
        <w:t>”</w:t>
      </w:r>
      <w:r w:rsidRPr="00CF22F3">
        <w:rPr>
          <w:lang w:val="fr-FR"/>
        </w:rPr>
        <w:t xml:space="preserve">. </w:t>
      </w:r>
      <w:r w:rsidRPr="005E5682">
        <w:rPr>
          <w:lang w:val="fr-FR"/>
        </w:rPr>
        <w:t xml:space="preserve">Histoire de la France Préhistorique. </w:t>
      </w:r>
      <w:proofErr w:type="gramStart"/>
      <w:r w:rsidRPr="00CF22F3">
        <w:rPr>
          <w:lang w:val="en-US"/>
        </w:rPr>
        <w:t>Maison des Roches.</w:t>
      </w:r>
      <w:proofErr w:type="gramEnd"/>
    </w:p>
    <w:p w:rsidR="00D44AC3" w:rsidRDefault="00D44AC3" w:rsidP="008D06DE">
      <w:pPr>
        <w:spacing w:line="360" w:lineRule="auto"/>
        <w:jc w:val="both"/>
        <w:rPr>
          <w:lang w:val="fr-FR"/>
        </w:rPr>
      </w:pPr>
    </w:p>
    <w:p w:rsidR="008D06DE" w:rsidRPr="005E5682" w:rsidRDefault="008D06DE" w:rsidP="008D06DE">
      <w:pPr>
        <w:spacing w:line="360" w:lineRule="auto"/>
        <w:jc w:val="both"/>
        <w:rPr>
          <w:lang w:val="en-US"/>
        </w:rPr>
      </w:pPr>
      <w:r w:rsidRPr="005E5682">
        <w:rPr>
          <w:lang w:val="fr-FR"/>
        </w:rPr>
        <w:t>Turq, A. (2000)</w:t>
      </w:r>
      <w:r w:rsidRPr="00CF22F3">
        <w:rPr>
          <w:lang w:val="fr-FR"/>
        </w:rPr>
        <w:t>:</w:t>
      </w:r>
      <w:r w:rsidRPr="005E5682">
        <w:rPr>
          <w:lang w:val="fr-FR"/>
        </w:rPr>
        <w:t xml:space="preserve"> “Le Paléolithique inferieur et moyen entre Dordogne et Lot ”. </w:t>
      </w:r>
      <w:proofErr w:type="gramStart"/>
      <w:r w:rsidRPr="005E5682">
        <w:rPr>
          <w:i/>
          <w:lang w:val="en-US"/>
        </w:rPr>
        <w:t>Paleo</w:t>
      </w:r>
      <w:r w:rsidRPr="005E5682">
        <w:rPr>
          <w:lang w:val="en-US"/>
        </w:rPr>
        <w:t>, 2, Supplement.</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pPr>
      <w:r w:rsidRPr="00CF22F3">
        <w:rPr>
          <w:lang w:val="en-US"/>
        </w:rPr>
        <w:t xml:space="preserve">Vallverdú ,J.,  Alonso, S.,   Bargalló ,A., Bartrolí ,R., Campeny ,G., Carrancho ,A.,  Expósito ,I., Fontanals ,M., Gabucio ,J.,  Gómez ,B., Prats ,J. M., Sañudo ,P.,  Solé ,A.,  Vilalta ,J. e Carbonell E. (2012): “Combustion structures of archaeological level O and mousterian activity areas with use of fire at the Abric Romaní rockshelter (NE Iberian Peninsula)”.  </w:t>
      </w:r>
      <w:r w:rsidRPr="00CF22F3">
        <w:rPr>
          <w:i/>
        </w:rPr>
        <w:t>Quaternary International</w:t>
      </w:r>
      <w:r w:rsidRPr="00CF22F3">
        <w:t>, 247. 313-324.</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Vaquero, M. (1997): “Tecnología </w:t>
      </w:r>
      <w:proofErr w:type="gramStart"/>
      <w:r w:rsidRPr="00CF22F3">
        <w:t>lítica y comportamiento humano</w:t>
      </w:r>
      <w:proofErr w:type="gramEnd"/>
      <w:r w:rsidRPr="00CF22F3">
        <w:t xml:space="preserve">: organización de las actividades técnicas y </w:t>
      </w:r>
      <w:proofErr w:type="gramStart"/>
      <w:r w:rsidRPr="00CF22F3">
        <w:t>cambio</w:t>
      </w:r>
      <w:proofErr w:type="gramEnd"/>
      <w:r w:rsidRPr="00CF22F3">
        <w:t xml:space="preserve"> diacrónico en el Paleolítico Medio del Abric Romaní”. Tese de doutoramento, Departamento de Història i Geografia, Universitat Rovira i Virgili.</w:t>
      </w:r>
    </w:p>
    <w:p w:rsidR="00D44AC3" w:rsidRDefault="00D44AC3" w:rsidP="008D06DE">
      <w:pPr>
        <w:spacing w:line="360" w:lineRule="auto"/>
        <w:jc w:val="both"/>
      </w:pPr>
    </w:p>
    <w:p w:rsidR="008D06DE" w:rsidRPr="00CF22F3" w:rsidRDefault="008D06DE" w:rsidP="008D06DE">
      <w:pPr>
        <w:spacing w:line="360" w:lineRule="auto"/>
        <w:jc w:val="both"/>
      </w:pPr>
      <w:r w:rsidRPr="00CF22F3">
        <w:t xml:space="preserve">Viana, A. e Zbyzewsky, J. (1949): “Contribuição para o estudo do Quaternário do Algarve”. </w:t>
      </w:r>
      <w:r w:rsidRPr="00CF22F3">
        <w:rPr>
          <w:i/>
        </w:rPr>
        <w:t>Comunicações dos Serviços Geológicos de Portugal</w:t>
      </w:r>
      <w:r w:rsidRPr="00CF22F3">
        <w:t>, 29. 197-250.</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Villa, P. </w:t>
      </w:r>
      <w:r>
        <w:rPr>
          <w:lang w:val="en-US"/>
        </w:rPr>
        <w:t>(1982)</w:t>
      </w:r>
      <w:r w:rsidRPr="00CF22F3">
        <w:t>: “</w:t>
      </w:r>
      <w:r w:rsidRPr="00CF22F3">
        <w:rPr>
          <w:lang w:val="en-US"/>
        </w:rPr>
        <w:t>Conjoinable pieces and site formation processes</w:t>
      </w:r>
      <w:r w:rsidRPr="005E5682">
        <w:rPr>
          <w:lang w:val="en-US"/>
        </w:rPr>
        <w:t>”</w:t>
      </w:r>
      <w:r>
        <w:rPr>
          <w:lang w:val="en-US"/>
        </w:rPr>
        <w:t>.</w:t>
      </w:r>
      <w:r w:rsidRPr="00CF22F3">
        <w:rPr>
          <w:lang w:val="en-US"/>
        </w:rPr>
        <w:t xml:space="preserve"> </w:t>
      </w:r>
      <w:proofErr w:type="gramStart"/>
      <w:r w:rsidRPr="00CF22F3">
        <w:rPr>
          <w:i/>
          <w:lang w:val="en-US"/>
        </w:rPr>
        <w:t>American Antiquity</w:t>
      </w:r>
      <w:r w:rsidRPr="00CF22F3">
        <w:rPr>
          <w:lang w:val="en-US"/>
        </w:rPr>
        <w:t>.</w:t>
      </w:r>
      <w:proofErr w:type="gramEnd"/>
      <w:r w:rsidRPr="00CF22F3">
        <w:rPr>
          <w:lang w:val="en-US"/>
        </w:rPr>
        <w:t xml:space="preserve"> </w:t>
      </w:r>
      <w:proofErr w:type="gramStart"/>
      <w:r w:rsidRPr="00CF22F3">
        <w:rPr>
          <w:lang w:val="en-US"/>
        </w:rPr>
        <w:t>276-290.</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Wadley, L (2012)</w:t>
      </w:r>
      <w:r w:rsidRPr="005E5682">
        <w:rPr>
          <w:lang w:val="en-US"/>
        </w:rPr>
        <w:t>: “</w:t>
      </w:r>
      <w:r w:rsidRPr="00CF22F3">
        <w:rPr>
          <w:lang w:val="en-US"/>
        </w:rPr>
        <w:t xml:space="preserve">Some combustion features at Sibudu, South Africa, between 65,000 and 58,000 years ago”.  </w:t>
      </w:r>
      <w:proofErr w:type="gramStart"/>
      <w:r w:rsidRPr="00CF22F3">
        <w:rPr>
          <w:i/>
          <w:lang w:val="en-US"/>
        </w:rPr>
        <w:t>Quaternary International</w:t>
      </w:r>
      <w:r w:rsidRPr="00CF22F3">
        <w:rPr>
          <w:lang w:val="en-US"/>
        </w:rPr>
        <w:t>, 247.</w:t>
      </w:r>
      <w:proofErr w:type="gramEnd"/>
      <w:r w:rsidRPr="00CF22F3">
        <w:rPr>
          <w:lang w:val="en-US"/>
        </w:rPr>
        <w:t xml:space="preserve"> </w:t>
      </w:r>
      <w:proofErr w:type="gramStart"/>
      <w:r w:rsidRPr="00CF22F3">
        <w:rPr>
          <w:lang w:val="en-US"/>
        </w:rPr>
        <w:t>341-349.</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Walker, M. J.,  Gibert, J., López, M. V., Vincent Lombardi, A. Alejandro Pérez-Pérez, A., Ortega, J., Higham, T., Pike, A.,  Schwenninger, J-L., Zilhão, J. e Trinkaus, E. (2008): “Late Neandertals in Southeastern Iberia: Sima de las Palomas del Cabezo Gordo, Murcia,  Spain</w:t>
      </w:r>
      <w:r w:rsidRPr="00CF22F3">
        <w:rPr>
          <w:color w:val="231F20"/>
          <w:lang w:val="en-GB"/>
        </w:rPr>
        <w:t>”</w:t>
      </w:r>
      <w:r w:rsidRPr="00CF22F3">
        <w:rPr>
          <w:lang w:val="en-US"/>
        </w:rPr>
        <w:t xml:space="preserve">. </w:t>
      </w:r>
      <w:proofErr w:type="gramStart"/>
      <w:r w:rsidRPr="00CF22F3">
        <w:rPr>
          <w:i/>
          <w:lang w:val="en-US"/>
        </w:rPr>
        <w:t>PNAS</w:t>
      </w:r>
      <w:r w:rsidRPr="00CF22F3">
        <w:rPr>
          <w:lang w:val="en-US"/>
        </w:rPr>
        <w:t>, 105 (52).</w:t>
      </w:r>
      <w:proofErr w:type="gramEnd"/>
      <w:r w:rsidRPr="00CF22F3">
        <w:rPr>
          <w:lang w:val="en-US"/>
        </w:rPr>
        <w:t xml:space="preserve"> </w:t>
      </w:r>
      <w:proofErr w:type="gramStart"/>
      <w:r w:rsidRPr="00CF22F3">
        <w:rPr>
          <w:lang w:val="en-US"/>
        </w:rPr>
        <w:t>20631-20636.</w:t>
      </w:r>
      <w:proofErr w:type="gramEnd"/>
    </w:p>
    <w:p w:rsidR="00D44AC3" w:rsidRDefault="00D44AC3" w:rsidP="008D06DE">
      <w:pPr>
        <w:autoSpaceDE w:val="0"/>
        <w:autoSpaceDN w:val="0"/>
        <w:adjustRightInd w:val="0"/>
        <w:spacing w:line="360" w:lineRule="auto"/>
        <w:jc w:val="both"/>
        <w:rPr>
          <w:color w:val="231F20"/>
          <w:lang w:val="en-GB"/>
        </w:rPr>
      </w:pPr>
    </w:p>
    <w:p w:rsidR="008D06DE" w:rsidRPr="00CF22F3" w:rsidRDefault="008D06DE" w:rsidP="008D06DE">
      <w:pPr>
        <w:autoSpaceDE w:val="0"/>
        <w:autoSpaceDN w:val="0"/>
        <w:adjustRightInd w:val="0"/>
        <w:spacing w:line="360" w:lineRule="auto"/>
        <w:jc w:val="both"/>
        <w:rPr>
          <w:color w:val="231F20"/>
          <w:lang w:val="en-GB"/>
        </w:rPr>
      </w:pPr>
      <w:r w:rsidRPr="00CF22F3">
        <w:rPr>
          <w:color w:val="231F20"/>
          <w:lang w:val="en-GB"/>
        </w:rPr>
        <w:t xml:space="preserve">Wenban-Smith, F. F., Allen, P., Bates, M. R., Parfitt, S. A., Preece, R. C., Stewart, J. R., Turner, C. </w:t>
      </w:r>
      <w:r>
        <w:rPr>
          <w:color w:val="231F20"/>
          <w:lang w:val="en-GB"/>
        </w:rPr>
        <w:t>e</w:t>
      </w:r>
      <w:r w:rsidRPr="00CF22F3">
        <w:rPr>
          <w:color w:val="231F20"/>
          <w:lang w:val="en-GB"/>
        </w:rPr>
        <w:t xml:space="preserve"> Whittaker, J. E. (2006)</w:t>
      </w:r>
      <w:r w:rsidRPr="005E5682">
        <w:rPr>
          <w:lang w:val="en-US"/>
        </w:rPr>
        <w:t>: “</w:t>
      </w:r>
      <w:r w:rsidRPr="00CF22F3">
        <w:rPr>
          <w:color w:val="231F20"/>
          <w:lang w:val="en-GB"/>
        </w:rPr>
        <w:t xml:space="preserve">The Clactonian elephant butchery site at Southfleet Road, Ebbsfleet, UK”. </w:t>
      </w:r>
      <w:proofErr w:type="gramStart"/>
      <w:r w:rsidRPr="00CF22F3">
        <w:rPr>
          <w:i/>
          <w:color w:val="231F20"/>
          <w:lang w:val="en-GB"/>
        </w:rPr>
        <w:t>Journal of Quaternary Science</w:t>
      </w:r>
      <w:r>
        <w:rPr>
          <w:color w:val="231F20"/>
          <w:lang w:val="en-GB"/>
        </w:rPr>
        <w:t>, 21.</w:t>
      </w:r>
      <w:proofErr w:type="gramEnd"/>
      <w:r>
        <w:rPr>
          <w:color w:val="231F20"/>
          <w:lang w:val="en-GB"/>
        </w:rPr>
        <w:t xml:space="preserve"> </w:t>
      </w:r>
      <w:proofErr w:type="gramStart"/>
      <w:r>
        <w:rPr>
          <w:color w:val="231F20"/>
          <w:lang w:val="en-GB"/>
        </w:rPr>
        <w:t>471-</w:t>
      </w:r>
      <w:r w:rsidRPr="00CF22F3">
        <w:rPr>
          <w:color w:val="231F20"/>
          <w:lang w:val="en-GB"/>
        </w:rPr>
        <w:t>483.</w:t>
      </w:r>
      <w:proofErr w:type="gramEnd"/>
      <w:r w:rsidRPr="00CF22F3">
        <w:rPr>
          <w:color w:val="231F20"/>
          <w:lang w:val="en-GB"/>
        </w:rPr>
        <w:t xml:space="preserve"> </w:t>
      </w:r>
    </w:p>
    <w:p w:rsidR="00D44AC3" w:rsidRDefault="00D44AC3" w:rsidP="008D06DE">
      <w:pPr>
        <w:autoSpaceDE w:val="0"/>
        <w:autoSpaceDN w:val="0"/>
        <w:adjustRightInd w:val="0"/>
        <w:spacing w:line="360" w:lineRule="auto"/>
        <w:jc w:val="both"/>
        <w:rPr>
          <w:lang w:val="en-US"/>
        </w:rPr>
      </w:pPr>
    </w:p>
    <w:p w:rsidR="008D06DE" w:rsidRPr="00CF22F3" w:rsidRDefault="008D06DE" w:rsidP="00A045DA">
      <w:pPr>
        <w:autoSpaceDE w:val="0"/>
        <w:autoSpaceDN w:val="0"/>
        <w:adjustRightInd w:val="0"/>
        <w:spacing w:line="360" w:lineRule="auto"/>
        <w:jc w:val="both"/>
        <w:rPr>
          <w:lang w:val="en-US"/>
        </w:rPr>
      </w:pPr>
      <w:r w:rsidRPr="00CF22F3">
        <w:rPr>
          <w:lang w:val="en-US"/>
        </w:rPr>
        <w:t xml:space="preserve">White, M. J. </w:t>
      </w:r>
      <w:r>
        <w:rPr>
          <w:lang w:val="en-US"/>
        </w:rPr>
        <w:t>e</w:t>
      </w:r>
      <w:r w:rsidRPr="00CF22F3">
        <w:rPr>
          <w:lang w:val="en-US"/>
        </w:rPr>
        <w:t xml:space="preserve"> Jacobi, R. (2002): “Two sides to every story. Bout coupé handaxes revisited”.</w:t>
      </w:r>
      <w:r w:rsidR="00A045DA">
        <w:rPr>
          <w:lang w:val="en-US"/>
        </w:rPr>
        <w:t xml:space="preserve"> </w:t>
      </w:r>
      <w:r w:rsidRPr="00CF22F3">
        <w:rPr>
          <w:i/>
          <w:iCs/>
          <w:lang w:val="en-US"/>
        </w:rPr>
        <w:t xml:space="preserve">Oxford Journal of Archaeology, </w:t>
      </w:r>
      <w:r w:rsidRPr="00CF22F3">
        <w:rPr>
          <w:lang w:val="en-US"/>
        </w:rPr>
        <w:t>21.109-133.</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White, M., Scott, B. e Ashton, N. (2006): “The Early Middle Palaeolithic in Britain: archaeology, settlement history and human behavior”. </w:t>
      </w:r>
      <w:proofErr w:type="gramStart"/>
      <w:r w:rsidRPr="00CF22F3">
        <w:rPr>
          <w:i/>
          <w:lang w:val="en-US"/>
        </w:rPr>
        <w:t>Journal of Quaternary Science</w:t>
      </w:r>
      <w:r>
        <w:rPr>
          <w:lang w:val="en-US"/>
        </w:rPr>
        <w:t>, 21(5).</w:t>
      </w:r>
      <w:proofErr w:type="gramEnd"/>
      <w:r>
        <w:rPr>
          <w:lang w:val="en-US"/>
        </w:rPr>
        <w:t xml:space="preserve"> </w:t>
      </w:r>
      <w:proofErr w:type="gramStart"/>
      <w:r>
        <w:rPr>
          <w:lang w:val="en-US"/>
        </w:rPr>
        <w:t>525-</w:t>
      </w:r>
      <w:r w:rsidRPr="00CF22F3">
        <w:rPr>
          <w:lang w:val="en-US"/>
        </w:rPr>
        <w:t>541.</w:t>
      </w:r>
      <w:proofErr w:type="gramEnd"/>
    </w:p>
    <w:p w:rsidR="00D44AC3" w:rsidRDefault="00D44AC3" w:rsidP="008D06DE">
      <w:pPr>
        <w:spacing w:line="360" w:lineRule="auto"/>
        <w:jc w:val="both"/>
      </w:pPr>
    </w:p>
    <w:p w:rsidR="008D06DE" w:rsidRPr="00CF22F3" w:rsidRDefault="008D06DE" w:rsidP="008D06DE">
      <w:pPr>
        <w:spacing w:line="360" w:lineRule="auto"/>
        <w:jc w:val="both"/>
        <w:rPr>
          <w:lang w:val="en-US"/>
        </w:rPr>
      </w:pPr>
      <w:r w:rsidRPr="0086102E">
        <w:t>Willman, J., Maki, J., Bayle, P.</w:t>
      </w:r>
      <w:proofErr w:type="gramStart"/>
      <w:r w:rsidRPr="0086102E">
        <w:t>,  Trinkaus</w:t>
      </w:r>
      <w:proofErr w:type="gramEnd"/>
      <w:r w:rsidRPr="0086102E">
        <w:t xml:space="preserve">, E. e Zilhão, J. (2012): “Middle Paleolithic Human Remains from the Gruta da Oliveira (Torres Novas), Portugal”. </w:t>
      </w:r>
      <w:proofErr w:type="gramStart"/>
      <w:r w:rsidRPr="00CF22F3">
        <w:rPr>
          <w:i/>
          <w:lang w:val="en-US"/>
        </w:rPr>
        <w:t>American Journal of Physical Anthropology</w:t>
      </w:r>
      <w:r w:rsidRPr="00CF22F3">
        <w:rPr>
          <w:lang w:val="en-US"/>
        </w:rPr>
        <w:t>, 149, 1.</w:t>
      </w:r>
      <w:proofErr w:type="gramEnd"/>
      <w:r w:rsidRPr="00CF22F3">
        <w:rPr>
          <w:lang w:val="en-US"/>
        </w:rPr>
        <w:t xml:space="preserve"> </w:t>
      </w:r>
      <w:proofErr w:type="gramStart"/>
      <w:r w:rsidRPr="00CF22F3">
        <w:rPr>
          <w:lang w:val="en-US"/>
        </w:rPr>
        <w:t>31-51.</w:t>
      </w:r>
      <w:proofErr w:type="gramEnd"/>
    </w:p>
    <w:p w:rsidR="00A045DA" w:rsidRDefault="00A045DA"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Winograd, I. J., Coplen T. B., Landwehr, J. M., Riggs, A. C., Ludwig, K. R., Szabo, B. J., Kolesar, P. T., e Revesz, K. M. (1992): “Continuous 500,000-year climate record from vein calcite in Devils Hole, Nevada”. </w:t>
      </w:r>
      <w:proofErr w:type="gramStart"/>
      <w:r w:rsidRPr="00CF22F3">
        <w:rPr>
          <w:i/>
          <w:lang w:val="en-US"/>
        </w:rPr>
        <w:t>Science</w:t>
      </w:r>
      <w:r w:rsidRPr="00CF22F3">
        <w:rPr>
          <w:lang w:val="en-US"/>
        </w:rPr>
        <w:t>, 258, 5080.</w:t>
      </w:r>
      <w:proofErr w:type="gramEnd"/>
      <w:r w:rsidRPr="00CF22F3">
        <w:rPr>
          <w:lang w:val="en-US"/>
        </w:rPr>
        <w:t xml:space="preserve"> </w:t>
      </w:r>
      <w:proofErr w:type="gramStart"/>
      <w:r w:rsidRPr="00CF22F3">
        <w:rPr>
          <w:lang w:val="en-US"/>
        </w:rPr>
        <w:t>255-260.</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Woodward, J. (2009)</w:t>
      </w:r>
      <w:r w:rsidRPr="005E5682">
        <w:rPr>
          <w:lang w:val="en-US"/>
        </w:rPr>
        <w:t>: “</w:t>
      </w:r>
      <w:r w:rsidRPr="00CF22F3">
        <w:rPr>
          <w:lang w:val="en-US"/>
        </w:rPr>
        <w:t xml:space="preserve">Quaternary Geography and the Human past”. </w:t>
      </w:r>
      <w:proofErr w:type="gramStart"/>
      <w:r w:rsidRPr="007E759C">
        <w:rPr>
          <w:i/>
          <w:lang w:val="en-US"/>
        </w:rPr>
        <w:t>In</w:t>
      </w:r>
      <w:r w:rsidRPr="00CF22F3">
        <w:rPr>
          <w:lang w:val="en-US"/>
        </w:rPr>
        <w:t xml:space="preserve"> :</w:t>
      </w:r>
      <w:proofErr w:type="gramEnd"/>
      <w:r w:rsidRPr="00CF22F3">
        <w:rPr>
          <w:lang w:val="en-US"/>
        </w:rPr>
        <w:t xml:space="preserve"> A Compagnion to Environmental Geography. </w:t>
      </w:r>
      <w:proofErr w:type="gramStart"/>
      <w:r w:rsidRPr="00CF22F3">
        <w:rPr>
          <w:lang w:val="en-US"/>
        </w:rPr>
        <w:t>Castree, N., Demeritt, D., Liverman, D.</w:t>
      </w:r>
      <w:proofErr w:type="gramEnd"/>
      <w:r w:rsidRPr="00CF22F3">
        <w:rPr>
          <w:lang w:val="en-US"/>
        </w:rPr>
        <w:t xml:space="preserve">  </w:t>
      </w:r>
      <w:proofErr w:type="gramStart"/>
      <w:r w:rsidRPr="00CF22F3">
        <w:rPr>
          <w:lang w:val="en-US"/>
        </w:rPr>
        <w:t>e  Rhoads</w:t>
      </w:r>
      <w:proofErr w:type="gramEnd"/>
      <w:r w:rsidRPr="00CF22F3">
        <w:rPr>
          <w:lang w:val="en-US"/>
        </w:rPr>
        <w:t xml:space="preserve">, B. eds. Wiley -Blackwell. </w:t>
      </w:r>
      <w:proofErr w:type="gramStart"/>
      <w:r w:rsidRPr="00CF22F3">
        <w:rPr>
          <w:lang w:val="en-US"/>
        </w:rPr>
        <w:t>188-222.</w:t>
      </w:r>
      <w:proofErr w:type="gramEnd"/>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Wrangham, R. (2009)</w:t>
      </w:r>
      <w:r w:rsidRPr="005E5682">
        <w:rPr>
          <w:lang w:val="en-US"/>
        </w:rPr>
        <w:t>: “</w:t>
      </w:r>
      <w:r w:rsidRPr="00CF22F3">
        <w:rPr>
          <w:lang w:val="en-US"/>
        </w:rPr>
        <w:t xml:space="preserve">Catching Fire: How Cooking Made Us Human”. </w:t>
      </w:r>
      <w:proofErr w:type="gramStart"/>
      <w:r w:rsidRPr="00CF22F3">
        <w:rPr>
          <w:lang w:val="en-US"/>
        </w:rPr>
        <w:t>Basic Books, New York.</w:t>
      </w:r>
      <w:proofErr w:type="gramEnd"/>
    </w:p>
    <w:p w:rsidR="00D44AC3" w:rsidRDefault="00D44AC3" w:rsidP="008D06DE">
      <w:pPr>
        <w:spacing w:line="360" w:lineRule="auto"/>
        <w:jc w:val="both"/>
        <w:rPr>
          <w:lang w:val="fr-FR"/>
        </w:rPr>
      </w:pPr>
    </w:p>
    <w:p w:rsidR="008D06DE" w:rsidRPr="00B25828" w:rsidRDefault="008D06DE" w:rsidP="008D06DE">
      <w:pPr>
        <w:spacing w:line="360" w:lineRule="auto"/>
        <w:jc w:val="both"/>
        <w:rPr>
          <w:lang w:val="fr-FR"/>
        </w:rPr>
      </w:pPr>
      <w:r w:rsidRPr="006D2683">
        <w:rPr>
          <w:lang w:val="fr-FR"/>
        </w:rPr>
        <w:t xml:space="preserve">Zbyszewski, G. (1940): “Contribution à l'étude du littoral quaternaire au Portugal”. </w:t>
      </w:r>
      <w:r w:rsidRPr="00B25828">
        <w:rPr>
          <w:i/>
          <w:lang w:val="fr-FR"/>
        </w:rPr>
        <w:t>Anais da Faculdade de Ciências da Universidade do Porto</w:t>
      </w:r>
      <w:r w:rsidRPr="00B25828">
        <w:rPr>
          <w:lang w:val="fr-FR"/>
        </w:rPr>
        <w:t xml:space="preserve">, 25. 48-63. </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Zbyszewski, G. (1943)</w:t>
      </w:r>
      <w:r w:rsidRPr="006D2683">
        <w:rPr>
          <w:lang w:val="fr-FR"/>
        </w:rPr>
        <w:t>: “</w:t>
      </w:r>
      <w:r w:rsidRPr="00CF22F3">
        <w:rPr>
          <w:lang w:val="fr-FR"/>
        </w:rPr>
        <w:t>La classification du Paléolithique ancien et la chronologie du Quaternaire de Portugal en 1942</w:t>
      </w:r>
      <w:r w:rsidRPr="006D2683">
        <w:rPr>
          <w:lang w:val="fr-FR"/>
        </w:rPr>
        <w:t>”</w:t>
      </w:r>
      <w:r w:rsidRPr="00CF22F3">
        <w:rPr>
          <w:lang w:val="fr-FR"/>
        </w:rPr>
        <w:t xml:space="preserve">. </w:t>
      </w:r>
      <w:r w:rsidRPr="00CF22F3">
        <w:rPr>
          <w:i/>
          <w:lang w:val="fr-FR"/>
        </w:rPr>
        <w:t>Boletin da Sociedade Geológica de Portugal,</w:t>
      </w:r>
      <w:r w:rsidRPr="00CF22F3">
        <w:rPr>
          <w:lang w:val="fr-FR"/>
        </w:rPr>
        <w:t xml:space="preserve"> II</w:t>
      </w:r>
      <w:r>
        <w:rPr>
          <w:lang w:val="fr-FR"/>
        </w:rPr>
        <w:t>, (2-3).</w:t>
      </w:r>
      <w:r w:rsidRPr="00CF22F3">
        <w:rPr>
          <w:lang w:val="fr-FR"/>
        </w:rPr>
        <w:t xml:space="preserve"> 1-113.</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fr-FR"/>
        </w:rPr>
      </w:pPr>
      <w:r w:rsidRPr="00CF22F3">
        <w:rPr>
          <w:lang w:val="fr-FR"/>
        </w:rPr>
        <w:t>Zbyszewsky, G. (1974): “L’age d</w:t>
      </w:r>
      <w:r>
        <w:rPr>
          <w:lang w:val="fr-FR"/>
        </w:rPr>
        <w:t>e la pierre taillé au Portugal”.</w:t>
      </w:r>
      <w:r w:rsidRPr="00CF22F3">
        <w:rPr>
          <w:lang w:val="fr-FR"/>
        </w:rPr>
        <w:t xml:space="preserve"> </w:t>
      </w:r>
      <w:r w:rsidRPr="00CF22F3">
        <w:rPr>
          <w:i/>
          <w:lang w:val="fr-FR"/>
        </w:rPr>
        <w:t>Les Dossiers de L’Archéologie</w:t>
      </w:r>
      <w:r w:rsidRPr="00CF22F3">
        <w:rPr>
          <w:lang w:val="fr-FR"/>
        </w:rPr>
        <w:t>, 4. 19-30.</w:t>
      </w:r>
    </w:p>
    <w:p w:rsidR="00D44AC3" w:rsidRDefault="00D44AC3" w:rsidP="008D06DE">
      <w:pPr>
        <w:spacing w:line="360" w:lineRule="auto"/>
        <w:jc w:val="both"/>
        <w:rPr>
          <w:lang w:val="fr-FR"/>
        </w:rPr>
      </w:pPr>
    </w:p>
    <w:p w:rsidR="008D06DE" w:rsidRPr="00CF22F3" w:rsidRDefault="008D06DE" w:rsidP="008D06DE">
      <w:pPr>
        <w:spacing w:line="360" w:lineRule="auto"/>
        <w:jc w:val="both"/>
        <w:rPr>
          <w:lang w:val="en-US"/>
        </w:rPr>
      </w:pPr>
      <w:r w:rsidRPr="00B25828">
        <w:rPr>
          <w:lang w:val="fr-FR"/>
        </w:rPr>
        <w:lastRenderedPageBreak/>
        <w:t>Zilhão, J. (1992): “E</w:t>
      </w:r>
      <w:r w:rsidRPr="00CF22F3">
        <w:t xml:space="preserve">stratégias de povoamento e subsistência no Paléolítico e no Mesolítico de Portugal”. </w:t>
      </w:r>
      <w:r w:rsidRPr="007E759C">
        <w:rPr>
          <w:i/>
        </w:rPr>
        <w:t>In</w:t>
      </w:r>
      <w:r w:rsidRPr="00CF22F3">
        <w:t xml:space="preserve">: Moure Romanillo, A. </w:t>
      </w:r>
      <w:proofErr w:type="gramStart"/>
      <w:r w:rsidRPr="00CF22F3">
        <w:t>edi..</w:t>
      </w:r>
      <w:proofErr w:type="gramEnd"/>
      <w:r w:rsidRPr="00CF22F3">
        <w:t xml:space="preserve"> Elefantes, Ciervos y ovicaprinos. </w:t>
      </w:r>
      <w:proofErr w:type="gramStart"/>
      <w:r w:rsidRPr="00CF22F3">
        <w:t>Economia  y</w:t>
      </w:r>
      <w:proofErr w:type="gramEnd"/>
      <w:r w:rsidRPr="00CF22F3">
        <w:t xml:space="preserve"> aprovechamento del médio en la prehistória de España e Portugal. </w:t>
      </w:r>
      <w:r w:rsidRPr="00CF22F3">
        <w:rPr>
          <w:lang w:val="en-US"/>
        </w:rPr>
        <w:t xml:space="preserve">Santander. Universidade de Cantábria. </w:t>
      </w:r>
      <w:proofErr w:type="gramStart"/>
      <w:r w:rsidRPr="00CF22F3">
        <w:rPr>
          <w:lang w:val="en-US"/>
        </w:rPr>
        <w:t>149-162.</w:t>
      </w:r>
      <w:proofErr w:type="gramEnd"/>
    </w:p>
    <w:p w:rsidR="00D44AC3" w:rsidRDefault="00D44AC3" w:rsidP="008D06DE">
      <w:pPr>
        <w:autoSpaceDE w:val="0"/>
        <w:autoSpaceDN w:val="0"/>
        <w:adjustRightInd w:val="0"/>
        <w:spacing w:line="360" w:lineRule="auto"/>
        <w:jc w:val="both"/>
        <w:rPr>
          <w:rFonts w:eastAsia="AGaramond-Regular"/>
          <w:lang w:val="en-US"/>
        </w:rPr>
      </w:pPr>
    </w:p>
    <w:p w:rsidR="008D06DE" w:rsidRPr="00CF22F3" w:rsidRDefault="008D06DE" w:rsidP="008D06DE">
      <w:pPr>
        <w:autoSpaceDE w:val="0"/>
        <w:autoSpaceDN w:val="0"/>
        <w:adjustRightInd w:val="0"/>
        <w:spacing w:line="360" w:lineRule="auto"/>
        <w:jc w:val="both"/>
        <w:rPr>
          <w:rFonts w:eastAsia="AGaramond-Regular"/>
        </w:rPr>
      </w:pPr>
      <w:r w:rsidRPr="00CF22F3">
        <w:rPr>
          <w:rFonts w:eastAsia="AGaramond-Regular"/>
          <w:lang w:val="en-US"/>
        </w:rPr>
        <w:t xml:space="preserve">Zilhao, J. </w:t>
      </w:r>
      <w:r>
        <w:rPr>
          <w:rFonts w:eastAsia="AGaramond-Regular"/>
          <w:lang w:val="en-US"/>
        </w:rPr>
        <w:t>e</w:t>
      </w:r>
      <w:r w:rsidRPr="00CF22F3">
        <w:rPr>
          <w:rFonts w:eastAsia="AGaramond-Regular"/>
          <w:lang w:val="en-US"/>
        </w:rPr>
        <w:t xml:space="preserve"> McKinney, C. (1995): “Uranium-Thorium dating of Lower and Middle Paleolithic sites in the Almonda karstic system (Torres Novas, Portugal)”. </w:t>
      </w:r>
      <w:r w:rsidRPr="007E759C">
        <w:rPr>
          <w:rFonts w:eastAsia="AGaramond-Regular"/>
          <w:i/>
        </w:rPr>
        <w:t>In</w:t>
      </w:r>
      <w:r w:rsidRPr="00CF22F3">
        <w:rPr>
          <w:rFonts w:eastAsia="AGaramond-Regular"/>
        </w:rPr>
        <w:t xml:space="preserve">: Actas da </w:t>
      </w:r>
      <w:r w:rsidRPr="00CF22F3">
        <w:rPr>
          <w:rFonts w:eastAsia="AGaramond-Regular"/>
          <w:iCs/>
        </w:rPr>
        <w:t>3.ª Reunião do</w:t>
      </w:r>
      <w:r w:rsidRPr="00CF22F3">
        <w:rPr>
          <w:rFonts w:eastAsia="AGaramond-Regular"/>
        </w:rPr>
        <w:t xml:space="preserve"> </w:t>
      </w:r>
      <w:r w:rsidRPr="00CF22F3">
        <w:rPr>
          <w:rFonts w:eastAsia="AGaramond-Regular"/>
          <w:iCs/>
        </w:rPr>
        <w:t>Quaternário Ibérico</w:t>
      </w:r>
      <w:r w:rsidRPr="00CF22F3">
        <w:rPr>
          <w:rFonts w:eastAsia="AGaramond-Regular"/>
        </w:rPr>
        <w:t>. Coimbra. 513-516.</w:t>
      </w:r>
    </w:p>
    <w:p w:rsidR="008D06DE" w:rsidRPr="00CF22F3" w:rsidRDefault="008D06DE" w:rsidP="008D06DE">
      <w:pPr>
        <w:autoSpaceDE w:val="0"/>
        <w:autoSpaceDN w:val="0"/>
        <w:adjustRightInd w:val="0"/>
        <w:spacing w:line="360" w:lineRule="auto"/>
        <w:jc w:val="both"/>
        <w:rPr>
          <w:rFonts w:eastAsia="AGaramond-Regular"/>
        </w:rPr>
      </w:pPr>
    </w:p>
    <w:p w:rsidR="008D06DE" w:rsidRPr="00CF22F3" w:rsidRDefault="008D06DE" w:rsidP="008D06DE">
      <w:pPr>
        <w:spacing w:line="360" w:lineRule="auto"/>
        <w:jc w:val="both"/>
      </w:pPr>
      <w:r w:rsidRPr="00CF22F3">
        <w:t>Zilhão, J. (1997): “O Paleolítico Superior da Estremadura Portuguesa”. Colibri. Lisboa.</w:t>
      </w:r>
    </w:p>
    <w:p w:rsidR="00D44AC3" w:rsidRDefault="00D44AC3" w:rsidP="008D06DE">
      <w:pPr>
        <w:spacing w:line="360" w:lineRule="auto"/>
        <w:jc w:val="both"/>
        <w:rPr>
          <w:lang w:val="en-US"/>
        </w:rPr>
      </w:pPr>
    </w:p>
    <w:p w:rsidR="008D06DE" w:rsidRPr="00CF22F3" w:rsidRDefault="008D06DE" w:rsidP="008D06DE">
      <w:pPr>
        <w:spacing w:line="360" w:lineRule="auto"/>
        <w:jc w:val="both"/>
        <w:rPr>
          <w:lang w:val="en-US"/>
        </w:rPr>
      </w:pPr>
      <w:r w:rsidRPr="00CF22F3">
        <w:rPr>
          <w:lang w:val="en-US"/>
        </w:rPr>
        <w:t xml:space="preserve">Zilhão, J. (2006): “Chronostratigraphy of the Middle-to-Upper Paleolithic Transition in the Iberian Peninsula”. </w:t>
      </w:r>
      <w:proofErr w:type="gramStart"/>
      <w:r w:rsidRPr="00CF22F3">
        <w:rPr>
          <w:i/>
          <w:lang w:val="en-US"/>
        </w:rPr>
        <w:t>Pyrenae</w:t>
      </w:r>
      <w:r w:rsidRPr="00CF22F3">
        <w:rPr>
          <w:lang w:val="en-US"/>
        </w:rPr>
        <w:t>, 37, 1.</w:t>
      </w:r>
      <w:proofErr w:type="gramEnd"/>
      <w:r w:rsidRPr="00CF22F3">
        <w:rPr>
          <w:lang w:val="en-US"/>
        </w:rPr>
        <w:t xml:space="preserve"> </w:t>
      </w:r>
      <w:proofErr w:type="gramStart"/>
      <w:r w:rsidRPr="00CF22F3">
        <w:rPr>
          <w:lang w:val="en-US"/>
        </w:rPr>
        <w:t>7-84.</w:t>
      </w:r>
      <w:proofErr w:type="gramEnd"/>
    </w:p>
    <w:p w:rsidR="00A045DA" w:rsidRDefault="00A045DA" w:rsidP="008D06DE">
      <w:pPr>
        <w:spacing w:line="360" w:lineRule="auto"/>
        <w:jc w:val="both"/>
        <w:rPr>
          <w:lang w:val="en-US"/>
        </w:rPr>
      </w:pPr>
    </w:p>
    <w:p w:rsidR="008D06DE" w:rsidRPr="006D2683" w:rsidRDefault="008D06DE" w:rsidP="008D06DE">
      <w:pPr>
        <w:spacing w:line="360" w:lineRule="auto"/>
        <w:jc w:val="both"/>
        <w:rPr>
          <w:lang w:val="en-US"/>
        </w:rPr>
      </w:pPr>
      <w:r w:rsidRPr="00CF22F3">
        <w:rPr>
          <w:lang w:val="en-US"/>
        </w:rPr>
        <w:t>Zilhão J., Davis, S.J.M., Duarte, C., Soares, A.M</w:t>
      </w:r>
      <w:r>
        <w:rPr>
          <w:lang w:val="en-US"/>
        </w:rPr>
        <w:t>.M., e Steier, P.</w:t>
      </w:r>
      <w:r w:rsidRPr="00CF22F3">
        <w:rPr>
          <w:lang w:val="en-US"/>
        </w:rPr>
        <w:t xml:space="preserve"> (2010a): “Pego do Diabo (Loures, Portugal): Dating the Emergence of Anatomical Modernity in Westernmost Eurasia”. </w:t>
      </w:r>
      <w:r w:rsidRPr="006D2683">
        <w:rPr>
          <w:i/>
          <w:lang w:val="en-US"/>
        </w:rPr>
        <w:t>PLoS ONE</w:t>
      </w:r>
      <w:r w:rsidRPr="006D2683">
        <w:rPr>
          <w:lang w:val="en-US"/>
        </w:rPr>
        <w:t xml:space="preserve"> 5(1): e8880. doi:10.1371/journal.pone.0008880</w:t>
      </w:r>
    </w:p>
    <w:p w:rsidR="008D06DE" w:rsidRPr="006D2683" w:rsidRDefault="008D06DE" w:rsidP="008D06DE">
      <w:pPr>
        <w:spacing w:line="360" w:lineRule="auto"/>
        <w:jc w:val="both"/>
        <w:rPr>
          <w:lang w:val="en-US"/>
        </w:rPr>
      </w:pPr>
    </w:p>
    <w:p w:rsidR="008D06DE" w:rsidRPr="00CF22F3" w:rsidRDefault="008D06DE" w:rsidP="008D06DE">
      <w:pPr>
        <w:spacing w:line="360" w:lineRule="auto"/>
        <w:jc w:val="both"/>
      </w:pPr>
      <w:r w:rsidRPr="0086102E">
        <w:t>Zilhão, J., Angelucci, D., Argant, J., Brugal, J‐P., Carrion, J.S., Carvalho, R., Fuentes, N. e Nabais, M. (2010b</w:t>
      </w:r>
      <w:r w:rsidRPr="00CF22F3">
        <w:t xml:space="preserve">): “Humans and Hyenas in the Middle Paleolithic of Gruta da Oliveira (Almonda karstic system, Torres Novas, </w:t>
      </w:r>
      <w:proofErr w:type="gramStart"/>
      <w:r w:rsidRPr="00CF22F3">
        <w:t>Portugal)</w:t>
      </w:r>
      <w:proofErr w:type="gramEnd"/>
      <w:r w:rsidRPr="00CF22F3">
        <w:t xml:space="preserve">”. </w:t>
      </w:r>
      <w:r w:rsidRPr="007E759C">
        <w:rPr>
          <w:i/>
        </w:rPr>
        <w:t>In</w:t>
      </w:r>
      <w:r w:rsidRPr="00CF22F3">
        <w:t>: 1.ª Reunión de científicos sobre cubiles de hiena (y otros grandes carnívoros) en los yacimientos arqueológicos de la Península Ibérica. Alcalá de Henares. Zona Arqueológi</w:t>
      </w:r>
      <w:r>
        <w:t>ca, Museo Arqueológico Regional.</w:t>
      </w:r>
      <w:r w:rsidRPr="00CF22F3">
        <w:t xml:space="preserve"> 298‐308.</w:t>
      </w:r>
    </w:p>
    <w:p w:rsidR="00D44AC3" w:rsidRDefault="00D44AC3" w:rsidP="008D06DE">
      <w:pPr>
        <w:spacing w:line="360" w:lineRule="auto"/>
        <w:jc w:val="both"/>
      </w:pPr>
    </w:p>
    <w:p w:rsidR="008D06DE" w:rsidRPr="00CF22F3" w:rsidRDefault="008D06DE" w:rsidP="008D06DE">
      <w:pPr>
        <w:spacing w:line="360" w:lineRule="auto"/>
        <w:jc w:val="both"/>
      </w:pPr>
      <w:r w:rsidRPr="00CF22F3">
        <w:t>Zilhão,J.</w:t>
      </w:r>
      <w:proofErr w:type="gramStart"/>
      <w:r w:rsidRPr="00CF22F3">
        <w:t>,  Cardoso</w:t>
      </w:r>
      <w:proofErr w:type="gramEnd"/>
      <w:r w:rsidRPr="00CF22F3">
        <w:t>, J.L., Pike, A.W.G.</w:t>
      </w:r>
      <w:r>
        <w:t xml:space="preserve"> e</w:t>
      </w:r>
      <w:r w:rsidRPr="00CF22F3">
        <w:t xml:space="preserve"> Weninger, B.</w:t>
      </w:r>
      <w:r>
        <w:t xml:space="preserve"> </w:t>
      </w:r>
      <w:r w:rsidRPr="00CF22F3">
        <w:t>(2011)</w:t>
      </w:r>
      <w:r w:rsidRPr="006D2683">
        <w:t>: “</w:t>
      </w:r>
      <w:r w:rsidRPr="00CF22F3">
        <w:t xml:space="preserve">Gruta Nova da Columbeira (Bombarral, Portugal): Site stratigraphy, age of the Mousterian sequence, and implications for the timing of Neanderthal extinction in </w:t>
      </w:r>
      <w:proofErr w:type="gramStart"/>
      <w:r w:rsidRPr="00CF22F3">
        <w:t xml:space="preserve">Iberia </w:t>
      </w:r>
      <w:proofErr w:type="gramEnd"/>
      <w:r w:rsidRPr="00CF22F3">
        <w:t xml:space="preserve">; Gruta Nova da Columbeira (Bombarral, Portugal) Fundplatz-Stratigraphie, Alter der Moustérien-Schichtenfolge, und Schlussfolgerungen für die Chronologie des Aussterbens der Neanderthaler auf der Iberischen Halbinsel”. </w:t>
      </w:r>
      <w:r w:rsidRPr="00CF22F3">
        <w:rPr>
          <w:i/>
        </w:rPr>
        <w:t>Quartär</w:t>
      </w:r>
      <w:r w:rsidRPr="00CF22F3">
        <w:t>, 58. 93-112.</w:t>
      </w:r>
    </w:p>
    <w:p w:rsidR="00D44AC3" w:rsidRDefault="00D44AC3" w:rsidP="008D06DE">
      <w:pPr>
        <w:spacing w:line="360" w:lineRule="auto"/>
        <w:jc w:val="both"/>
      </w:pPr>
    </w:p>
    <w:p w:rsidR="008D06DE" w:rsidRPr="00CF22F3" w:rsidRDefault="008D06DE" w:rsidP="008D06DE">
      <w:pPr>
        <w:spacing w:line="360" w:lineRule="auto"/>
        <w:jc w:val="both"/>
      </w:pPr>
      <w:r w:rsidRPr="00CF22F3">
        <w:t>Zilhão, J.</w:t>
      </w:r>
      <w:proofErr w:type="gramStart"/>
      <w:r w:rsidRPr="00CF22F3">
        <w:t>,  Angelucci</w:t>
      </w:r>
      <w:proofErr w:type="gramEnd"/>
      <w:r w:rsidRPr="00CF22F3">
        <w:t>, D.,  Aubry, T.,  Badal , E.,  Brugal, J-P., Carvalho, R.,  Gameiro, C.,  Hoffmann, D.,  Matias,</w:t>
      </w:r>
      <w:r>
        <w:t xml:space="preserve"> H.,   Maurício, </w:t>
      </w:r>
      <w:r w:rsidRPr="00CF22F3">
        <w:t xml:space="preserve">J.  Nabais, M.,  Pike, A.,  Póvoas, L.,  </w:t>
      </w:r>
      <w:r w:rsidRPr="00CF22F3">
        <w:lastRenderedPageBreak/>
        <w:t xml:space="preserve">Richter, D.,  Souto, P.,   Trinkaus, E.,  Wainer, K. e  Willman, J. (2013): “A gruta da Oliveira (Torres Novas): uma jazida de referência para o Paleolítico médio da Península Ibérica”. </w:t>
      </w:r>
      <w:r w:rsidRPr="007E759C">
        <w:rPr>
          <w:i/>
        </w:rPr>
        <w:t>In</w:t>
      </w:r>
      <w:r w:rsidRPr="00CF22F3">
        <w:t>: Arqueologia em Portugal 150 anos,</w:t>
      </w:r>
      <w:r>
        <w:t xml:space="preserve"> Arnaud, J.M., Martins, A. e </w:t>
      </w:r>
      <w:r w:rsidRPr="00CF22F3">
        <w:t>Neves, C. eds., Actas do I Congresso da Associação dos Arqueólogos Portugueses, Lisboa. 259- 268.</w:t>
      </w:r>
    </w:p>
    <w:p w:rsidR="00A34B7A" w:rsidRDefault="00A34B7A" w:rsidP="008D06DE">
      <w:pPr>
        <w:spacing w:line="360" w:lineRule="auto"/>
        <w:jc w:val="both"/>
      </w:pPr>
    </w:p>
    <w:p w:rsidR="003C3D93" w:rsidRDefault="003C3D93" w:rsidP="008D06DE">
      <w:pPr>
        <w:spacing w:line="360" w:lineRule="auto"/>
        <w:jc w:val="both"/>
      </w:pPr>
    </w:p>
    <w:p w:rsidR="003C3D93" w:rsidRDefault="003C3D93" w:rsidP="008D06DE">
      <w:pPr>
        <w:spacing w:line="360" w:lineRule="auto"/>
        <w:jc w:val="both"/>
      </w:pPr>
    </w:p>
    <w:p w:rsidR="003C3D93" w:rsidRDefault="003C3D93" w:rsidP="008D06DE">
      <w:pPr>
        <w:spacing w:line="360" w:lineRule="auto"/>
        <w:jc w:val="both"/>
      </w:pPr>
    </w:p>
    <w:p w:rsidR="003C3D93" w:rsidRDefault="003C3D93" w:rsidP="008D06DE">
      <w:pPr>
        <w:spacing w:line="360" w:lineRule="auto"/>
        <w:jc w:val="both"/>
      </w:pPr>
    </w:p>
    <w:p w:rsidR="003C3D93" w:rsidRDefault="003C3D93" w:rsidP="008D06DE">
      <w:pPr>
        <w:spacing w:line="360" w:lineRule="auto"/>
        <w:jc w:val="both"/>
      </w:pPr>
    </w:p>
    <w:p w:rsidR="003C3D93" w:rsidRDefault="003C3D93" w:rsidP="008D06DE">
      <w:pPr>
        <w:spacing w:line="360" w:lineRule="auto"/>
        <w:jc w:val="both"/>
      </w:pPr>
    </w:p>
    <w:sectPr w:rsidR="003C3D93" w:rsidSect="00D92F53">
      <w:pgSz w:w="11907" w:h="16840" w:code="9"/>
      <w:pgMar w:top="1418" w:right="1701" w:bottom="1435" w:left="1701" w:header="708" w:footer="708" w:gutter="0"/>
      <w:pgNumType w:start="10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4B0F" w:rsidRDefault="00B34B0F" w:rsidP="005B1CA9">
      <w:r>
        <w:separator/>
      </w:r>
    </w:p>
  </w:endnote>
  <w:endnote w:type="continuationSeparator" w:id="0">
    <w:p w:rsidR="00B34B0F" w:rsidRDefault="00B34B0F" w:rsidP="005B1C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00000000" w:usb2="00000000" w:usb3="00000000" w:csb0="000001FF" w:csb1="00000000"/>
  </w:font>
  <w:font w:name="HelveticaNeue">
    <w:altName w:val="Times New Roman"/>
    <w:charset w:val="00"/>
    <w:family w:val="auto"/>
    <w:pitch w:val="variable"/>
    <w:sig w:usb0="00000001" w:usb1="00000000" w:usb2="00000000" w:usb3="00000000" w:csb0="00000009" w:csb1="00000000"/>
  </w:font>
  <w:font w:name="Palatino-Roman">
    <w:panose1 w:val="00000000000000000000"/>
    <w:charset w:val="00"/>
    <w:family w:val="roman"/>
    <w:notTrueType/>
    <w:pitch w:val="default"/>
    <w:sig w:usb0="00000003" w:usb1="00000000" w:usb2="00000000" w:usb3="00000000" w:csb0="00000001" w:csb1="00000000"/>
  </w:font>
  <w:font w:name="Palatino-Italic">
    <w:panose1 w:val="00000000000000000000"/>
    <w:charset w:val="00"/>
    <w:family w:val="roman"/>
    <w:notTrueType/>
    <w:pitch w:val="default"/>
    <w:sig w:usb0="00000003" w:usb1="00000000" w:usb2="00000000" w:usb3="00000000" w:csb0="00000001" w:csb1="00000000"/>
  </w:font>
  <w:font w:name="AdvTT50a2f13e.I">
    <w:panose1 w:val="00000000000000000000"/>
    <w:charset w:val="00"/>
    <w:family w:val="roman"/>
    <w:notTrueType/>
    <w:pitch w:val="default"/>
    <w:sig w:usb0="00000003" w:usb1="00000000" w:usb2="00000000" w:usb3="00000000" w:csb0="00000001" w:csb1="00000000"/>
  </w:font>
  <w:font w:name="Advm1046a">
    <w:altName w:val="MS Mincho"/>
    <w:panose1 w:val="00000000000000000000"/>
    <w:charset w:val="00"/>
    <w:family w:val="auto"/>
    <w:notTrueType/>
    <w:pitch w:val="default"/>
    <w:sig w:usb0="00000003" w:usb1="08070000" w:usb2="00000010" w:usb3="00000000" w:csb0="00020001" w:csb1="00000000"/>
  </w:font>
  <w:font w:name="AdvTT6120e2aa">
    <w:panose1 w:val="00000000000000000000"/>
    <w:charset w:val="00"/>
    <w:family w:val="roman"/>
    <w:notTrueType/>
    <w:pitch w:val="default"/>
    <w:sig w:usb0="00000003" w:usb1="00000000" w:usb2="00000000" w:usb3="00000000" w:csb0="00000001" w:csb1="00000000"/>
  </w:font>
  <w:font w:name="AdvP403A40">
    <w:panose1 w:val="00000000000000000000"/>
    <w:charset w:val="00"/>
    <w:family w:val="swiss"/>
    <w:notTrueType/>
    <w:pitch w:val="default"/>
    <w:sig w:usb0="00000003" w:usb1="00000000" w:usb2="00000000" w:usb3="00000000" w:csb0="00000001" w:csb1="00000000"/>
  </w:font>
  <w:font w:name="HypatiaSansPro-Regular">
    <w:altName w:val="MS Gothic"/>
    <w:panose1 w:val="00000000000000000000"/>
    <w:charset w:val="80"/>
    <w:family w:val="swiss"/>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AGaramond-Regula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4B0F" w:rsidRDefault="00EA3774">
    <w:pPr>
      <w:pStyle w:val="Rodap"/>
      <w:jc w:val="right"/>
    </w:pPr>
    <w:fldSimple w:instr=" PAGE   \* MERGEFORMAT ">
      <w:r w:rsidR="00077643">
        <w:rPr>
          <w:noProof/>
        </w:rPr>
        <w:t>107</w:t>
      </w:r>
    </w:fldSimple>
  </w:p>
  <w:p w:rsidR="00B34B0F" w:rsidRDefault="00B34B0F">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4B0F" w:rsidRDefault="00B34B0F" w:rsidP="005B1CA9">
      <w:r>
        <w:separator/>
      </w:r>
    </w:p>
  </w:footnote>
  <w:footnote w:type="continuationSeparator" w:id="0">
    <w:p w:rsidR="00B34B0F" w:rsidRDefault="00B34B0F" w:rsidP="005B1CA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068DA"/>
    <w:multiLevelType w:val="hybridMultilevel"/>
    <w:tmpl w:val="EEA4ADAC"/>
    <w:lvl w:ilvl="0" w:tplc="FFCAAAEE">
      <w:start w:val="1"/>
      <w:numFmt w:val="lowerRoman"/>
      <w:lvlText w:val="%1)"/>
      <w:lvlJc w:val="left"/>
      <w:pPr>
        <w:ind w:left="1080" w:hanging="72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nsid w:val="0A0F11B3"/>
    <w:multiLevelType w:val="hybridMultilevel"/>
    <w:tmpl w:val="7BACE4C2"/>
    <w:lvl w:ilvl="0" w:tplc="AAEEFE96">
      <w:start w:val="1"/>
      <w:numFmt w:val="upperRoman"/>
      <w:lvlText w:val="%1-"/>
      <w:lvlJc w:val="left"/>
      <w:pPr>
        <w:tabs>
          <w:tab w:val="num" w:pos="1080"/>
        </w:tabs>
        <w:ind w:left="108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
    <w:nsid w:val="0EA33667"/>
    <w:multiLevelType w:val="hybridMultilevel"/>
    <w:tmpl w:val="B18E22CE"/>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
    <w:nsid w:val="10941EC2"/>
    <w:multiLevelType w:val="multilevel"/>
    <w:tmpl w:val="5B9607E0"/>
    <w:lvl w:ilvl="0">
      <w:start w:val="5"/>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5BD2C70"/>
    <w:multiLevelType w:val="hybridMultilevel"/>
    <w:tmpl w:val="7A28D722"/>
    <w:lvl w:ilvl="0" w:tplc="AD82D0A2">
      <w:start w:val="1"/>
      <w:numFmt w:val="lowerRoman"/>
      <w:lvlText w:val="%1)"/>
      <w:lvlJc w:val="left"/>
      <w:pPr>
        <w:tabs>
          <w:tab w:val="num" w:pos="1080"/>
        </w:tabs>
        <w:ind w:left="108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
    <w:nsid w:val="1DC95F45"/>
    <w:multiLevelType w:val="hybridMultilevel"/>
    <w:tmpl w:val="4ACE2A30"/>
    <w:lvl w:ilvl="0" w:tplc="28886724">
      <w:start w:val="1"/>
      <w:numFmt w:val="lowerRoman"/>
      <w:lvlText w:val="%1)"/>
      <w:lvlJc w:val="left"/>
      <w:pPr>
        <w:tabs>
          <w:tab w:val="num" w:pos="1080"/>
        </w:tabs>
        <w:ind w:left="108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
    <w:nsid w:val="212654ED"/>
    <w:multiLevelType w:val="hybridMultilevel"/>
    <w:tmpl w:val="A3849D5E"/>
    <w:lvl w:ilvl="0" w:tplc="33C43E40">
      <w:start w:val="1"/>
      <w:numFmt w:val="decimal"/>
      <w:lvlText w:val="%1-"/>
      <w:lvlJc w:val="left"/>
      <w:pPr>
        <w:ind w:left="1070" w:hanging="360"/>
      </w:pPr>
      <w:rPr>
        <w:rFonts w:hint="default"/>
      </w:rPr>
    </w:lvl>
    <w:lvl w:ilvl="1" w:tplc="08160019" w:tentative="1">
      <w:start w:val="1"/>
      <w:numFmt w:val="lowerLetter"/>
      <w:lvlText w:val="%2."/>
      <w:lvlJc w:val="left"/>
      <w:pPr>
        <w:ind w:left="1790" w:hanging="360"/>
      </w:pPr>
    </w:lvl>
    <w:lvl w:ilvl="2" w:tplc="0816001B" w:tentative="1">
      <w:start w:val="1"/>
      <w:numFmt w:val="lowerRoman"/>
      <w:lvlText w:val="%3."/>
      <w:lvlJc w:val="right"/>
      <w:pPr>
        <w:ind w:left="2510" w:hanging="180"/>
      </w:pPr>
    </w:lvl>
    <w:lvl w:ilvl="3" w:tplc="0816000F" w:tentative="1">
      <w:start w:val="1"/>
      <w:numFmt w:val="decimal"/>
      <w:lvlText w:val="%4."/>
      <w:lvlJc w:val="left"/>
      <w:pPr>
        <w:ind w:left="3230" w:hanging="360"/>
      </w:pPr>
    </w:lvl>
    <w:lvl w:ilvl="4" w:tplc="08160019" w:tentative="1">
      <w:start w:val="1"/>
      <w:numFmt w:val="lowerLetter"/>
      <w:lvlText w:val="%5."/>
      <w:lvlJc w:val="left"/>
      <w:pPr>
        <w:ind w:left="3950" w:hanging="360"/>
      </w:pPr>
    </w:lvl>
    <w:lvl w:ilvl="5" w:tplc="0816001B" w:tentative="1">
      <w:start w:val="1"/>
      <w:numFmt w:val="lowerRoman"/>
      <w:lvlText w:val="%6."/>
      <w:lvlJc w:val="right"/>
      <w:pPr>
        <w:ind w:left="4670" w:hanging="180"/>
      </w:pPr>
    </w:lvl>
    <w:lvl w:ilvl="6" w:tplc="0816000F" w:tentative="1">
      <w:start w:val="1"/>
      <w:numFmt w:val="decimal"/>
      <w:lvlText w:val="%7."/>
      <w:lvlJc w:val="left"/>
      <w:pPr>
        <w:ind w:left="5390" w:hanging="360"/>
      </w:pPr>
    </w:lvl>
    <w:lvl w:ilvl="7" w:tplc="08160019" w:tentative="1">
      <w:start w:val="1"/>
      <w:numFmt w:val="lowerLetter"/>
      <w:lvlText w:val="%8."/>
      <w:lvlJc w:val="left"/>
      <w:pPr>
        <w:ind w:left="6110" w:hanging="360"/>
      </w:pPr>
    </w:lvl>
    <w:lvl w:ilvl="8" w:tplc="0816001B" w:tentative="1">
      <w:start w:val="1"/>
      <w:numFmt w:val="lowerRoman"/>
      <w:lvlText w:val="%9."/>
      <w:lvlJc w:val="right"/>
      <w:pPr>
        <w:ind w:left="6830" w:hanging="180"/>
      </w:pPr>
    </w:lvl>
  </w:abstractNum>
  <w:abstractNum w:abstractNumId="7">
    <w:nsid w:val="21BA1E0B"/>
    <w:multiLevelType w:val="hybridMultilevel"/>
    <w:tmpl w:val="3EA6B946"/>
    <w:lvl w:ilvl="0" w:tplc="9C76DBA8">
      <w:start w:val="1"/>
      <w:numFmt w:val="lowerRoman"/>
      <w:lvlText w:val="%1)"/>
      <w:lvlJc w:val="left"/>
      <w:pPr>
        <w:ind w:left="1080" w:hanging="72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21F26F55"/>
    <w:multiLevelType w:val="hybridMultilevel"/>
    <w:tmpl w:val="1A2A20C2"/>
    <w:lvl w:ilvl="0" w:tplc="2A62365E">
      <w:start w:val="1"/>
      <w:numFmt w:val="lowerRoman"/>
      <w:lvlText w:val="%1)"/>
      <w:lvlJc w:val="left"/>
      <w:pPr>
        <w:ind w:left="1080" w:hanging="72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nsid w:val="226B234A"/>
    <w:multiLevelType w:val="multilevel"/>
    <w:tmpl w:val="0E285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E610A30"/>
    <w:multiLevelType w:val="hybridMultilevel"/>
    <w:tmpl w:val="DA581ADE"/>
    <w:lvl w:ilvl="0" w:tplc="03FC187C">
      <w:start w:val="1"/>
      <w:numFmt w:val="decimal"/>
      <w:lvlText w:val="%1-"/>
      <w:lvlJc w:val="left"/>
      <w:pPr>
        <w:tabs>
          <w:tab w:val="num" w:pos="720"/>
        </w:tabs>
        <w:ind w:left="720" w:hanging="360"/>
      </w:pPr>
      <w:rPr>
        <w:rFonts w:hint="default"/>
        <w:b w:val="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1">
    <w:nsid w:val="34207507"/>
    <w:multiLevelType w:val="hybridMultilevel"/>
    <w:tmpl w:val="77520E18"/>
    <w:lvl w:ilvl="0" w:tplc="45902E74">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39D5579E"/>
    <w:multiLevelType w:val="hybridMultilevel"/>
    <w:tmpl w:val="4ACE2A30"/>
    <w:lvl w:ilvl="0" w:tplc="28886724">
      <w:start w:val="1"/>
      <w:numFmt w:val="lowerRoman"/>
      <w:lvlText w:val="%1)"/>
      <w:lvlJc w:val="left"/>
      <w:pPr>
        <w:tabs>
          <w:tab w:val="num" w:pos="1080"/>
        </w:tabs>
        <w:ind w:left="108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3">
    <w:nsid w:val="3EFD2376"/>
    <w:multiLevelType w:val="multilevel"/>
    <w:tmpl w:val="31D4F56A"/>
    <w:lvl w:ilvl="0">
      <w:start w:val="5"/>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46364153"/>
    <w:multiLevelType w:val="hybridMultilevel"/>
    <w:tmpl w:val="5F3AB002"/>
    <w:lvl w:ilvl="0" w:tplc="959864C6">
      <w:start w:val="1"/>
      <w:numFmt w:val="lowerRoman"/>
      <w:lvlText w:val="%1)"/>
      <w:lvlJc w:val="left"/>
      <w:pPr>
        <w:ind w:left="1080" w:hanging="720"/>
      </w:pPr>
      <w:rPr>
        <w:rFonts w:hint="default"/>
      </w:rPr>
    </w:lvl>
    <w:lvl w:ilvl="1" w:tplc="08160019">
      <w:start w:val="1"/>
      <w:numFmt w:val="lowerLetter"/>
      <w:lvlText w:val="%2."/>
      <w:lvlJc w:val="left"/>
      <w:pPr>
        <w:ind w:left="1440" w:hanging="360"/>
      </w:pPr>
    </w:lvl>
    <w:lvl w:ilvl="2" w:tplc="0816001B">
      <w:start w:val="1"/>
      <w:numFmt w:val="lowerRoman"/>
      <w:lvlText w:val="%3."/>
      <w:lvlJc w:val="right"/>
      <w:pPr>
        <w:ind w:left="2024" w:hanging="180"/>
      </w:pPr>
    </w:lvl>
    <w:lvl w:ilvl="3" w:tplc="0816000F">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nsid w:val="4682256F"/>
    <w:multiLevelType w:val="hybridMultilevel"/>
    <w:tmpl w:val="E42876BC"/>
    <w:lvl w:ilvl="0" w:tplc="EE5A78DA">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46C71468"/>
    <w:multiLevelType w:val="hybridMultilevel"/>
    <w:tmpl w:val="93C6B9C4"/>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7">
    <w:nsid w:val="521C4EB7"/>
    <w:multiLevelType w:val="hybridMultilevel"/>
    <w:tmpl w:val="B310DE0C"/>
    <w:lvl w:ilvl="0" w:tplc="683AF2BC">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5FBD24C4"/>
    <w:multiLevelType w:val="multilevel"/>
    <w:tmpl w:val="8A02D7D8"/>
    <w:lvl w:ilvl="0">
      <w:start w:val="7"/>
      <w:numFmt w:val="decimal"/>
      <w:lvlText w:val="%1"/>
      <w:lvlJc w:val="left"/>
      <w:pPr>
        <w:ind w:left="360" w:hanging="360"/>
      </w:pPr>
      <w:rPr>
        <w:rFonts w:hint="default"/>
      </w:rPr>
    </w:lvl>
    <w:lvl w:ilvl="1">
      <w:start w:val="7"/>
      <w:numFmt w:val="decimal"/>
      <w:lvlText w:val="%1.%2"/>
      <w:lvlJc w:val="left"/>
      <w:pPr>
        <w:ind w:left="1068" w:hanging="36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nsid w:val="603F21B0"/>
    <w:multiLevelType w:val="hybridMultilevel"/>
    <w:tmpl w:val="84CE4712"/>
    <w:lvl w:ilvl="0" w:tplc="AE4AF1B0">
      <w:start w:val="1"/>
      <w:numFmt w:val="lowerRoman"/>
      <w:lvlText w:val="%1-"/>
      <w:lvlJc w:val="left"/>
      <w:pPr>
        <w:tabs>
          <w:tab w:val="num" w:pos="1080"/>
        </w:tabs>
        <w:ind w:left="1080" w:hanging="72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0">
    <w:nsid w:val="60991902"/>
    <w:multiLevelType w:val="hybridMultilevel"/>
    <w:tmpl w:val="AA529C76"/>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1">
    <w:nsid w:val="70037FC0"/>
    <w:multiLevelType w:val="hybridMultilevel"/>
    <w:tmpl w:val="42762A78"/>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22">
    <w:nsid w:val="7556270C"/>
    <w:multiLevelType w:val="multilevel"/>
    <w:tmpl w:val="8070B642"/>
    <w:lvl w:ilvl="0">
      <w:start w:val="6"/>
      <w:numFmt w:val="decimal"/>
      <w:lvlText w:val="%1."/>
      <w:lvlJc w:val="left"/>
      <w:pPr>
        <w:ind w:left="375" w:hanging="375"/>
      </w:pPr>
      <w:rPr>
        <w:rFonts w:hint="default"/>
      </w:rPr>
    </w:lvl>
    <w:lvl w:ilvl="1">
      <w:start w:val="7"/>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3">
    <w:nsid w:val="77536C22"/>
    <w:multiLevelType w:val="hybridMultilevel"/>
    <w:tmpl w:val="A4A0F93C"/>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num w:numId="1">
    <w:abstractNumId w:val="13"/>
  </w:num>
  <w:num w:numId="2">
    <w:abstractNumId w:val="3"/>
  </w:num>
  <w:num w:numId="3">
    <w:abstractNumId w:val="1"/>
  </w:num>
  <w:num w:numId="4">
    <w:abstractNumId w:val="16"/>
  </w:num>
  <w:num w:numId="5">
    <w:abstractNumId w:val="2"/>
  </w:num>
  <w:num w:numId="6">
    <w:abstractNumId w:val="20"/>
  </w:num>
  <w:num w:numId="7">
    <w:abstractNumId w:val="21"/>
  </w:num>
  <w:num w:numId="8">
    <w:abstractNumId w:val="23"/>
  </w:num>
  <w:num w:numId="9">
    <w:abstractNumId w:val="14"/>
  </w:num>
  <w:num w:numId="10">
    <w:abstractNumId w:val="11"/>
  </w:num>
  <w:num w:numId="11">
    <w:abstractNumId w:val="10"/>
  </w:num>
  <w:num w:numId="12">
    <w:abstractNumId w:val="19"/>
  </w:num>
  <w:num w:numId="13">
    <w:abstractNumId w:val="5"/>
  </w:num>
  <w:num w:numId="14">
    <w:abstractNumId w:val="4"/>
  </w:num>
  <w:num w:numId="15">
    <w:abstractNumId w:val="12"/>
  </w:num>
  <w:num w:numId="16">
    <w:abstractNumId w:val="7"/>
  </w:num>
  <w:num w:numId="17">
    <w:abstractNumId w:val="8"/>
  </w:num>
  <w:num w:numId="18">
    <w:abstractNumId w:val="0"/>
  </w:num>
  <w:num w:numId="19">
    <w:abstractNumId w:val="17"/>
  </w:num>
  <w:num w:numId="20">
    <w:abstractNumId w:val="6"/>
  </w:num>
  <w:num w:numId="21">
    <w:abstractNumId w:val="22"/>
  </w:num>
  <w:num w:numId="22">
    <w:abstractNumId w:val="18"/>
  </w:num>
  <w:num w:numId="23">
    <w:abstractNumId w:val="15"/>
  </w:num>
  <w:num w:numId="2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rsids>
    <w:rsidRoot w:val="00A34B7A"/>
    <w:rsid w:val="00077643"/>
    <w:rsid w:val="000B193C"/>
    <w:rsid w:val="001321C3"/>
    <w:rsid w:val="00166C52"/>
    <w:rsid w:val="00174020"/>
    <w:rsid w:val="0019110D"/>
    <w:rsid w:val="002E4D96"/>
    <w:rsid w:val="00364C26"/>
    <w:rsid w:val="003C3D93"/>
    <w:rsid w:val="003E5F6B"/>
    <w:rsid w:val="00497710"/>
    <w:rsid w:val="004C2BFA"/>
    <w:rsid w:val="004E40B1"/>
    <w:rsid w:val="00515C42"/>
    <w:rsid w:val="00531563"/>
    <w:rsid w:val="005B1CA9"/>
    <w:rsid w:val="00632F9C"/>
    <w:rsid w:val="006C1C5C"/>
    <w:rsid w:val="006C416F"/>
    <w:rsid w:val="006C425F"/>
    <w:rsid w:val="006D3B05"/>
    <w:rsid w:val="007447AC"/>
    <w:rsid w:val="007E2E88"/>
    <w:rsid w:val="008A6F65"/>
    <w:rsid w:val="008D06DE"/>
    <w:rsid w:val="008E1408"/>
    <w:rsid w:val="00907E8E"/>
    <w:rsid w:val="00916B39"/>
    <w:rsid w:val="00955547"/>
    <w:rsid w:val="009C68B2"/>
    <w:rsid w:val="00A045DA"/>
    <w:rsid w:val="00A34B7A"/>
    <w:rsid w:val="00A45F70"/>
    <w:rsid w:val="00A67AC5"/>
    <w:rsid w:val="00A933B8"/>
    <w:rsid w:val="00AB7B70"/>
    <w:rsid w:val="00AC7B53"/>
    <w:rsid w:val="00B34B0F"/>
    <w:rsid w:val="00B506A4"/>
    <w:rsid w:val="00B64639"/>
    <w:rsid w:val="00B945EB"/>
    <w:rsid w:val="00BC76D0"/>
    <w:rsid w:val="00C01EF4"/>
    <w:rsid w:val="00C370F0"/>
    <w:rsid w:val="00C82383"/>
    <w:rsid w:val="00D03F30"/>
    <w:rsid w:val="00D0634A"/>
    <w:rsid w:val="00D11071"/>
    <w:rsid w:val="00D16605"/>
    <w:rsid w:val="00D44AC3"/>
    <w:rsid w:val="00D83BF5"/>
    <w:rsid w:val="00D92F53"/>
    <w:rsid w:val="00E15146"/>
    <w:rsid w:val="00E4002E"/>
    <w:rsid w:val="00E56A28"/>
    <w:rsid w:val="00E86ADD"/>
    <w:rsid w:val="00EA3774"/>
    <w:rsid w:val="00F30895"/>
    <w:rsid w:val="00F97B11"/>
    <w:rsid w:val="00FA00F1"/>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rules v:ext="edit">
        <o:r id="V:Rule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PT" w:eastAsia="pt-P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annotation subject"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umns 3" w:uiPriority="0"/>
    <w:lsdException w:name="Table Grid 4" w:uiPriority="0"/>
    <w:lsdException w:name="Table List 7" w:uiPriority="0"/>
    <w:lsdException w:name="Table 3D effects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4B7A"/>
    <w:rPr>
      <w:rFonts w:ascii="Times New Roman" w:eastAsia="Times New Roman" w:hAnsi="Times New Roman"/>
      <w:sz w:val="24"/>
      <w:szCs w:val="24"/>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Forte">
    <w:name w:val="Strong"/>
    <w:basedOn w:val="Tipodeletrapredefinidodopargrafo"/>
    <w:uiPriority w:val="22"/>
    <w:qFormat/>
    <w:rsid w:val="00C370F0"/>
    <w:rPr>
      <w:b/>
      <w:bCs/>
    </w:rPr>
  </w:style>
  <w:style w:type="paragraph" w:styleId="PargrafodaLista">
    <w:name w:val="List Paragraph"/>
    <w:basedOn w:val="Normal"/>
    <w:uiPriority w:val="34"/>
    <w:qFormat/>
    <w:rsid w:val="00C370F0"/>
    <w:pPr>
      <w:ind w:left="720"/>
    </w:pPr>
    <w:rPr>
      <w:rFonts w:eastAsiaTheme="minorHAnsi"/>
    </w:rPr>
  </w:style>
  <w:style w:type="paragraph" w:styleId="Corpodetexto">
    <w:name w:val="Body Text"/>
    <w:basedOn w:val="Normal"/>
    <w:link w:val="CorpodetextoCarcter"/>
    <w:rsid w:val="00A34B7A"/>
    <w:pPr>
      <w:spacing w:after="120"/>
    </w:pPr>
  </w:style>
  <w:style w:type="character" w:customStyle="1" w:styleId="CorpodetextoCarcter">
    <w:name w:val="Corpo de texto Carácter"/>
    <w:basedOn w:val="Tipodeletrapredefinidodopargrafo"/>
    <w:link w:val="Corpodetexto"/>
    <w:rsid w:val="00A34B7A"/>
    <w:rPr>
      <w:rFonts w:ascii="Times New Roman" w:eastAsia="Times New Roman" w:hAnsi="Times New Roman"/>
      <w:sz w:val="24"/>
      <w:szCs w:val="24"/>
    </w:rPr>
  </w:style>
  <w:style w:type="character" w:styleId="Refdecomentrio">
    <w:name w:val="annotation reference"/>
    <w:basedOn w:val="Tipodeletrapredefinidodopargrafo"/>
    <w:uiPriority w:val="99"/>
    <w:rsid w:val="00A34B7A"/>
    <w:rPr>
      <w:sz w:val="16"/>
      <w:szCs w:val="16"/>
    </w:rPr>
  </w:style>
  <w:style w:type="paragraph" w:styleId="Textodecomentrio">
    <w:name w:val="annotation text"/>
    <w:basedOn w:val="Normal"/>
    <w:link w:val="TextodecomentrioCarcter"/>
    <w:uiPriority w:val="99"/>
    <w:rsid w:val="00A34B7A"/>
    <w:rPr>
      <w:sz w:val="20"/>
      <w:szCs w:val="20"/>
    </w:rPr>
  </w:style>
  <w:style w:type="character" w:customStyle="1" w:styleId="TextodecomentrioCarcter">
    <w:name w:val="Texto de comentário Carácter"/>
    <w:basedOn w:val="Tipodeletrapredefinidodopargrafo"/>
    <w:link w:val="Textodecomentrio"/>
    <w:uiPriority w:val="99"/>
    <w:rsid w:val="00A34B7A"/>
    <w:rPr>
      <w:rFonts w:ascii="Times New Roman" w:eastAsia="Times New Roman" w:hAnsi="Times New Roman"/>
    </w:rPr>
  </w:style>
  <w:style w:type="paragraph" w:styleId="Textodebalo">
    <w:name w:val="Balloon Text"/>
    <w:basedOn w:val="Normal"/>
    <w:link w:val="TextodebaloCarcter"/>
    <w:unhideWhenUsed/>
    <w:rsid w:val="00A34B7A"/>
    <w:rPr>
      <w:rFonts w:ascii="Tahoma" w:hAnsi="Tahoma" w:cs="Tahoma"/>
      <w:sz w:val="16"/>
      <w:szCs w:val="16"/>
    </w:rPr>
  </w:style>
  <w:style w:type="character" w:customStyle="1" w:styleId="TextodebaloCarcter">
    <w:name w:val="Texto de balão Carácter"/>
    <w:basedOn w:val="Tipodeletrapredefinidodopargrafo"/>
    <w:link w:val="Textodebalo"/>
    <w:rsid w:val="00A34B7A"/>
    <w:rPr>
      <w:rFonts w:ascii="Tahoma" w:eastAsia="Times New Roman" w:hAnsi="Tahoma" w:cs="Tahoma"/>
      <w:sz w:val="16"/>
      <w:szCs w:val="16"/>
    </w:rPr>
  </w:style>
  <w:style w:type="paragraph" w:styleId="Assuntodecomentrio">
    <w:name w:val="annotation subject"/>
    <w:basedOn w:val="Textodecomentrio"/>
    <w:next w:val="Textodecomentrio"/>
    <w:link w:val="AssuntodecomentrioCarcter"/>
    <w:unhideWhenUsed/>
    <w:rsid w:val="00A34B7A"/>
    <w:rPr>
      <w:b/>
      <w:bCs/>
    </w:rPr>
  </w:style>
  <w:style w:type="character" w:customStyle="1" w:styleId="AssuntodecomentrioCarcter">
    <w:name w:val="Assunto de comentário Carácter"/>
    <w:basedOn w:val="TextodecomentrioCarcter"/>
    <w:link w:val="Assuntodecomentrio"/>
    <w:rsid w:val="00A34B7A"/>
    <w:rPr>
      <w:b/>
      <w:bCs/>
    </w:rPr>
  </w:style>
  <w:style w:type="paragraph" w:styleId="Avanodecorpodetexto">
    <w:name w:val="Body Text Indent"/>
    <w:basedOn w:val="Normal"/>
    <w:link w:val="AvanodecorpodetextoCarcter"/>
    <w:unhideWhenUsed/>
    <w:rsid w:val="00A34B7A"/>
    <w:pPr>
      <w:spacing w:after="120"/>
      <w:ind w:left="283"/>
    </w:pPr>
  </w:style>
  <w:style w:type="character" w:customStyle="1" w:styleId="AvanodecorpodetextoCarcter">
    <w:name w:val="Avanço de corpo de texto Carácter"/>
    <w:basedOn w:val="Tipodeletrapredefinidodopargrafo"/>
    <w:link w:val="Avanodecorpodetexto"/>
    <w:rsid w:val="00A34B7A"/>
    <w:rPr>
      <w:rFonts w:ascii="Times New Roman" w:eastAsia="Times New Roman" w:hAnsi="Times New Roman"/>
      <w:sz w:val="24"/>
      <w:szCs w:val="24"/>
    </w:rPr>
  </w:style>
  <w:style w:type="paragraph" w:styleId="SemEspaamento">
    <w:name w:val="No Spacing"/>
    <w:uiPriority w:val="1"/>
    <w:qFormat/>
    <w:rsid w:val="00A34B7A"/>
    <w:rPr>
      <w:sz w:val="22"/>
      <w:szCs w:val="22"/>
      <w:lang w:eastAsia="en-US"/>
    </w:rPr>
  </w:style>
  <w:style w:type="table" w:styleId="Tabelacomgrelha">
    <w:name w:val="Table Grid"/>
    <w:basedOn w:val="Tabelanormal"/>
    <w:rsid w:val="00A34B7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elaclssica1">
    <w:name w:val="Table Classic 1"/>
    <w:basedOn w:val="Tabelanormal"/>
    <w:rsid w:val="00A34B7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mgrelha4">
    <w:name w:val="Table Grid 4"/>
    <w:basedOn w:val="Tabelanormal"/>
    <w:rsid w:val="00A34B7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acomcolunas3">
    <w:name w:val="Table Columns 3"/>
    <w:basedOn w:val="Tabelanormal"/>
    <w:rsid w:val="00A34B7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Cabealho">
    <w:name w:val="header"/>
    <w:basedOn w:val="Normal"/>
    <w:link w:val="CabealhoCarcter"/>
    <w:rsid w:val="00A34B7A"/>
    <w:pPr>
      <w:tabs>
        <w:tab w:val="center" w:pos="4252"/>
        <w:tab w:val="right" w:pos="8504"/>
      </w:tabs>
    </w:pPr>
  </w:style>
  <w:style w:type="character" w:customStyle="1" w:styleId="CabealhoCarcter">
    <w:name w:val="Cabeçalho Carácter"/>
    <w:basedOn w:val="Tipodeletrapredefinidodopargrafo"/>
    <w:link w:val="Cabealho"/>
    <w:rsid w:val="00A34B7A"/>
    <w:rPr>
      <w:rFonts w:ascii="Times New Roman" w:eastAsia="Times New Roman" w:hAnsi="Times New Roman"/>
      <w:sz w:val="24"/>
      <w:szCs w:val="24"/>
    </w:rPr>
  </w:style>
  <w:style w:type="paragraph" w:styleId="Rodap">
    <w:name w:val="footer"/>
    <w:basedOn w:val="Normal"/>
    <w:link w:val="RodapCarcter"/>
    <w:uiPriority w:val="99"/>
    <w:rsid w:val="00A34B7A"/>
    <w:pPr>
      <w:tabs>
        <w:tab w:val="center" w:pos="4252"/>
        <w:tab w:val="right" w:pos="8504"/>
      </w:tabs>
    </w:pPr>
  </w:style>
  <w:style w:type="character" w:customStyle="1" w:styleId="RodapCarcter">
    <w:name w:val="Rodapé Carácter"/>
    <w:basedOn w:val="Tipodeletrapredefinidodopargrafo"/>
    <w:link w:val="Rodap"/>
    <w:uiPriority w:val="99"/>
    <w:rsid w:val="00A34B7A"/>
    <w:rPr>
      <w:rFonts w:ascii="Times New Roman" w:eastAsia="Times New Roman" w:hAnsi="Times New Roman"/>
      <w:sz w:val="24"/>
      <w:szCs w:val="24"/>
    </w:rPr>
  </w:style>
  <w:style w:type="table" w:customStyle="1" w:styleId="SombreadoClaro-Cor11">
    <w:name w:val="Sombreado Claro - Cor 11"/>
    <w:basedOn w:val="Tabelanormal"/>
    <w:uiPriority w:val="60"/>
    <w:rsid w:val="00A34B7A"/>
    <w:rPr>
      <w:rFonts w:ascii="Times New Roman" w:eastAsia="Times New Roman" w:hAnsi="Times New Roman"/>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Cor5">
    <w:name w:val="Light Shading Accent 5"/>
    <w:basedOn w:val="Tabelanormal"/>
    <w:uiPriority w:val="60"/>
    <w:rsid w:val="00A34B7A"/>
    <w:rPr>
      <w:rFonts w:ascii="Times New Roman" w:eastAsia="Times New Roman" w:hAnsi="Times New Roman"/>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1">
    <w:name w:val="Sombreado Claro1"/>
    <w:basedOn w:val="Tabelanormal"/>
    <w:uiPriority w:val="60"/>
    <w:rsid w:val="009C68B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elaclssica2">
    <w:name w:val="Table Classic 2"/>
    <w:basedOn w:val="Tabelanormal"/>
    <w:rsid w:val="00632F9C"/>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aclssica4">
    <w:name w:val="Table Classic 4"/>
    <w:basedOn w:val="Tabelanormal"/>
    <w:rsid w:val="00632F9C"/>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DecimalAligned">
    <w:name w:val="Decimal Aligned"/>
    <w:basedOn w:val="Normal"/>
    <w:uiPriority w:val="40"/>
    <w:qFormat/>
    <w:rsid w:val="00632F9C"/>
    <w:pPr>
      <w:tabs>
        <w:tab w:val="decimal" w:pos="360"/>
      </w:tabs>
      <w:spacing w:after="200" w:line="276" w:lineRule="auto"/>
    </w:pPr>
    <w:rPr>
      <w:rFonts w:ascii="Calibri" w:hAnsi="Calibri"/>
      <w:sz w:val="22"/>
      <w:szCs w:val="22"/>
      <w:lang w:eastAsia="en-US"/>
    </w:rPr>
  </w:style>
  <w:style w:type="paragraph" w:styleId="Textodenotaderodap">
    <w:name w:val="footnote text"/>
    <w:basedOn w:val="Normal"/>
    <w:link w:val="TextodenotaderodapCarcter"/>
    <w:uiPriority w:val="99"/>
    <w:unhideWhenUsed/>
    <w:rsid w:val="00632F9C"/>
    <w:rPr>
      <w:rFonts w:ascii="Calibri" w:hAnsi="Calibri"/>
      <w:sz w:val="20"/>
      <w:szCs w:val="20"/>
      <w:lang w:eastAsia="en-US"/>
    </w:rPr>
  </w:style>
  <w:style w:type="character" w:customStyle="1" w:styleId="TextodenotaderodapCarcter">
    <w:name w:val="Texto de nota de rodapé Carácter"/>
    <w:basedOn w:val="Tipodeletrapredefinidodopargrafo"/>
    <w:link w:val="Textodenotaderodap"/>
    <w:uiPriority w:val="99"/>
    <w:rsid w:val="00632F9C"/>
    <w:rPr>
      <w:rFonts w:eastAsia="Times New Roman"/>
      <w:lang w:eastAsia="en-US"/>
    </w:rPr>
  </w:style>
  <w:style w:type="character" w:styleId="nfaseDiscreto">
    <w:name w:val="Subtle Emphasis"/>
    <w:basedOn w:val="Tipodeletrapredefinidodopargrafo"/>
    <w:uiPriority w:val="19"/>
    <w:qFormat/>
    <w:rsid w:val="00632F9C"/>
    <w:rPr>
      <w:rFonts w:eastAsia="Times New Roman" w:cs="Times New Roman"/>
      <w:bCs w:val="0"/>
      <w:i/>
      <w:iCs/>
      <w:color w:val="808080"/>
      <w:szCs w:val="22"/>
      <w:lang w:val="pt-PT"/>
    </w:rPr>
  </w:style>
  <w:style w:type="table" w:styleId="SombreadoMdio2-Cor5">
    <w:name w:val="Medium Shading 2 Accent 5"/>
    <w:basedOn w:val="Tabelanormal"/>
    <w:uiPriority w:val="64"/>
    <w:rsid w:val="00632F9C"/>
    <w:rPr>
      <w:rFonts w:eastAsia="Times New Roman"/>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elacomefeitos3D3">
    <w:name w:val="Table 3D effects 3"/>
    <w:basedOn w:val="Tabelanormal"/>
    <w:rsid w:val="00632F9C"/>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comlista7">
    <w:name w:val="Table List 7"/>
    <w:basedOn w:val="Tabelanormal"/>
    <w:rsid w:val="00632F9C"/>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styleId="Avanodecorpodetexto2">
    <w:name w:val="Body Text Indent 2"/>
    <w:basedOn w:val="Normal"/>
    <w:link w:val="Avanodecorpodetexto2Carcter"/>
    <w:rsid w:val="00632F9C"/>
    <w:pPr>
      <w:spacing w:after="120" w:line="480" w:lineRule="auto"/>
      <w:ind w:left="283"/>
    </w:pPr>
  </w:style>
  <w:style w:type="character" w:customStyle="1" w:styleId="Avanodecorpodetexto2Carcter">
    <w:name w:val="Avanço de corpo de texto 2 Carácter"/>
    <w:basedOn w:val="Tipodeletrapredefinidodopargrafo"/>
    <w:link w:val="Avanodecorpodetexto2"/>
    <w:rsid w:val="00632F9C"/>
    <w:rPr>
      <w:rFonts w:ascii="Times New Roman" w:eastAsia="Times New Roman" w:hAnsi="Times New Roman"/>
      <w:sz w:val="24"/>
      <w:szCs w:val="24"/>
    </w:rPr>
  </w:style>
  <w:style w:type="character" w:styleId="Hiperligao">
    <w:name w:val="Hyperlink"/>
    <w:basedOn w:val="Tipodeletrapredefinidodopargrafo"/>
    <w:uiPriority w:val="99"/>
    <w:unhideWhenUsed/>
    <w:rsid w:val="00632F9C"/>
    <w:rPr>
      <w:strike w:val="0"/>
      <w:dstrike w:val="0"/>
      <w:color w:val="0156AA"/>
      <w:u w:val="none"/>
      <w:effect w:val="none"/>
    </w:rPr>
  </w:style>
  <w:style w:type="character" w:customStyle="1" w:styleId="hit">
    <w:name w:val="hit"/>
    <w:basedOn w:val="Tipodeletrapredefinidodopargrafo"/>
    <w:rsid w:val="00632F9C"/>
    <w:rPr>
      <w:shd w:val="clear" w:color="auto" w:fill="FFFF99"/>
    </w:rPr>
  </w:style>
  <w:style w:type="table" w:styleId="Tabelaclssica3">
    <w:name w:val="Table Classic 3"/>
    <w:basedOn w:val="Tabelanormal"/>
    <w:rsid w:val="008E140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colorida1">
    <w:name w:val="Table Colorful 1"/>
    <w:basedOn w:val="Tabelanormal"/>
    <w:rsid w:val="008E140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character" w:customStyle="1" w:styleId="slug-vol">
    <w:name w:val="slug-vol"/>
    <w:basedOn w:val="Tipodeletrapredefinidodopargrafo"/>
    <w:rsid w:val="008E1408"/>
  </w:style>
  <w:style w:type="character" w:customStyle="1" w:styleId="slug-issue">
    <w:name w:val="slug-issue"/>
    <w:basedOn w:val="Tipodeletrapredefinidodopargrafo"/>
    <w:rsid w:val="008E1408"/>
  </w:style>
  <w:style w:type="character" w:customStyle="1" w:styleId="name">
    <w:name w:val="name"/>
    <w:basedOn w:val="Tipodeletrapredefinidodopargrafo"/>
    <w:rsid w:val="008E1408"/>
  </w:style>
  <w:style w:type="paragraph" w:styleId="Legenda">
    <w:name w:val="caption"/>
    <w:basedOn w:val="Normal"/>
    <w:next w:val="Normal"/>
    <w:unhideWhenUsed/>
    <w:qFormat/>
    <w:rsid w:val="008E1408"/>
    <w:pPr>
      <w:spacing w:line="360" w:lineRule="auto"/>
      <w:ind w:firstLine="708"/>
      <w:jc w:val="both"/>
    </w:pPr>
    <w:rPr>
      <w:b/>
      <w:bCs/>
      <w:noProof/>
      <w:sz w:val="20"/>
      <w:szCs w:val="20"/>
    </w:rPr>
  </w:style>
  <w:style w:type="table" w:styleId="GrelhaClara-Cor5">
    <w:name w:val="Light Grid Accent 5"/>
    <w:basedOn w:val="Tabelanormal"/>
    <w:uiPriority w:val="62"/>
    <w:rsid w:val="0053156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staMdia1-Cor5">
    <w:name w:val="Medium List 1 Accent 5"/>
    <w:basedOn w:val="Tabelanormal"/>
    <w:uiPriority w:val="65"/>
    <w:rsid w:val="00531563"/>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aMdia2-Cor1">
    <w:name w:val="Medium List 2 Accent 1"/>
    <w:basedOn w:val="Tabelanormal"/>
    <w:uiPriority w:val="66"/>
    <w:rsid w:val="00531563"/>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dio1-Cor5">
    <w:name w:val="Medium Shading 1 Accent 5"/>
    <w:basedOn w:val="Tabelanormal"/>
    <w:uiPriority w:val="63"/>
    <w:rsid w:val="00531563"/>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Clara-Cor5">
    <w:name w:val="Light List Accent 5"/>
    <w:basedOn w:val="Tabelanormal"/>
    <w:uiPriority w:val="61"/>
    <w:rsid w:val="0053156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14.jpeg"/><Relationship Id="rId42" Type="http://schemas.openxmlformats.org/officeDocument/2006/relationships/image" Target="media/image34.png"/><Relationship Id="rId63" Type="http://schemas.openxmlformats.org/officeDocument/2006/relationships/image" Target="media/image49.png"/><Relationship Id="rId84" Type="http://schemas.openxmlformats.org/officeDocument/2006/relationships/image" Target="media/image60.emf"/><Relationship Id="rId138" Type="http://schemas.openxmlformats.org/officeDocument/2006/relationships/package" Target="embeddings/Folha_de_C_lculo_do_Microsoft_Office_Excel36.xlsx"/><Relationship Id="rId159" Type="http://schemas.openxmlformats.org/officeDocument/2006/relationships/image" Target="media/image113.png"/><Relationship Id="rId170" Type="http://schemas.openxmlformats.org/officeDocument/2006/relationships/chart" Target="charts/chart11.xml"/><Relationship Id="rId191" Type="http://schemas.openxmlformats.org/officeDocument/2006/relationships/package" Target="embeddings/Folha_de_C_lculo_do_Microsoft_Office_Excel59.xlsx"/><Relationship Id="rId205" Type="http://schemas.openxmlformats.org/officeDocument/2006/relationships/package" Target="embeddings/Folha_de_C_lculo_do_Microsoft_Office_Excel66.xlsx"/><Relationship Id="rId226" Type="http://schemas.openxmlformats.org/officeDocument/2006/relationships/chart" Target="charts/chart14.xml"/><Relationship Id="rId247" Type="http://schemas.openxmlformats.org/officeDocument/2006/relationships/image" Target="media/image155.jpeg"/><Relationship Id="rId107" Type="http://schemas.openxmlformats.org/officeDocument/2006/relationships/image" Target="media/image79.emf"/><Relationship Id="rId11" Type="http://schemas.openxmlformats.org/officeDocument/2006/relationships/image" Target="media/image4.emf"/><Relationship Id="rId32" Type="http://schemas.openxmlformats.org/officeDocument/2006/relationships/image" Target="media/image24.jpeg"/><Relationship Id="rId53" Type="http://schemas.openxmlformats.org/officeDocument/2006/relationships/package" Target="embeddings/Folha_de_C_lculo_do_Microsoft_Office_Excel2.xlsx"/><Relationship Id="rId74" Type="http://schemas.openxmlformats.org/officeDocument/2006/relationships/image" Target="media/image55.emf"/><Relationship Id="rId128" Type="http://schemas.openxmlformats.org/officeDocument/2006/relationships/package" Target="embeddings/Folha_de_C_lculo_do_Microsoft_Office_Excel31.xlsx"/><Relationship Id="rId149" Type="http://schemas.openxmlformats.org/officeDocument/2006/relationships/image" Target="media/image103.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chart" Target="charts/chart1.xml"/><Relationship Id="rId181" Type="http://schemas.openxmlformats.org/officeDocument/2006/relationships/image" Target="media/image119.emf"/><Relationship Id="rId216" Type="http://schemas.openxmlformats.org/officeDocument/2006/relationships/image" Target="media/image139.png"/><Relationship Id="rId237" Type="http://schemas.openxmlformats.org/officeDocument/2006/relationships/chart" Target="charts/chart25.xml"/><Relationship Id="rId22" Type="http://schemas.openxmlformats.org/officeDocument/2006/relationships/image" Target="media/image15.png"/><Relationship Id="rId43" Type="http://schemas.openxmlformats.org/officeDocument/2006/relationships/image" Target="media/image35.jpeg"/><Relationship Id="rId64" Type="http://schemas.openxmlformats.org/officeDocument/2006/relationships/image" Target="media/image50.emf"/><Relationship Id="rId118" Type="http://schemas.openxmlformats.org/officeDocument/2006/relationships/package" Target="embeddings/Folha_de_C_lculo_do_Microsoft_Office_Excel26.xlsx"/><Relationship Id="rId139" Type="http://schemas.openxmlformats.org/officeDocument/2006/relationships/image" Target="media/image95.emf"/><Relationship Id="rId85" Type="http://schemas.openxmlformats.org/officeDocument/2006/relationships/package" Target="embeddings/Folha_de_C_lculo_do_Microsoft_Office_Excel17.xlsx"/><Relationship Id="rId150" Type="http://schemas.openxmlformats.org/officeDocument/2006/relationships/image" Target="media/image104.png"/><Relationship Id="rId171" Type="http://schemas.openxmlformats.org/officeDocument/2006/relationships/chart" Target="charts/chart12.xml"/><Relationship Id="rId192" Type="http://schemas.openxmlformats.org/officeDocument/2006/relationships/image" Target="media/image125.emf"/><Relationship Id="rId206" Type="http://schemas.openxmlformats.org/officeDocument/2006/relationships/image" Target="media/image132.emf"/><Relationship Id="rId227" Type="http://schemas.openxmlformats.org/officeDocument/2006/relationships/chart" Target="charts/chart15.xml"/><Relationship Id="rId248" Type="http://schemas.openxmlformats.org/officeDocument/2006/relationships/image" Target="media/image156.jpe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47.emf"/><Relationship Id="rId103" Type="http://schemas.openxmlformats.org/officeDocument/2006/relationships/image" Target="media/image76.jpeg"/><Relationship Id="rId108" Type="http://schemas.openxmlformats.org/officeDocument/2006/relationships/package" Target="embeddings/Folha_de_C_lculo_do_Microsoft_Office_Excel21.xlsx"/><Relationship Id="rId124" Type="http://schemas.openxmlformats.org/officeDocument/2006/relationships/package" Target="embeddings/Folha_de_C_lculo_do_Microsoft_Office_Excel29.xlsx"/><Relationship Id="rId129" Type="http://schemas.openxmlformats.org/officeDocument/2006/relationships/image" Target="media/image90.emf"/><Relationship Id="rId54" Type="http://schemas.openxmlformats.org/officeDocument/2006/relationships/image" Target="media/image44.emf"/><Relationship Id="rId70" Type="http://schemas.openxmlformats.org/officeDocument/2006/relationships/image" Target="media/image53.emf"/><Relationship Id="rId75" Type="http://schemas.openxmlformats.org/officeDocument/2006/relationships/package" Target="embeddings/Folha_de_C_lculo_do_Microsoft_Office_Excel12.xlsx"/><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package" Target="embeddings/Folha_de_C_lculo_do_Microsoft_Office_Excel37.xlsx"/><Relationship Id="rId145" Type="http://schemas.openxmlformats.org/officeDocument/2006/relationships/image" Target="media/image99.tiff"/><Relationship Id="rId161" Type="http://schemas.openxmlformats.org/officeDocument/2006/relationships/chart" Target="charts/chart2.xml"/><Relationship Id="rId166" Type="http://schemas.openxmlformats.org/officeDocument/2006/relationships/chart" Target="charts/chart7.xml"/><Relationship Id="rId182" Type="http://schemas.openxmlformats.org/officeDocument/2006/relationships/package" Target="embeddings/Folha_de_C_lculo_do_Microsoft_Office_Excel55.xlsx"/><Relationship Id="rId187" Type="http://schemas.openxmlformats.org/officeDocument/2006/relationships/package" Target="embeddings/Folha_de_C_lculo_do_Microsoft_Office_Excel57.xlsx"/><Relationship Id="rId217"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5.png"/><Relationship Id="rId233" Type="http://schemas.openxmlformats.org/officeDocument/2006/relationships/chart" Target="charts/chart21.xml"/><Relationship Id="rId238" Type="http://schemas.openxmlformats.org/officeDocument/2006/relationships/chart" Target="charts/chart26.xml"/><Relationship Id="rId23" Type="http://schemas.openxmlformats.org/officeDocument/2006/relationships/image" Target="media/image16.png"/><Relationship Id="rId28" Type="http://schemas.openxmlformats.org/officeDocument/2006/relationships/image" Target="media/image20.tiff"/><Relationship Id="rId49" Type="http://schemas.openxmlformats.org/officeDocument/2006/relationships/image" Target="media/image41.png"/><Relationship Id="rId114" Type="http://schemas.openxmlformats.org/officeDocument/2006/relationships/package" Target="embeddings/Folha_de_C_lculo_do_Microsoft_Office_Excel24.xlsx"/><Relationship Id="rId119" Type="http://schemas.openxmlformats.org/officeDocument/2006/relationships/image" Target="media/image85.emf"/><Relationship Id="rId44" Type="http://schemas.openxmlformats.org/officeDocument/2006/relationships/image" Target="media/image36.png"/><Relationship Id="rId60" Type="http://schemas.openxmlformats.org/officeDocument/2006/relationships/package" Target="embeddings/Folha_de_C_lculo_do_Microsoft_Office_Excel5.xlsx"/><Relationship Id="rId65" Type="http://schemas.openxmlformats.org/officeDocument/2006/relationships/package" Target="embeddings/Folha_de_C_lculo_do_Microsoft_Office_Excel7.xlsx"/><Relationship Id="rId81" Type="http://schemas.openxmlformats.org/officeDocument/2006/relationships/package" Target="embeddings/Folha_de_C_lculo_do_Microsoft_Office_Excel15.xlsx"/><Relationship Id="rId86" Type="http://schemas.openxmlformats.org/officeDocument/2006/relationships/image" Target="media/image61.emf"/><Relationship Id="rId130" Type="http://schemas.openxmlformats.org/officeDocument/2006/relationships/package" Target="embeddings/Folha_de_C_lculo_do_Microsoft_Office_Excel32.xlsx"/><Relationship Id="rId135" Type="http://schemas.openxmlformats.org/officeDocument/2006/relationships/image" Target="media/image93.emf"/><Relationship Id="rId151" Type="http://schemas.openxmlformats.org/officeDocument/2006/relationships/image" Target="media/image105.png"/><Relationship Id="rId156" Type="http://schemas.openxmlformats.org/officeDocument/2006/relationships/image" Target="media/image110.jpeg"/><Relationship Id="rId177" Type="http://schemas.openxmlformats.org/officeDocument/2006/relationships/image" Target="media/image117.emf"/><Relationship Id="rId198" Type="http://schemas.openxmlformats.org/officeDocument/2006/relationships/image" Target="media/image128.emf"/><Relationship Id="rId172" Type="http://schemas.openxmlformats.org/officeDocument/2006/relationships/chart" Target="charts/chart13.xml"/><Relationship Id="rId193" Type="http://schemas.openxmlformats.org/officeDocument/2006/relationships/package" Target="embeddings/Folha_de_C_lculo_do_Microsoft_Office_Excel60.xlsx"/><Relationship Id="rId202" Type="http://schemas.openxmlformats.org/officeDocument/2006/relationships/image" Target="media/image130.emf"/><Relationship Id="rId207" Type="http://schemas.openxmlformats.org/officeDocument/2006/relationships/package" Target="embeddings/Folha_de_C_lculo_do_Microsoft_Office_Excel67.xlsx"/><Relationship Id="rId223" Type="http://schemas.openxmlformats.org/officeDocument/2006/relationships/image" Target="media/image146.png"/><Relationship Id="rId228" Type="http://schemas.openxmlformats.org/officeDocument/2006/relationships/chart" Target="charts/chart16.xml"/><Relationship Id="rId244" Type="http://schemas.openxmlformats.org/officeDocument/2006/relationships/image" Target="media/image152.emf"/><Relationship Id="rId249" Type="http://schemas.openxmlformats.org/officeDocument/2006/relationships/fontTable" Target="fontTable.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png"/><Relationship Id="rId109" Type="http://schemas.openxmlformats.org/officeDocument/2006/relationships/image" Target="media/image80.emf"/><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package" Target="embeddings/Folha_de_C_lculo_do_Microsoft_Office_Excel3.xlsx"/><Relationship Id="rId76" Type="http://schemas.openxmlformats.org/officeDocument/2006/relationships/image" Target="media/image56.emf"/><Relationship Id="rId97" Type="http://schemas.openxmlformats.org/officeDocument/2006/relationships/image" Target="media/image70.png"/><Relationship Id="rId104" Type="http://schemas.openxmlformats.org/officeDocument/2006/relationships/image" Target="media/image77.jpeg"/><Relationship Id="rId120" Type="http://schemas.openxmlformats.org/officeDocument/2006/relationships/package" Target="embeddings/Folha_de_C_lculo_do_Microsoft_Office_Excel27.xlsx"/><Relationship Id="rId125" Type="http://schemas.openxmlformats.org/officeDocument/2006/relationships/image" Target="media/image88.emf"/><Relationship Id="rId141" Type="http://schemas.openxmlformats.org/officeDocument/2006/relationships/image" Target="media/image96.emf"/><Relationship Id="rId146" Type="http://schemas.openxmlformats.org/officeDocument/2006/relationships/image" Target="media/image100.tiff"/><Relationship Id="rId167" Type="http://schemas.openxmlformats.org/officeDocument/2006/relationships/chart" Target="charts/chart8.xml"/><Relationship Id="rId188" Type="http://schemas.openxmlformats.org/officeDocument/2006/relationships/image" Target="media/image123.emf"/><Relationship Id="rId7" Type="http://schemas.openxmlformats.org/officeDocument/2006/relationships/endnotes" Target="endnotes.xml"/><Relationship Id="rId71" Type="http://schemas.openxmlformats.org/officeDocument/2006/relationships/package" Target="embeddings/Folha_de_C_lculo_do_Microsoft_Office_Excel10.xlsx"/><Relationship Id="rId92" Type="http://schemas.openxmlformats.org/officeDocument/2006/relationships/image" Target="media/image65.tiff"/><Relationship Id="rId162" Type="http://schemas.openxmlformats.org/officeDocument/2006/relationships/chart" Target="charts/chart3.xml"/><Relationship Id="rId183" Type="http://schemas.openxmlformats.org/officeDocument/2006/relationships/image" Target="media/image120.png"/><Relationship Id="rId213" Type="http://schemas.openxmlformats.org/officeDocument/2006/relationships/image" Target="media/image136.png"/><Relationship Id="rId218" Type="http://schemas.openxmlformats.org/officeDocument/2006/relationships/image" Target="media/image141.png"/><Relationship Id="rId234" Type="http://schemas.openxmlformats.org/officeDocument/2006/relationships/chart" Target="charts/chart22.xml"/><Relationship Id="rId239" Type="http://schemas.openxmlformats.org/officeDocument/2006/relationships/chart" Target="charts/chart27.xml"/><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theme" Target="theme/theme1.xml"/><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tiff"/><Relationship Id="rId66" Type="http://schemas.openxmlformats.org/officeDocument/2006/relationships/image" Target="media/image51.emf"/><Relationship Id="rId87" Type="http://schemas.openxmlformats.org/officeDocument/2006/relationships/package" Target="embeddings/Folha_de_C_lculo_do_Microsoft_Office_Excel18.xlsx"/><Relationship Id="rId110" Type="http://schemas.openxmlformats.org/officeDocument/2006/relationships/package" Target="embeddings/Folha_de_C_lculo_do_Microsoft_Office_Excel22.xlsx"/><Relationship Id="rId115" Type="http://schemas.openxmlformats.org/officeDocument/2006/relationships/image" Target="media/image83.emf"/><Relationship Id="rId131" Type="http://schemas.openxmlformats.org/officeDocument/2006/relationships/image" Target="media/image91.emf"/><Relationship Id="rId136" Type="http://schemas.openxmlformats.org/officeDocument/2006/relationships/package" Target="embeddings/Folha_de_C_lculo_do_Microsoft_Office_Excel35.xlsx"/><Relationship Id="rId157" Type="http://schemas.openxmlformats.org/officeDocument/2006/relationships/image" Target="media/image111.jpeg"/><Relationship Id="rId178" Type="http://schemas.openxmlformats.org/officeDocument/2006/relationships/package" Target="embeddings/Folha_de_C_lculo_do_Microsoft_Office_Excel53.xlsx"/><Relationship Id="rId61" Type="http://schemas.openxmlformats.org/officeDocument/2006/relationships/image" Target="media/image48.emf"/><Relationship Id="rId82" Type="http://schemas.openxmlformats.org/officeDocument/2006/relationships/image" Target="media/image59.emf"/><Relationship Id="rId152" Type="http://schemas.openxmlformats.org/officeDocument/2006/relationships/image" Target="media/image106.png"/><Relationship Id="rId173" Type="http://schemas.openxmlformats.org/officeDocument/2006/relationships/image" Target="media/image114.png"/><Relationship Id="rId194" Type="http://schemas.openxmlformats.org/officeDocument/2006/relationships/image" Target="media/image126.emf"/><Relationship Id="rId199" Type="http://schemas.openxmlformats.org/officeDocument/2006/relationships/package" Target="embeddings/Folha_de_C_lculo_do_Microsoft_Office_Excel63.xlsx"/><Relationship Id="rId203" Type="http://schemas.openxmlformats.org/officeDocument/2006/relationships/package" Target="embeddings/Folha_de_C_lculo_do_Microsoft_Office_Excel65.xlsx"/><Relationship Id="rId208" Type="http://schemas.openxmlformats.org/officeDocument/2006/relationships/image" Target="media/image133.emf"/><Relationship Id="rId229" Type="http://schemas.openxmlformats.org/officeDocument/2006/relationships/chart" Target="charts/chart17.xml"/><Relationship Id="rId19" Type="http://schemas.openxmlformats.org/officeDocument/2006/relationships/image" Target="media/image12.png"/><Relationship Id="rId224" Type="http://schemas.openxmlformats.org/officeDocument/2006/relationships/image" Target="media/image147.png"/><Relationship Id="rId240" Type="http://schemas.openxmlformats.org/officeDocument/2006/relationships/chart" Target="charts/chart28.xml"/><Relationship Id="rId245" Type="http://schemas.openxmlformats.org/officeDocument/2006/relationships/image" Target="media/image153.jpeg"/><Relationship Id="rId14" Type="http://schemas.openxmlformats.org/officeDocument/2006/relationships/image" Target="media/image7.em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emf"/><Relationship Id="rId77" Type="http://schemas.openxmlformats.org/officeDocument/2006/relationships/package" Target="embeddings/Folha_de_C_lculo_do_Microsoft_Office_Excel13.xlsx"/><Relationship Id="rId100" Type="http://schemas.openxmlformats.org/officeDocument/2006/relationships/image" Target="media/image73.emf"/><Relationship Id="rId105" Type="http://schemas.openxmlformats.org/officeDocument/2006/relationships/image" Target="media/image78.emf"/><Relationship Id="rId126" Type="http://schemas.openxmlformats.org/officeDocument/2006/relationships/package" Target="embeddings/Folha_de_C_lculo_do_Microsoft_Office_Excel30.xlsx"/><Relationship Id="rId147" Type="http://schemas.openxmlformats.org/officeDocument/2006/relationships/image" Target="media/image101.tiff"/><Relationship Id="rId168" Type="http://schemas.openxmlformats.org/officeDocument/2006/relationships/chart" Target="charts/chart9.xml"/><Relationship Id="rId8" Type="http://schemas.openxmlformats.org/officeDocument/2006/relationships/image" Target="media/image1.jpeg"/><Relationship Id="rId51" Type="http://schemas.openxmlformats.org/officeDocument/2006/relationships/package" Target="embeddings/Folha_de_C_lculo_do_Microsoft_Office_Excel1.xlsx"/><Relationship Id="rId72" Type="http://schemas.openxmlformats.org/officeDocument/2006/relationships/image" Target="media/image54.emf"/><Relationship Id="rId93" Type="http://schemas.openxmlformats.org/officeDocument/2006/relationships/image" Target="media/image66.tiff"/><Relationship Id="rId98" Type="http://schemas.openxmlformats.org/officeDocument/2006/relationships/image" Target="media/image71.png"/><Relationship Id="rId121" Type="http://schemas.openxmlformats.org/officeDocument/2006/relationships/image" Target="media/image86.emf"/><Relationship Id="rId142" Type="http://schemas.openxmlformats.org/officeDocument/2006/relationships/package" Target="embeddings/Folha_de_C_lculo_do_Microsoft_Office_Excel38.xlsx"/><Relationship Id="rId163" Type="http://schemas.openxmlformats.org/officeDocument/2006/relationships/chart" Target="charts/chart4.xml"/><Relationship Id="rId184" Type="http://schemas.openxmlformats.org/officeDocument/2006/relationships/image" Target="media/image121.emf"/><Relationship Id="rId189" Type="http://schemas.openxmlformats.org/officeDocument/2006/relationships/package" Target="embeddings/Folha_de_C_lculo_do_Microsoft_Office_Excel58.xlsx"/><Relationship Id="rId219" Type="http://schemas.openxmlformats.org/officeDocument/2006/relationships/image" Target="media/image142.png"/><Relationship Id="rId3" Type="http://schemas.openxmlformats.org/officeDocument/2006/relationships/styles" Target="styles.xml"/><Relationship Id="rId214" Type="http://schemas.openxmlformats.org/officeDocument/2006/relationships/image" Target="media/image137.png"/><Relationship Id="rId230" Type="http://schemas.openxmlformats.org/officeDocument/2006/relationships/chart" Target="charts/chart18.xml"/><Relationship Id="rId235" Type="http://schemas.openxmlformats.org/officeDocument/2006/relationships/chart" Target="charts/chart23.xml"/><Relationship Id="rId25" Type="http://schemas.openxmlformats.org/officeDocument/2006/relationships/image" Target="media/image18.png"/><Relationship Id="rId46" Type="http://schemas.openxmlformats.org/officeDocument/2006/relationships/image" Target="media/image38.tiff"/><Relationship Id="rId67" Type="http://schemas.openxmlformats.org/officeDocument/2006/relationships/package" Target="embeddings/Folha_de_C_lculo_do_Microsoft_Office_Excel8.xlsx"/><Relationship Id="rId116" Type="http://schemas.openxmlformats.org/officeDocument/2006/relationships/package" Target="embeddings/Folha_de_C_lculo_do_Microsoft_Office_Excel25.xlsx"/><Relationship Id="rId137" Type="http://schemas.openxmlformats.org/officeDocument/2006/relationships/image" Target="media/image94.emf"/><Relationship Id="rId158" Type="http://schemas.openxmlformats.org/officeDocument/2006/relationships/image" Target="media/image112.jpeg"/><Relationship Id="rId20" Type="http://schemas.openxmlformats.org/officeDocument/2006/relationships/image" Target="media/image13.emf"/><Relationship Id="rId41" Type="http://schemas.openxmlformats.org/officeDocument/2006/relationships/image" Target="media/image33.jpeg"/><Relationship Id="rId62" Type="http://schemas.openxmlformats.org/officeDocument/2006/relationships/package" Target="embeddings/Folha_de_C_lculo_do_Microsoft_Office_Excel6.xlsx"/><Relationship Id="rId83" Type="http://schemas.openxmlformats.org/officeDocument/2006/relationships/package" Target="embeddings/Folha_de_C_lculo_do_Microsoft_Office_Excel16.xlsx"/><Relationship Id="rId88" Type="http://schemas.openxmlformats.org/officeDocument/2006/relationships/image" Target="media/image62.emf"/><Relationship Id="rId111" Type="http://schemas.openxmlformats.org/officeDocument/2006/relationships/image" Target="media/image81.emf"/><Relationship Id="rId132" Type="http://schemas.openxmlformats.org/officeDocument/2006/relationships/package" Target="embeddings/Folha_de_C_lculo_do_Microsoft_Office_Excel33.xlsx"/><Relationship Id="rId153" Type="http://schemas.openxmlformats.org/officeDocument/2006/relationships/image" Target="media/image107.png"/><Relationship Id="rId174" Type="http://schemas.openxmlformats.org/officeDocument/2006/relationships/image" Target="media/image115.png"/><Relationship Id="rId179" Type="http://schemas.openxmlformats.org/officeDocument/2006/relationships/image" Target="media/image118.emf"/><Relationship Id="rId195" Type="http://schemas.openxmlformats.org/officeDocument/2006/relationships/package" Target="embeddings/Folha_de_C_lculo_do_Microsoft_Office_Excel61.xlsx"/><Relationship Id="rId209" Type="http://schemas.openxmlformats.org/officeDocument/2006/relationships/package" Target="embeddings/Folha_de_C_lculo_do_Microsoft_Office_Excel68.xlsx"/><Relationship Id="rId190" Type="http://schemas.openxmlformats.org/officeDocument/2006/relationships/image" Target="media/image124.emf"/><Relationship Id="rId204" Type="http://schemas.openxmlformats.org/officeDocument/2006/relationships/image" Target="media/image131.emf"/><Relationship Id="rId220" Type="http://schemas.openxmlformats.org/officeDocument/2006/relationships/image" Target="media/image143.png"/><Relationship Id="rId225" Type="http://schemas.openxmlformats.org/officeDocument/2006/relationships/image" Target="media/image148.png"/><Relationship Id="rId241" Type="http://schemas.openxmlformats.org/officeDocument/2006/relationships/image" Target="media/image149.png"/><Relationship Id="rId246" Type="http://schemas.openxmlformats.org/officeDocument/2006/relationships/image" Target="media/image154.jpeg"/><Relationship Id="rId15" Type="http://schemas.openxmlformats.org/officeDocument/2006/relationships/image" Target="media/image8.emf"/><Relationship Id="rId36" Type="http://schemas.openxmlformats.org/officeDocument/2006/relationships/image" Target="media/image28.png"/><Relationship Id="rId57" Type="http://schemas.openxmlformats.org/officeDocument/2006/relationships/package" Target="embeddings/Folha_de_C_lculo_do_Microsoft_Office_Excel4.xlsx"/><Relationship Id="rId106" Type="http://schemas.openxmlformats.org/officeDocument/2006/relationships/package" Target="embeddings/Folha_de_C_lculo_do_Microsoft_Office_Excel20.xlsx"/><Relationship Id="rId127" Type="http://schemas.openxmlformats.org/officeDocument/2006/relationships/image" Target="media/image89.emf"/><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3.emf"/><Relationship Id="rId73" Type="http://schemas.openxmlformats.org/officeDocument/2006/relationships/package" Target="embeddings/Folha_de_C_lculo_do_Microsoft_Office_Excel11.xlsx"/><Relationship Id="rId78" Type="http://schemas.openxmlformats.org/officeDocument/2006/relationships/image" Target="media/image57.emf"/><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package" Target="embeddings/Folha_de_C_lculo_do_Microsoft_Office_Excel28.xlsx"/><Relationship Id="rId143" Type="http://schemas.openxmlformats.org/officeDocument/2006/relationships/image" Target="media/image97.tiff"/><Relationship Id="rId148" Type="http://schemas.openxmlformats.org/officeDocument/2006/relationships/image" Target="media/image102.tiff"/><Relationship Id="rId164" Type="http://schemas.openxmlformats.org/officeDocument/2006/relationships/chart" Target="charts/chart5.xml"/><Relationship Id="rId169" Type="http://schemas.openxmlformats.org/officeDocument/2006/relationships/chart" Target="charts/chart10.xml"/><Relationship Id="rId185" Type="http://schemas.openxmlformats.org/officeDocument/2006/relationships/package" Target="embeddings/Folha_de_C_lculo_do_Microsoft_Office_Excel56.xlsx"/><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package" Target="embeddings/Folha_de_C_lculo_do_Microsoft_Office_Excel54.xlsx"/><Relationship Id="rId210" Type="http://schemas.openxmlformats.org/officeDocument/2006/relationships/image" Target="media/image134.emf"/><Relationship Id="rId215" Type="http://schemas.openxmlformats.org/officeDocument/2006/relationships/image" Target="media/image138.png"/><Relationship Id="rId236" Type="http://schemas.openxmlformats.org/officeDocument/2006/relationships/chart" Target="charts/chart24.xml"/><Relationship Id="rId26" Type="http://schemas.openxmlformats.org/officeDocument/2006/relationships/footer" Target="footer1.xml"/><Relationship Id="rId231" Type="http://schemas.openxmlformats.org/officeDocument/2006/relationships/chart" Target="charts/chart19.xml"/><Relationship Id="rId47" Type="http://schemas.openxmlformats.org/officeDocument/2006/relationships/image" Target="media/image39.jpeg"/><Relationship Id="rId68" Type="http://schemas.openxmlformats.org/officeDocument/2006/relationships/image" Target="media/image52.emf"/><Relationship Id="rId89" Type="http://schemas.openxmlformats.org/officeDocument/2006/relationships/package" Target="embeddings/Folha_de_C_lculo_do_Microsoft_Office_Excel19.xlsx"/><Relationship Id="rId112" Type="http://schemas.openxmlformats.org/officeDocument/2006/relationships/package" Target="embeddings/Folha_de_C_lculo_do_Microsoft_Office_Excel23.xlsx"/><Relationship Id="rId133" Type="http://schemas.openxmlformats.org/officeDocument/2006/relationships/image" Target="media/image92.emf"/><Relationship Id="rId154" Type="http://schemas.openxmlformats.org/officeDocument/2006/relationships/image" Target="media/image108.png"/><Relationship Id="rId175" Type="http://schemas.openxmlformats.org/officeDocument/2006/relationships/image" Target="media/image116.emf"/><Relationship Id="rId196" Type="http://schemas.openxmlformats.org/officeDocument/2006/relationships/image" Target="media/image127.emf"/><Relationship Id="rId200" Type="http://schemas.openxmlformats.org/officeDocument/2006/relationships/image" Target="media/image129.emf"/><Relationship Id="rId16" Type="http://schemas.openxmlformats.org/officeDocument/2006/relationships/image" Target="media/image9.emf"/><Relationship Id="rId221" Type="http://schemas.openxmlformats.org/officeDocument/2006/relationships/image" Target="media/image144.png"/><Relationship Id="rId242" Type="http://schemas.openxmlformats.org/officeDocument/2006/relationships/image" Target="media/image150.png"/><Relationship Id="rId37" Type="http://schemas.openxmlformats.org/officeDocument/2006/relationships/image" Target="media/image29.jpeg"/><Relationship Id="rId58" Type="http://schemas.openxmlformats.org/officeDocument/2006/relationships/image" Target="media/image46.jpeg"/><Relationship Id="rId79" Type="http://schemas.openxmlformats.org/officeDocument/2006/relationships/package" Target="embeddings/Folha_de_C_lculo_do_Microsoft_Office_Excel14.xlsx"/><Relationship Id="rId102" Type="http://schemas.openxmlformats.org/officeDocument/2006/relationships/image" Target="media/image75.png"/><Relationship Id="rId123" Type="http://schemas.openxmlformats.org/officeDocument/2006/relationships/image" Target="media/image87.emf"/><Relationship Id="rId144" Type="http://schemas.openxmlformats.org/officeDocument/2006/relationships/image" Target="media/image98.tiff"/><Relationship Id="rId90" Type="http://schemas.openxmlformats.org/officeDocument/2006/relationships/image" Target="media/image63.png"/><Relationship Id="rId165" Type="http://schemas.openxmlformats.org/officeDocument/2006/relationships/chart" Target="charts/chart6.xml"/><Relationship Id="rId186" Type="http://schemas.openxmlformats.org/officeDocument/2006/relationships/image" Target="media/image122.emf"/><Relationship Id="rId211" Type="http://schemas.openxmlformats.org/officeDocument/2006/relationships/package" Target="embeddings/Folha_de_C_lculo_do_Microsoft_Office_Excel69.xlsx"/><Relationship Id="rId232" Type="http://schemas.openxmlformats.org/officeDocument/2006/relationships/chart" Target="charts/chart20.xml"/><Relationship Id="rId27" Type="http://schemas.openxmlformats.org/officeDocument/2006/relationships/image" Target="media/image19.tiff"/><Relationship Id="rId48" Type="http://schemas.openxmlformats.org/officeDocument/2006/relationships/image" Target="media/image40.jpeg"/><Relationship Id="rId69" Type="http://schemas.openxmlformats.org/officeDocument/2006/relationships/package" Target="embeddings/Folha_de_C_lculo_do_Microsoft_Office_Excel9.xlsx"/><Relationship Id="rId113" Type="http://schemas.openxmlformats.org/officeDocument/2006/relationships/image" Target="media/image82.emf"/><Relationship Id="rId134" Type="http://schemas.openxmlformats.org/officeDocument/2006/relationships/package" Target="embeddings/Folha_de_C_lculo_do_Microsoft_Office_Excel34.xlsx"/><Relationship Id="rId80" Type="http://schemas.openxmlformats.org/officeDocument/2006/relationships/image" Target="media/image58.emf"/><Relationship Id="rId155" Type="http://schemas.openxmlformats.org/officeDocument/2006/relationships/image" Target="media/image109.png"/><Relationship Id="rId176" Type="http://schemas.openxmlformats.org/officeDocument/2006/relationships/package" Target="embeddings/Folha_de_C_lculo_do_Microsoft_Office_Excel52.xlsx"/><Relationship Id="rId197" Type="http://schemas.openxmlformats.org/officeDocument/2006/relationships/package" Target="embeddings/Folha_de_C_lculo_do_Microsoft_Office_Excel62.xlsx"/><Relationship Id="rId201" Type="http://schemas.openxmlformats.org/officeDocument/2006/relationships/package" Target="embeddings/Folha_de_C_lculo_do_Microsoft_Office_Excel64.xlsx"/><Relationship Id="rId222" Type="http://schemas.openxmlformats.org/officeDocument/2006/relationships/image" Target="media/image145.png"/><Relationship Id="rId243" Type="http://schemas.openxmlformats.org/officeDocument/2006/relationships/image" Target="media/image151.emf"/></Relationships>
</file>

<file path=word/charts/_rels/chart1.xml.rels><?xml version="1.0" encoding="UTF-8" standalone="yes"?>
<Relationships xmlns="http://schemas.openxmlformats.org/package/2006/relationships"><Relationship Id="rId1" Type="http://schemas.openxmlformats.org/officeDocument/2006/relationships/package" Target="../embeddings/Folha_de_C_lculo_do_Microsoft_Office_Excel39.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Folha_de_C_lculo_do_Microsoft_Office_Excel4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Folha_de_C_lculo_do_Microsoft_Office_Excel4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Folha_de_C_lculo_do_Microsoft_Office_Excel5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Folha_de_C_lculo_do_Microsoft_Office_Excel51.xlsx"/></Relationships>
</file>

<file path=word/charts/_rels/chart14.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Folha_de_C_lculo_do_Microsoft_Office_Excel40.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Nelson\Documents\Tese\Tese\Tese\An&#225;lise%20do%20material\Analise%20inters&#237;tio.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Folha_de_C_lculo_do_Microsoft_Office_Excel4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olha_de_C_lculo_do_Microsoft_Office_Excel4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olha_de_C_lculo_do_Microsoft_Office_Excel4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olha_de_C_lculo_do_Microsoft_Office_Excel4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olha_de_C_lculo_do_Microsoft_Office_Excel4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olha_de_C_lculo_do_Microsoft_Office_Excel4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olha_de_C_lculo_do_Microsoft_Office_Excel4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cat>
            <c:strRef>
              <c:f>Folha1!$C$57:$C$58</c:f>
              <c:strCache>
                <c:ptCount val="2"/>
                <c:pt idx="0">
                  <c:v>externo</c:v>
                </c:pt>
                <c:pt idx="1">
                  <c:v>autoctone</c:v>
                </c:pt>
              </c:strCache>
            </c:strRef>
          </c:cat>
          <c:val>
            <c:numRef>
              <c:f>Folha1!$D$57:$D$58</c:f>
              <c:numCache>
                <c:formatCode>General</c:formatCode>
                <c:ptCount val="2"/>
                <c:pt idx="0">
                  <c:v>12</c:v>
                </c:pt>
                <c:pt idx="1">
                  <c:v>29</c:v>
                </c:pt>
              </c:numCache>
            </c:numRef>
          </c:val>
        </c:ser>
        <c:dLbls>
          <c:showCatName val="1"/>
          <c:showPercent val="1"/>
        </c:dLbls>
        <c:firstSliceAng val="0"/>
      </c:pieChart>
      <c:spPr>
        <a:noFill/>
        <a:ln w="26801">
          <a:noFill/>
        </a:ln>
      </c:spPr>
    </c:plotArea>
    <c:plotVisOnly val="1"/>
    <c:dispBlanksAs val="zero"/>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talão</c:v>
          </c:tx>
          <c:spPr>
            <a:ln w="28575">
              <a:noFill/>
            </a:ln>
          </c:spPr>
          <c:trendline>
            <c:trendlineType val="linear"/>
            <c:dispRSqr val="1"/>
            <c:dispEq val="1"/>
            <c:trendlineLbl>
              <c:layout/>
              <c:numFmt formatCode="General" sourceLinked="0"/>
            </c:trendlineLbl>
          </c:trendline>
          <c:xVal>
            <c:numRef>
              <c:f>Folha1!$N$159:$N$199</c:f>
              <c:numCache>
                <c:formatCode>General</c:formatCode>
                <c:ptCount val="41"/>
                <c:pt idx="0">
                  <c:v>75.649999999999991</c:v>
                </c:pt>
                <c:pt idx="1">
                  <c:v>55.39</c:v>
                </c:pt>
                <c:pt idx="2">
                  <c:v>67.2</c:v>
                </c:pt>
                <c:pt idx="3">
                  <c:v>19.72</c:v>
                </c:pt>
                <c:pt idx="4">
                  <c:v>44.88</c:v>
                </c:pt>
                <c:pt idx="5">
                  <c:v>57.08</c:v>
                </c:pt>
                <c:pt idx="7">
                  <c:v>49.85</c:v>
                </c:pt>
                <c:pt idx="8">
                  <c:v>15.51</c:v>
                </c:pt>
                <c:pt idx="10">
                  <c:v>8.68</c:v>
                </c:pt>
                <c:pt idx="11">
                  <c:v>8.7200000000000006</c:v>
                </c:pt>
                <c:pt idx="12">
                  <c:v>28.67</c:v>
                </c:pt>
                <c:pt idx="13">
                  <c:v>20.97</c:v>
                </c:pt>
                <c:pt idx="14">
                  <c:v>15.42</c:v>
                </c:pt>
                <c:pt idx="15">
                  <c:v>15.78</c:v>
                </c:pt>
                <c:pt idx="16">
                  <c:v>36.520000000000003</c:v>
                </c:pt>
                <c:pt idx="17">
                  <c:v>20.329999999999988</c:v>
                </c:pt>
                <c:pt idx="18">
                  <c:v>30.62</c:v>
                </c:pt>
                <c:pt idx="19">
                  <c:v>28.830000000000005</c:v>
                </c:pt>
                <c:pt idx="20">
                  <c:v>41.24</c:v>
                </c:pt>
                <c:pt idx="22">
                  <c:v>45.06</c:v>
                </c:pt>
                <c:pt idx="23">
                  <c:v>24.939999999999987</c:v>
                </c:pt>
                <c:pt idx="24">
                  <c:v>34.65</c:v>
                </c:pt>
                <c:pt idx="25">
                  <c:v>59.38</c:v>
                </c:pt>
                <c:pt idx="26">
                  <c:v>24.89</c:v>
                </c:pt>
                <c:pt idx="27">
                  <c:v>27.08</c:v>
                </c:pt>
                <c:pt idx="28">
                  <c:v>16.88</c:v>
                </c:pt>
                <c:pt idx="29">
                  <c:v>9.02</c:v>
                </c:pt>
                <c:pt idx="30">
                  <c:v>23.45</c:v>
                </c:pt>
                <c:pt idx="31">
                  <c:v>53.42</c:v>
                </c:pt>
                <c:pt idx="32">
                  <c:v>34.11</c:v>
                </c:pt>
                <c:pt idx="33">
                  <c:v>40.230000000000011</c:v>
                </c:pt>
                <c:pt idx="34">
                  <c:v>23.41</c:v>
                </c:pt>
                <c:pt idx="36">
                  <c:v>62.06</c:v>
                </c:pt>
                <c:pt idx="37">
                  <c:v>16.18</c:v>
                </c:pt>
                <c:pt idx="38">
                  <c:v>15.74</c:v>
                </c:pt>
                <c:pt idx="39">
                  <c:v>10.030000000000001</c:v>
                </c:pt>
                <c:pt idx="40">
                  <c:v>22.85</c:v>
                </c:pt>
              </c:numCache>
            </c:numRef>
          </c:xVal>
          <c:yVal>
            <c:numRef>
              <c:f>Folha1!$O$159:$O$199</c:f>
              <c:numCache>
                <c:formatCode>General</c:formatCode>
                <c:ptCount val="41"/>
                <c:pt idx="0">
                  <c:v>20.56</c:v>
                </c:pt>
                <c:pt idx="1">
                  <c:v>16.38</c:v>
                </c:pt>
                <c:pt idx="2">
                  <c:v>23.64</c:v>
                </c:pt>
                <c:pt idx="3">
                  <c:v>15.72</c:v>
                </c:pt>
                <c:pt idx="4">
                  <c:v>25.23</c:v>
                </c:pt>
                <c:pt idx="5">
                  <c:v>17.18</c:v>
                </c:pt>
                <c:pt idx="7">
                  <c:v>13.28</c:v>
                </c:pt>
                <c:pt idx="8">
                  <c:v>3</c:v>
                </c:pt>
                <c:pt idx="10">
                  <c:v>2.2000000000000002</c:v>
                </c:pt>
                <c:pt idx="11">
                  <c:v>7.1499999999999995</c:v>
                </c:pt>
                <c:pt idx="12">
                  <c:v>6.71</c:v>
                </c:pt>
                <c:pt idx="13">
                  <c:v>8.43</c:v>
                </c:pt>
                <c:pt idx="14">
                  <c:v>6.99</c:v>
                </c:pt>
                <c:pt idx="15">
                  <c:v>8.89</c:v>
                </c:pt>
                <c:pt idx="16">
                  <c:v>9.66</c:v>
                </c:pt>
                <c:pt idx="17">
                  <c:v>3.04</c:v>
                </c:pt>
                <c:pt idx="18">
                  <c:v>11.46</c:v>
                </c:pt>
                <c:pt idx="19">
                  <c:v>17.39</c:v>
                </c:pt>
                <c:pt idx="20">
                  <c:v>18.59</c:v>
                </c:pt>
                <c:pt idx="22">
                  <c:v>12.53</c:v>
                </c:pt>
                <c:pt idx="23">
                  <c:v>8.44</c:v>
                </c:pt>
                <c:pt idx="24">
                  <c:v>10.7</c:v>
                </c:pt>
                <c:pt idx="25">
                  <c:v>20.18</c:v>
                </c:pt>
                <c:pt idx="26">
                  <c:v>2.42</c:v>
                </c:pt>
                <c:pt idx="27">
                  <c:v>10.860000000000021</c:v>
                </c:pt>
                <c:pt idx="28">
                  <c:v>7.88</c:v>
                </c:pt>
                <c:pt idx="29">
                  <c:v>2.4</c:v>
                </c:pt>
                <c:pt idx="30">
                  <c:v>6.52</c:v>
                </c:pt>
                <c:pt idx="31">
                  <c:v>16.309999999999999</c:v>
                </c:pt>
                <c:pt idx="32">
                  <c:v>12.15</c:v>
                </c:pt>
                <c:pt idx="33">
                  <c:v>13.79</c:v>
                </c:pt>
                <c:pt idx="34">
                  <c:v>13.41</c:v>
                </c:pt>
                <c:pt idx="36">
                  <c:v>30.67</c:v>
                </c:pt>
                <c:pt idx="37">
                  <c:v>10.62</c:v>
                </c:pt>
                <c:pt idx="38">
                  <c:v>10.23</c:v>
                </c:pt>
                <c:pt idx="39">
                  <c:v>4.17</c:v>
                </c:pt>
                <c:pt idx="40">
                  <c:v>6.1199999999999966</c:v>
                </c:pt>
              </c:numCache>
            </c:numRef>
          </c:yVal>
        </c:ser>
        <c:axId val="75586176"/>
        <c:axId val="75592448"/>
      </c:scatterChart>
      <c:valAx>
        <c:axId val="75586176"/>
        <c:scaling>
          <c:orientation val="minMax"/>
        </c:scaling>
        <c:axPos val="b"/>
        <c:title>
          <c:tx>
            <c:rich>
              <a:bodyPr/>
              <a:lstStyle/>
              <a:p>
                <a:pPr>
                  <a:defRPr sz="1000" b="1" i="0" u="none" strike="noStrike" baseline="0">
                    <a:solidFill>
                      <a:srgbClr val="000000"/>
                    </a:solidFill>
                    <a:latin typeface="Calibri"/>
                    <a:ea typeface="Calibri"/>
                    <a:cs typeface="Calibri"/>
                  </a:defRPr>
                </a:pPr>
                <a:r>
                  <a:rPr lang="pt-PT"/>
                  <a:t>Comprimento</a:t>
                </a:r>
              </a:p>
            </c:rich>
          </c:tx>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t-PT"/>
          </a:p>
        </c:txPr>
        <c:crossAx val="75592448"/>
        <c:crosses val="autoZero"/>
        <c:crossBetween val="midCat"/>
      </c:valAx>
      <c:valAx>
        <c:axId val="75592448"/>
        <c:scaling>
          <c:orientation val="minMax"/>
        </c:scaling>
        <c:axPos val="l"/>
        <c:majorGridlines/>
        <c:minorGridlines/>
        <c:title>
          <c:tx>
            <c:rich>
              <a:bodyPr/>
              <a:lstStyle/>
              <a:p>
                <a:pPr>
                  <a:defRPr sz="1000" b="1" i="0" u="none" strike="noStrike" baseline="0">
                    <a:solidFill>
                      <a:srgbClr val="000000"/>
                    </a:solidFill>
                    <a:latin typeface="Calibri"/>
                    <a:ea typeface="Calibri"/>
                    <a:cs typeface="Calibri"/>
                  </a:defRPr>
                </a:pPr>
                <a:r>
                  <a:rPr lang="pt-PT"/>
                  <a:t>Largura</a:t>
                </a:r>
              </a:p>
            </c:rich>
          </c:tx>
          <c:layout/>
        </c:title>
        <c:numFmt formatCode="General" sourceLinked="1"/>
        <c:tickLblPos val="nextTo"/>
        <c:crossAx val="75586176"/>
        <c:crosses val="autoZero"/>
        <c:crossBetween val="midCat"/>
      </c:valAx>
    </c:plotArea>
    <c:legend>
      <c:legendPos val="r"/>
      <c:layout/>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núcleos</c:v>
          </c:tx>
          <c:spPr>
            <a:ln w="32042">
              <a:noFill/>
            </a:ln>
          </c:spPr>
          <c:trendline>
            <c:trendlineType val="linear"/>
            <c:dispRSqr val="1"/>
            <c:dispEq val="1"/>
            <c:trendlineLbl>
              <c:layout/>
              <c:numFmt formatCode="General" sourceLinked="0"/>
            </c:trendlineLbl>
          </c:trendline>
          <c:xVal>
            <c:numRef>
              <c:f>Folha1!$B$105:$B$108</c:f>
              <c:numCache>
                <c:formatCode>General</c:formatCode>
                <c:ptCount val="4"/>
                <c:pt idx="0">
                  <c:v>80.459999999999994</c:v>
                </c:pt>
                <c:pt idx="1">
                  <c:v>42.09</c:v>
                </c:pt>
                <c:pt idx="2">
                  <c:v>68.260000000000005</c:v>
                </c:pt>
                <c:pt idx="3">
                  <c:v>77.05</c:v>
                </c:pt>
              </c:numCache>
            </c:numRef>
          </c:xVal>
          <c:yVal>
            <c:numRef>
              <c:f>Folha1!$C$105:$C$108</c:f>
              <c:numCache>
                <c:formatCode>General</c:formatCode>
                <c:ptCount val="4"/>
                <c:pt idx="0">
                  <c:v>27.630000000000031</c:v>
                </c:pt>
                <c:pt idx="1">
                  <c:v>23.77</c:v>
                </c:pt>
                <c:pt idx="2">
                  <c:v>27.93</c:v>
                </c:pt>
                <c:pt idx="3">
                  <c:v>29.2</c:v>
                </c:pt>
              </c:numCache>
            </c:numRef>
          </c:yVal>
        </c:ser>
        <c:axId val="76280960"/>
        <c:axId val="76282880"/>
      </c:scatterChart>
      <c:valAx>
        <c:axId val="76280960"/>
        <c:scaling>
          <c:orientation val="minMax"/>
        </c:scaling>
        <c:axPos val="b"/>
        <c:title>
          <c:tx>
            <c:rich>
              <a:bodyPr/>
              <a:lstStyle/>
              <a:p>
                <a:pPr>
                  <a:defRPr sz="1121" b="1" i="0" u="none" strike="noStrike" baseline="0">
                    <a:solidFill>
                      <a:srgbClr val="000000"/>
                    </a:solidFill>
                    <a:latin typeface="Calibri"/>
                    <a:ea typeface="Calibri"/>
                    <a:cs typeface="Calibri"/>
                  </a:defRPr>
                </a:pPr>
                <a:r>
                  <a:rPr lang="pt-PT"/>
                  <a:t>Comprimento</a:t>
                </a:r>
              </a:p>
            </c:rich>
          </c:tx>
          <c:layout/>
        </c:title>
        <c:numFmt formatCode="General" sourceLinked="1"/>
        <c:tickLblPos val="nextTo"/>
        <c:txPr>
          <a:bodyPr rot="0" vert="horz"/>
          <a:lstStyle/>
          <a:p>
            <a:pPr>
              <a:defRPr sz="1121" b="0" i="0" u="none" strike="noStrike" baseline="0">
                <a:solidFill>
                  <a:srgbClr val="000000"/>
                </a:solidFill>
                <a:latin typeface="Calibri"/>
                <a:ea typeface="Calibri"/>
                <a:cs typeface="Calibri"/>
              </a:defRPr>
            </a:pPr>
            <a:endParaRPr lang="pt-PT"/>
          </a:p>
        </c:txPr>
        <c:crossAx val="76282880"/>
        <c:crosses val="autoZero"/>
        <c:crossBetween val="midCat"/>
      </c:valAx>
      <c:valAx>
        <c:axId val="76282880"/>
        <c:scaling>
          <c:orientation val="minMax"/>
        </c:scaling>
        <c:axPos val="l"/>
        <c:majorGridlines/>
        <c:minorGridlines/>
        <c:title>
          <c:tx>
            <c:rich>
              <a:bodyPr/>
              <a:lstStyle/>
              <a:p>
                <a:pPr>
                  <a:defRPr sz="1121" b="1" i="0" u="none" strike="noStrike" baseline="0">
                    <a:solidFill>
                      <a:srgbClr val="000000"/>
                    </a:solidFill>
                    <a:latin typeface="Calibri"/>
                    <a:ea typeface="Calibri"/>
                    <a:cs typeface="Calibri"/>
                  </a:defRPr>
                </a:pPr>
                <a:r>
                  <a:rPr lang="pt-PT"/>
                  <a:t>Largura</a:t>
                </a:r>
              </a:p>
            </c:rich>
          </c:tx>
          <c:layout/>
        </c:title>
        <c:numFmt formatCode="General" sourceLinked="1"/>
        <c:tickLblPos val="nextTo"/>
        <c:crossAx val="76280960"/>
        <c:crosses val="autoZero"/>
        <c:crossBetween val="midCat"/>
      </c:valAx>
    </c:plotArea>
    <c:legend>
      <c:legendPos val="r"/>
      <c:layout/>
    </c:legend>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núcleos</c:v>
          </c:tx>
          <c:spPr>
            <a:ln w="28575">
              <a:noFill/>
            </a:ln>
          </c:spPr>
          <c:trendline>
            <c:trendlineType val="linear"/>
            <c:dispRSqr val="1"/>
            <c:dispEq val="1"/>
            <c:trendlineLbl>
              <c:layout/>
              <c:numFmt formatCode="General" sourceLinked="0"/>
            </c:trendlineLbl>
          </c:trendline>
          <c:xVal>
            <c:numRef>
              <c:f>Folha1!$C$105:$C$108</c:f>
              <c:numCache>
                <c:formatCode>General</c:formatCode>
                <c:ptCount val="4"/>
                <c:pt idx="0">
                  <c:v>27.630000000000031</c:v>
                </c:pt>
                <c:pt idx="1">
                  <c:v>23.77</c:v>
                </c:pt>
                <c:pt idx="2">
                  <c:v>27.93</c:v>
                </c:pt>
                <c:pt idx="3">
                  <c:v>29.2</c:v>
                </c:pt>
              </c:numCache>
            </c:numRef>
          </c:xVal>
          <c:yVal>
            <c:numRef>
              <c:f>Folha1!$D$105:$D$108</c:f>
              <c:numCache>
                <c:formatCode>General</c:formatCode>
                <c:ptCount val="4"/>
                <c:pt idx="0">
                  <c:v>56.24</c:v>
                </c:pt>
                <c:pt idx="1">
                  <c:v>26.82</c:v>
                </c:pt>
                <c:pt idx="2">
                  <c:v>67.910000000000025</c:v>
                </c:pt>
                <c:pt idx="3">
                  <c:v>52.7</c:v>
                </c:pt>
              </c:numCache>
            </c:numRef>
          </c:yVal>
        </c:ser>
        <c:axId val="76373376"/>
        <c:axId val="76383744"/>
      </c:scatterChart>
      <c:valAx>
        <c:axId val="76373376"/>
        <c:scaling>
          <c:orientation val="minMax"/>
        </c:scaling>
        <c:axPos val="b"/>
        <c:title>
          <c:tx>
            <c:rich>
              <a:bodyPr/>
              <a:lstStyle/>
              <a:p>
                <a:pPr>
                  <a:defRPr sz="1000" b="1" i="0" u="none" strike="noStrike" baseline="0">
                    <a:solidFill>
                      <a:srgbClr val="000000"/>
                    </a:solidFill>
                    <a:latin typeface="Calibri"/>
                    <a:ea typeface="Calibri"/>
                    <a:cs typeface="Calibri"/>
                  </a:defRPr>
                </a:pPr>
                <a:r>
                  <a:rPr lang="pt-PT"/>
                  <a:t>Largura</a:t>
                </a:r>
              </a:p>
            </c:rich>
          </c:tx>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t-PT"/>
          </a:p>
        </c:txPr>
        <c:crossAx val="76383744"/>
        <c:crosses val="autoZero"/>
        <c:crossBetween val="midCat"/>
      </c:valAx>
      <c:valAx>
        <c:axId val="76383744"/>
        <c:scaling>
          <c:orientation val="minMax"/>
        </c:scaling>
        <c:axPos val="l"/>
        <c:majorGridlines/>
        <c:minorGridlines/>
        <c:title>
          <c:tx>
            <c:rich>
              <a:bodyPr/>
              <a:lstStyle/>
              <a:p>
                <a:pPr>
                  <a:defRPr sz="1000" b="1" i="0" u="none" strike="noStrike" baseline="0">
                    <a:solidFill>
                      <a:srgbClr val="000000"/>
                    </a:solidFill>
                    <a:latin typeface="Calibri"/>
                    <a:ea typeface="Calibri"/>
                    <a:cs typeface="Calibri"/>
                  </a:defRPr>
                </a:pPr>
                <a:r>
                  <a:rPr lang="pt-PT"/>
                  <a:t>Espessura</a:t>
                </a:r>
              </a:p>
            </c:rich>
          </c:tx>
          <c:layout/>
        </c:title>
        <c:numFmt formatCode="General" sourceLinked="1"/>
        <c:tickLblPos val="nextTo"/>
        <c:crossAx val="76373376"/>
        <c:crosses val="autoZero"/>
        <c:crossBetween val="midCat"/>
      </c:valAx>
    </c:plotArea>
    <c:legend>
      <c:legendPos val="r"/>
      <c:layout/>
    </c:legend>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núcleos</c:v>
          </c:tx>
          <c:spPr>
            <a:ln w="30886">
              <a:noFill/>
            </a:ln>
          </c:spPr>
          <c:trendline>
            <c:trendlineType val="linear"/>
            <c:dispRSqr val="1"/>
            <c:dispEq val="1"/>
            <c:trendlineLbl>
              <c:layout/>
              <c:numFmt formatCode="General" sourceLinked="0"/>
            </c:trendlineLbl>
          </c:trendline>
          <c:xVal>
            <c:numRef>
              <c:f>Folha1!$B$105:$B$108</c:f>
              <c:numCache>
                <c:formatCode>General</c:formatCode>
                <c:ptCount val="4"/>
                <c:pt idx="0">
                  <c:v>80.459999999999994</c:v>
                </c:pt>
                <c:pt idx="1">
                  <c:v>42.09</c:v>
                </c:pt>
                <c:pt idx="2">
                  <c:v>68.260000000000005</c:v>
                </c:pt>
                <c:pt idx="3">
                  <c:v>77.05</c:v>
                </c:pt>
              </c:numCache>
            </c:numRef>
          </c:xVal>
          <c:yVal>
            <c:numRef>
              <c:f>Folha1!$D$105:$D$108</c:f>
              <c:numCache>
                <c:formatCode>General</c:formatCode>
                <c:ptCount val="4"/>
                <c:pt idx="0">
                  <c:v>56.24</c:v>
                </c:pt>
                <c:pt idx="1">
                  <c:v>26.82</c:v>
                </c:pt>
                <c:pt idx="2">
                  <c:v>67.910000000000025</c:v>
                </c:pt>
                <c:pt idx="3">
                  <c:v>52.7</c:v>
                </c:pt>
              </c:numCache>
            </c:numRef>
          </c:yVal>
        </c:ser>
        <c:axId val="76269440"/>
        <c:axId val="76574720"/>
      </c:scatterChart>
      <c:valAx>
        <c:axId val="76269440"/>
        <c:scaling>
          <c:orientation val="minMax"/>
        </c:scaling>
        <c:axPos val="b"/>
        <c:title>
          <c:tx>
            <c:rich>
              <a:bodyPr/>
              <a:lstStyle/>
              <a:p>
                <a:pPr>
                  <a:defRPr sz="1081" b="1" i="0" u="none" strike="noStrike" baseline="0">
                    <a:solidFill>
                      <a:srgbClr val="000000"/>
                    </a:solidFill>
                    <a:latin typeface="Calibri"/>
                    <a:ea typeface="Calibri"/>
                    <a:cs typeface="Calibri"/>
                  </a:defRPr>
                </a:pPr>
                <a:r>
                  <a:rPr lang="pt-PT"/>
                  <a:t>Comprimeto</a:t>
                </a:r>
              </a:p>
            </c:rich>
          </c:tx>
          <c:layout/>
        </c:title>
        <c:numFmt formatCode="General" sourceLinked="1"/>
        <c:tickLblPos val="nextTo"/>
        <c:txPr>
          <a:bodyPr rot="0" vert="horz"/>
          <a:lstStyle/>
          <a:p>
            <a:pPr>
              <a:defRPr sz="1081" b="0" i="0" u="none" strike="noStrike" baseline="0">
                <a:solidFill>
                  <a:srgbClr val="000000"/>
                </a:solidFill>
                <a:latin typeface="Calibri"/>
                <a:ea typeface="Calibri"/>
                <a:cs typeface="Calibri"/>
              </a:defRPr>
            </a:pPr>
            <a:endParaRPr lang="pt-PT"/>
          </a:p>
        </c:txPr>
        <c:crossAx val="76574720"/>
        <c:crosses val="autoZero"/>
        <c:crossBetween val="midCat"/>
      </c:valAx>
      <c:valAx>
        <c:axId val="76574720"/>
        <c:scaling>
          <c:orientation val="minMax"/>
        </c:scaling>
        <c:axPos val="l"/>
        <c:majorGridlines/>
        <c:minorGridlines/>
        <c:title>
          <c:tx>
            <c:rich>
              <a:bodyPr/>
              <a:lstStyle/>
              <a:p>
                <a:pPr>
                  <a:defRPr sz="1081" b="1" i="0" u="none" strike="noStrike" baseline="0">
                    <a:solidFill>
                      <a:srgbClr val="000000"/>
                    </a:solidFill>
                    <a:latin typeface="Calibri"/>
                    <a:ea typeface="Calibri"/>
                    <a:cs typeface="Calibri"/>
                  </a:defRPr>
                </a:pPr>
                <a:r>
                  <a:rPr lang="pt-PT"/>
                  <a:t>Espessura</a:t>
                </a:r>
              </a:p>
            </c:rich>
          </c:tx>
          <c:layout/>
        </c:title>
        <c:numFmt formatCode="General" sourceLinked="1"/>
        <c:tickLblPos val="nextTo"/>
        <c:crossAx val="76269440"/>
        <c:crosses val="autoZero"/>
        <c:crossBetween val="midCat"/>
      </c:valAx>
    </c:plotArea>
    <c:legend>
      <c:legendPos val="r"/>
      <c:layout/>
    </c:legend>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Quartzito</c:v>
          </c:tx>
          <c:cat>
            <c:strRef>
              <c:f>Folha1!$R$213:$T$213</c:f>
              <c:strCache>
                <c:ptCount val="3"/>
                <c:pt idx="0">
                  <c:v>PT2</c:v>
                </c:pt>
                <c:pt idx="1">
                  <c:v>Az</c:v>
                </c:pt>
                <c:pt idx="2">
                  <c:v>TPM</c:v>
                </c:pt>
              </c:strCache>
            </c:strRef>
          </c:cat>
          <c:val>
            <c:numRef>
              <c:f>Folha1!$R$214:$T$214</c:f>
              <c:numCache>
                <c:formatCode>General</c:formatCode>
                <c:ptCount val="3"/>
                <c:pt idx="0">
                  <c:v>93</c:v>
                </c:pt>
                <c:pt idx="1">
                  <c:v>62</c:v>
                </c:pt>
                <c:pt idx="2">
                  <c:v>84</c:v>
                </c:pt>
              </c:numCache>
            </c:numRef>
          </c:val>
        </c:ser>
        <c:ser>
          <c:idx val="1"/>
          <c:order val="1"/>
          <c:tx>
            <c:v>Quartzo leitoso</c:v>
          </c:tx>
          <c:cat>
            <c:strRef>
              <c:f>Folha1!$R$213:$T$213</c:f>
              <c:strCache>
                <c:ptCount val="3"/>
                <c:pt idx="0">
                  <c:v>PT2</c:v>
                </c:pt>
                <c:pt idx="1">
                  <c:v>Az</c:v>
                </c:pt>
                <c:pt idx="2">
                  <c:v>TPM</c:v>
                </c:pt>
              </c:strCache>
            </c:strRef>
          </c:cat>
          <c:val>
            <c:numRef>
              <c:f>Folha1!$R$215:$T$215</c:f>
              <c:numCache>
                <c:formatCode>General</c:formatCode>
                <c:ptCount val="3"/>
                <c:pt idx="0">
                  <c:v>10</c:v>
                </c:pt>
                <c:pt idx="1">
                  <c:v>29</c:v>
                </c:pt>
                <c:pt idx="2">
                  <c:v>10</c:v>
                </c:pt>
              </c:numCache>
            </c:numRef>
          </c:val>
        </c:ser>
        <c:ser>
          <c:idx val="2"/>
          <c:order val="2"/>
          <c:tx>
            <c:v>Quartzo hialino</c:v>
          </c:tx>
          <c:cat>
            <c:strRef>
              <c:f>Folha1!$R$213:$T$213</c:f>
              <c:strCache>
                <c:ptCount val="3"/>
                <c:pt idx="0">
                  <c:v>PT2</c:v>
                </c:pt>
                <c:pt idx="1">
                  <c:v>Az</c:v>
                </c:pt>
                <c:pt idx="2">
                  <c:v>TPM</c:v>
                </c:pt>
              </c:strCache>
            </c:strRef>
          </c:cat>
          <c:val>
            <c:numRef>
              <c:f>Folha1!$R$216:$T$216</c:f>
              <c:numCache>
                <c:formatCode>General</c:formatCode>
                <c:ptCount val="3"/>
                <c:pt idx="0">
                  <c:v>0</c:v>
                </c:pt>
                <c:pt idx="1">
                  <c:v>7</c:v>
                </c:pt>
                <c:pt idx="2">
                  <c:v>0</c:v>
                </c:pt>
              </c:numCache>
            </c:numRef>
          </c:val>
        </c:ser>
        <c:ser>
          <c:idx val="3"/>
          <c:order val="3"/>
          <c:tx>
            <c:v>Sílex</c:v>
          </c:tx>
          <c:cat>
            <c:strRef>
              <c:f>Folha1!$R$213:$T$213</c:f>
              <c:strCache>
                <c:ptCount val="3"/>
                <c:pt idx="0">
                  <c:v>PT2</c:v>
                </c:pt>
                <c:pt idx="1">
                  <c:v>Az</c:v>
                </c:pt>
                <c:pt idx="2">
                  <c:v>TPM</c:v>
                </c:pt>
              </c:strCache>
            </c:strRef>
          </c:cat>
          <c:val>
            <c:numRef>
              <c:f>Folha1!$R$217:$T$217</c:f>
              <c:numCache>
                <c:formatCode>General</c:formatCode>
                <c:ptCount val="3"/>
                <c:pt idx="0">
                  <c:v>0</c:v>
                </c:pt>
                <c:pt idx="1">
                  <c:v>2</c:v>
                </c:pt>
                <c:pt idx="2">
                  <c:v>5</c:v>
                </c:pt>
              </c:numCache>
            </c:numRef>
          </c:val>
        </c:ser>
        <c:ser>
          <c:idx val="4"/>
          <c:order val="4"/>
          <c:tx>
            <c:v>Arenito</c:v>
          </c:tx>
          <c:cat>
            <c:strRef>
              <c:f>Folha1!$R$213:$T$213</c:f>
              <c:strCache>
                <c:ptCount val="3"/>
                <c:pt idx="0">
                  <c:v>PT2</c:v>
                </c:pt>
                <c:pt idx="1">
                  <c:v>Az</c:v>
                </c:pt>
                <c:pt idx="2">
                  <c:v>TPM</c:v>
                </c:pt>
              </c:strCache>
            </c:strRef>
          </c:cat>
          <c:val>
            <c:numRef>
              <c:f>Folha1!$R$218:$T$218</c:f>
              <c:numCache>
                <c:formatCode>General</c:formatCode>
                <c:ptCount val="3"/>
                <c:pt idx="0">
                  <c:v>1</c:v>
                </c:pt>
                <c:pt idx="1">
                  <c:v>0</c:v>
                </c:pt>
                <c:pt idx="2">
                  <c:v>1</c:v>
                </c:pt>
              </c:numCache>
            </c:numRef>
          </c:val>
        </c:ser>
        <c:ser>
          <c:idx val="5"/>
          <c:order val="5"/>
          <c:tx>
            <c:v>Anfibolito</c:v>
          </c:tx>
          <c:cat>
            <c:strRef>
              <c:f>Folha1!$R$213:$T$213</c:f>
              <c:strCache>
                <c:ptCount val="3"/>
                <c:pt idx="0">
                  <c:v>PT2</c:v>
                </c:pt>
                <c:pt idx="1">
                  <c:v>Az</c:v>
                </c:pt>
                <c:pt idx="2">
                  <c:v>TPM</c:v>
                </c:pt>
              </c:strCache>
            </c:strRef>
          </c:cat>
          <c:val>
            <c:numRef>
              <c:f>Folha1!$R$219:$T$219</c:f>
              <c:numCache>
                <c:formatCode>General</c:formatCode>
                <c:ptCount val="3"/>
                <c:pt idx="0">
                  <c:v>1</c:v>
                </c:pt>
              </c:numCache>
            </c:numRef>
          </c:val>
        </c:ser>
        <c:gapWidth val="55"/>
        <c:overlap val="100"/>
        <c:axId val="76700288"/>
        <c:axId val="76726656"/>
      </c:barChart>
      <c:catAx>
        <c:axId val="76700288"/>
        <c:scaling>
          <c:orientation val="minMax"/>
        </c:scaling>
        <c:axPos val="b"/>
        <c:majorTickMark val="none"/>
        <c:tickLblPos val="nextTo"/>
        <c:crossAx val="76726656"/>
        <c:crosses val="autoZero"/>
        <c:auto val="1"/>
        <c:lblAlgn val="ctr"/>
        <c:lblOffset val="100"/>
      </c:catAx>
      <c:valAx>
        <c:axId val="76726656"/>
        <c:scaling>
          <c:orientation val="minMax"/>
        </c:scaling>
        <c:axPos val="l"/>
        <c:majorGridlines/>
        <c:numFmt formatCode="0%" sourceLinked="1"/>
        <c:majorTickMark val="none"/>
        <c:tickLblPos val="nextTo"/>
        <c:crossAx val="76700288"/>
        <c:crosses val="autoZero"/>
        <c:crossBetween val="between"/>
      </c:valAx>
    </c:plotArea>
    <c:legend>
      <c:legendPos val="r"/>
      <c:layout/>
    </c:legend>
    <c:plotVisOnly val="1"/>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Placa</c:v>
          </c:tx>
          <c:cat>
            <c:strRef>
              <c:f>Folha1!$G$269:$I$269</c:f>
              <c:strCache>
                <c:ptCount val="3"/>
                <c:pt idx="0">
                  <c:v>PT2</c:v>
                </c:pt>
                <c:pt idx="1">
                  <c:v>Az</c:v>
                </c:pt>
                <c:pt idx="2">
                  <c:v>TPM</c:v>
                </c:pt>
              </c:strCache>
            </c:strRef>
          </c:cat>
          <c:val>
            <c:numRef>
              <c:f>Folha1!$G$270:$I$270</c:f>
              <c:numCache>
                <c:formatCode>General</c:formatCode>
                <c:ptCount val="3"/>
                <c:pt idx="0">
                  <c:v>72</c:v>
                </c:pt>
                <c:pt idx="1">
                  <c:v>41</c:v>
                </c:pt>
                <c:pt idx="2">
                  <c:v>13</c:v>
                </c:pt>
              </c:numCache>
            </c:numRef>
          </c:val>
        </c:ser>
        <c:ser>
          <c:idx val="1"/>
          <c:order val="1"/>
          <c:tx>
            <c:v>Seixo</c:v>
          </c:tx>
          <c:cat>
            <c:strRef>
              <c:f>Folha1!$G$269:$I$269</c:f>
              <c:strCache>
                <c:ptCount val="3"/>
                <c:pt idx="0">
                  <c:v>PT2</c:v>
                </c:pt>
                <c:pt idx="1">
                  <c:v>Az</c:v>
                </c:pt>
                <c:pt idx="2">
                  <c:v>TPM</c:v>
                </c:pt>
              </c:strCache>
            </c:strRef>
          </c:cat>
          <c:val>
            <c:numRef>
              <c:f>Folha1!$G$271:$I$271</c:f>
              <c:numCache>
                <c:formatCode>General</c:formatCode>
                <c:ptCount val="3"/>
                <c:pt idx="0">
                  <c:v>7</c:v>
                </c:pt>
                <c:pt idx="1">
                  <c:v>26</c:v>
                </c:pt>
                <c:pt idx="2">
                  <c:v>28</c:v>
                </c:pt>
              </c:numCache>
            </c:numRef>
          </c:val>
        </c:ser>
        <c:ser>
          <c:idx val="2"/>
          <c:order val="2"/>
          <c:tx>
            <c:v>Indeterminado</c:v>
          </c:tx>
          <c:cat>
            <c:strRef>
              <c:f>Folha1!$G$269:$I$269</c:f>
              <c:strCache>
                <c:ptCount val="3"/>
                <c:pt idx="0">
                  <c:v>PT2</c:v>
                </c:pt>
                <c:pt idx="1">
                  <c:v>Az</c:v>
                </c:pt>
                <c:pt idx="2">
                  <c:v>TPM</c:v>
                </c:pt>
              </c:strCache>
            </c:strRef>
          </c:cat>
          <c:val>
            <c:numRef>
              <c:f>Folha1!$G$272:$I$272</c:f>
              <c:numCache>
                <c:formatCode>General</c:formatCode>
                <c:ptCount val="3"/>
                <c:pt idx="0">
                  <c:v>21</c:v>
                </c:pt>
                <c:pt idx="1">
                  <c:v>33</c:v>
                </c:pt>
                <c:pt idx="2">
                  <c:v>59</c:v>
                </c:pt>
              </c:numCache>
            </c:numRef>
          </c:val>
        </c:ser>
        <c:gapWidth val="55"/>
        <c:overlap val="100"/>
        <c:axId val="76924032"/>
        <c:axId val="76925568"/>
      </c:barChart>
      <c:catAx>
        <c:axId val="76924032"/>
        <c:scaling>
          <c:orientation val="minMax"/>
        </c:scaling>
        <c:axPos val="b"/>
        <c:majorTickMark val="none"/>
        <c:tickLblPos val="nextTo"/>
        <c:crossAx val="76925568"/>
        <c:crosses val="autoZero"/>
        <c:auto val="1"/>
        <c:lblAlgn val="ctr"/>
        <c:lblOffset val="100"/>
      </c:catAx>
      <c:valAx>
        <c:axId val="76925568"/>
        <c:scaling>
          <c:orientation val="minMax"/>
        </c:scaling>
        <c:axPos val="l"/>
        <c:majorGridlines/>
        <c:numFmt formatCode="0%" sourceLinked="1"/>
        <c:majorTickMark val="none"/>
        <c:tickLblPos val="nextTo"/>
        <c:crossAx val="76924032"/>
        <c:crosses val="autoZero"/>
        <c:crossBetween val="between"/>
      </c:valAx>
    </c:plotArea>
    <c:legend>
      <c:legendPos val="r"/>
      <c:layout/>
    </c:legend>
    <c:plotVisOnly val="1"/>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Autoctone</c:v>
          </c:tx>
          <c:cat>
            <c:strRef>
              <c:f>Folha1!$J$232:$L$232</c:f>
              <c:strCache>
                <c:ptCount val="3"/>
                <c:pt idx="0">
                  <c:v>PT2</c:v>
                </c:pt>
                <c:pt idx="1">
                  <c:v>Az</c:v>
                </c:pt>
                <c:pt idx="2">
                  <c:v>TPM</c:v>
                </c:pt>
              </c:strCache>
            </c:strRef>
          </c:cat>
          <c:val>
            <c:numRef>
              <c:f>Folha1!$J$233:$L$233</c:f>
              <c:numCache>
                <c:formatCode>General</c:formatCode>
                <c:ptCount val="3"/>
                <c:pt idx="0">
                  <c:v>94</c:v>
                </c:pt>
                <c:pt idx="1">
                  <c:v>67</c:v>
                </c:pt>
                <c:pt idx="2">
                  <c:v>70</c:v>
                </c:pt>
              </c:numCache>
            </c:numRef>
          </c:val>
        </c:ser>
        <c:ser>
          <c:idx val="1"/>
          <c:order val="1"/>
          <c:tx>
            <c:v>Externo</c:v>
          </c:tx>
          <c:cat>
            <c:strRef>
              <c:f>Folha1!$J$232:$L$232</c:f>
              <c:strCache>
                <c:ptCount val="3"/>
                <c:pt idx="0">
                  <c:v>PT2</c:v>
                </c:pt>
                <c:pt idx="1">
                  <c:v>Az</c:v>
                </c:pt>
                <c:pt idx="2">
                  <c:v>TPM</c:v>
                </c:pt>
              </c:strCache>
            </c:strRef>
          </c:cat>
          <c:val>
            <c:numRef>
              <c:f>Folha1!$J$234:$L$234</c:f>
              <c:numCache>
                <c:formatCode>General</c:formatCode>
                <c:ptCount val="3"/>
                <c:pt idx="0">
                  <c:v>6</c:v>
                </c:pt>
                <c:pt idx="1">
                  <c:v>24</c:v>
                </c:pt>
                <c:pt idx="2">
                  <c:v>29</c:v>
                </c:pt>
              </c:numCache>
            </c:numRef>
          </c:val>
        </c:ser>
        <c:ser>
          <c:idx val="2"/>
          <c:order val="2"/>
          <c:tx>
            <c:v>Indeterminado</c:v>
          </c:tx>
          <c:cat>
            <c:strRef>
              <c:f>Folha1!$J$232:$L$232</c:f>
              <c:strCache>
                <c:ptCount val="3"/>
                <c:pt idx="0">
                  <c:v>PT2</c:v>
                </c:pt>
                <c:pt idx="1">
                  <c:v>Az</c:v>
                </c:pt>
                <c:pt idx="2">
                  <c:v>TPM</c:v>
                </c:pt>
              </c:strCache>
            </c:strRef>
          </c:cat>
          <c:val>
            <c:numRef>
              <c:f>Folha1!$J$235:$L$235</c:f>
              <c:numCache>
                <c:formatCode>General</c:formatCode>
                <c:ptCount val="3"/>
                <c:pt idx="0">
                  <c:v>0</c:v>
                </c:pt>
                <c:pt idx="1">
                  <c:v>9</c:v>
                </c:pt>
                <c:pt idx="2">
                  <c:v>1</c:v>
                </c:pt>
              </c:numCache>
            </c:numRef>
          </c:val>
        </c:ser>
        <c:gapWidth val="55"/>
        <c:overlap val="100"/>
        <c:axId val="70987136"/>
        <c:axId val="71001216"/>
      </c:barChart>
      <c:catAx>
        <c:axId val="70987136"/>
        <c:scaling>
          <c:orientation val="minMax"/>
        </c:scaling>
        <c:axPos val="b"/>
        <c:majorTickMark val="none"/>
        <c:tickLblPos val="nextTo"/>
        <c:crossAx val="71001216"/>
        <c:crosses val="autoZero"/>
        <c:auto val="1"/>
        <c:lblAlgn val="ctr"/>
        <c:lblOffset val="100"/>
      </c:catAx>
      <c:valAx>
        <c:axId val="71001216"/>
        <c:scaling>
          <c:orientation val="minMax"/>
        </c:scaling>
        <c:axPos val="l"/>
        <c:majorGridlines/>
        <c:numFmt formatCode="0%" sourceLinked="1"/>
        <c:majorTickMark val="none"/>
        <c:tickLblPos val="nextTo"/>
        <c:crossAx val="70987136"/>
        <c:crosses val="autoZero"/>
        <c:crossBetween val="between"/>
      </c:valAx>
    </c:plotArea>
    <c:legend>
      <c:legendPos val="r"/>
      <c:layout/>
    </c:legend>
    <c:plotVisOnly val="1"/>
  </c:chart>
  <c:spPr>
    <a:noFill/>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Fresco</c:v>
          </c:tx>
          <c:cat>
            <c:strRef>
              <c:f>Folha1!$F$312:$H$312</c:f>
              <c:strCache>
                <c:ptCount val="3"/>
                <c:pt idx="0">
                  <c:v>PT2</c:v>
                </c:pt>
                <c:pt idx="1">
                  <c:v>Az</c:v>
                </c:pt>
                <c:pt idx="2">
                  <c:v>TPM</c:v>
                </c:pt>
              </c:strCache>
            </c:strRef>
          </c:cat>
          <c:val>
            <c:numRef>
              <c:f>Folha1!$F$313:$H$313</c:f>
              <c:numCache>
                <c:formatCode>General</c:formatCode>
                <c:ptCount val="3"/>
                <c:pt idx="0">
                  <c:v>92</c:v>
                </c:pt>
                <c:pt idx="1">
                  <c:v>98</c:v>
                </c:pt>
                <c:pt idx="2">
                  <c:v>88</c:v>
                </c:pt>
              </c:numCache>
            </c:numRef>
          </c:val>
        </c:ser>
        <c:ser>
          <c:idx val="1"/>
          <c:order val="1"/>
          <c:tx>
            <c:v>Patinado</c:v>
          </c:tx>
          <c:cat>
            <c:strRef>
              <c:f>Folha1!$F$312:$H$312</c:f>
              <c:strCache>
                <c:ptCount val="3"/>
                <c:pt idx="0">
                  <c:v>PT2</c:v>
                </c:pt>
                <c:pt idx="1">
                  <c:v>Az</c:v>
                </c:pt>
                <c:pt idx="2">
                  <c:v>TPM</c:v>
                </c:pt>
              </c:strCache>
            </c:strRef>
          </c:cat>
          <c:val>
            <c:numRef>
              <c:f>Folha1!$F$314:$H$314</c:f>
              <c:numCache>
                <c:formatCode>General</c:formatCode>
                <c:ptCount val="3"/>
                <c:pt idx="0">
                  <c:v>7</c:v>
                </c:pt>
                <c:pt idx="1">
                  <c:v>2</c:v>
                </c:pt>
                <c:pt idx="2">
                  <c:v>12</c:v>
                </c:pt>
              </c:numCache>
            </c:numRef>
          </c:val>
        </c:ser>
        <c:ser>
          <c:idx val="2"/>
          <c:order val="2"/>
          <c:tx>
            <c:v>Rolado</c:v>
          </c:tx>
          <c:cat>
            <c:strRef>
              <c:f>Folha1!$F$312:$H$312</c:f>
              <c:strCache>
                <c:ptCount val="3"/>
                <c:pt idx="0">
                  <c:v>PT2</c:v>
                </c:pt>
                <c:pt idx="1">
                  <c:v>Az</c:v>
                </c:pt>
                <c:pt idx="2">
                  <c:v>TPM</c:v>
                </c:pt>
              </c:strCache>
            </c:strRef>
          </c:cat>
          <c:val>
            <c:numRef>
              <c:f>Folha1!$F$315:$H$315</c:f>
              <c:numCache>
                <c:formatCode>General</c:formatCode>
                <c:ptCount val="3"/>
                <c:pt idx="0">
                  <c:v>1</c:v>
                </c:pt>
                <c:pt idx="1">
                  <c:v>0</c:v>
                </c:pt>
                <c:pt idx="2">
                  <c:v>0</c:v>
                </c:pt>
              </c:numCache>
            </c:numRef>
          </c:val>
        </c:ser>
        <c:gapWidth val="55"/>
        <c:overlap val="100"/>
        <c:axId val="71022464"/>
        <c:axId val="71024000"/>
      </c:barChart>
      <c:catAx>
        <c:axId val="71022464"/>
        <c:scaling>
          <c:orientation val="minMax"/>
        </c:scaling>
        <c:axPos val="b"/>
        <c:majorTickMark val="none"/>
        <c:tickLblPos val="nextTo"/>
        <c:crossAx val="71024000"/>
        <c:crosses val="autoZero"/>
        <c:auto val="1"/>
        <c:lblAlgn val="ctr"/>
        <c:lblOffset val="100"/>
      </c:catAx>
      <c:valAx>
        <c:axId val="71024000"/>
        <c:scaling>
          <c:orientation val="minMax"/>
        </c:scaling>
        <c:axPos val="l"/>
        <c:majorGridlines/>
        <c:numFmt formatCode="0%" sourceLinked="1"/>
        <c:majorTickMark val="none"/>
        <c:tickLblPos val="nextTo"/>
        <c:crossAx val="71022464"/>
        <c:crosses val="autoZero"/>
        <c:crossBetween val="between"/>
      </c:valAx>
    </c:plotArea>
    <c:legend>
      <c:legendPos val="r"/>
      <c:layout/>
    </c:legend>
    <c:plotVisOnly val="1"/>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Mineral</c:v>
          </c:tx>
          <c:cat>
            <c:strRef>
              <c:f>Folha1!$F$292:$H$292</c:f>
              <c:strCache>
                <c:ptCount val="3"/>
                <c:pt idx="0">
                  <c:v>PT2</c:v>
                </c:pt>
                <c:pt idx="1">
                  <c:v>Az</c:v>
                </c:pt>
                <c:pt idx="2">
                  <c:v>TPM</c:v>
                </c:pt>
              </c:strCache>
            </c:strRef>
          </c:cat>
          <c:val>
            <c:numRef>
              <c:f>Folha1!$F$293:$H$293</c:f>
              <c:numCache>
                <c:formatCode>General</c:formatCode>
                <c:ptCount val="3"/>
                <c:pt idx="0">
                  <c:v>96</c:v>
                </c:pt>
                <c:pt idx="1">
                  <c:v>97</c:v>
                </c:pt>
                <c:pt idx="2">
                  <c:v>92</c:v>
                </c:pt>
              </c:numCache>
            </c:numRef>
          </c:val>
        </c:ser>
        <c:ser>
          <c:idx val="1"/>
          <c:order val="1"/>
          <c:tx>
            <c:v>Orgânico</c:v>
          </c:tx>
          <c:cat>
            <c:strRef>
              <c:f>Folha1!$F$292:$H$292</c:f>
              <c:strCache>
                <c:ptCount val="3"/>
                <c:pt idx="0">
                  <c:v>PT2</c:v>
                </c:pt>
                <c:pt idx="1">
                  <c:v>Az</c:v>
                </c:pt>
                <c:pt idx="2">
                  <c:v>TPM</c:v>
                </c:pt>
              </c:strCache>
            </c:strRef>
          </c:cat>
          <c:val>
            <c:numRef>
              <c:f>Folha1!$F$294:$H$294</c:f>
              <c:numCache>
                <c:formatCode>General</c:formatCode>
                <c:ptCount val="3"/>
                <c:pt idx="0">
                  <c:v>4</c:v>
                </c:pt>
                <c:pt idx="1">
                  <c:v>0</c:v>
                </c:pt>
                <c:pt idx="2">
                  <c:v>0</c:v>
                </c:pt>
              </c:numCache>
            </c:numRef>
          </c:val>
        </c:ser>
        <c:ser>
          <c:idx val="2"/>
          <c:order val="2"/>
          <c:tx>
            <c:v>indeterminado</c:v>
          </c:tx>
          <c:cat>
            <c:strRef>
              <c:f>Folha1!$F$292:$H$292</c:f>
              <c:strCache>
                <c:ptCount val="3"/>
                <c:pt idx="0">
                  <c:v>PT2</c:v>
                </c:pt>
                <c:pt idx="1">
                  <c:v>Az</c:v>
                </c:pt>
                <c:pt idx="2">
                  <c:v>TPM</c:v>
                </c:pt>
              </c:strCache>
            </c:strRef>
          </c:cat>
          <c:val>
            <c:numRef>
              <c:f>Folha1!$F$295:$H$295</c:f>
              <c:numCache>
                <c:formatCode>General</c:formatCode>
                <c:ptCount val="3"/>
                <c:pt idx="0">
                  <c:v>0</c:v>
                </c:pt>
                <c:pt idx="1">
                  <c:v>3</c:v>
                </c:pt>
                <c:pt idx="2">
                  <c:v>8</c:v>
                </c:pt>
              </c:numCache>
            </c:numRef>
          </c:val>
        </c:ser>
        <c:gapWidth val="55"/>
        <c:overlap val="100"/>
        <c:axId val="76571008"/>
        <c:axId val="76572544"/>
      </c:barChart>
      <c:catAx>
        <c:axId val="76571008"/>
        <c:scaling>
          <c:orientation val="minMax"/>
        </c:scaling>
        <c:axPos val="b"/>
        <c:majorTickMark val="none"/>
        <c:tickLblPos val="nextTo"/>
        <c:crossAx val="76572544"/>
        <c:crosses val="autoZero"/>
        <c:auto val="1"/>
        <c:lblAlgn val="ctr"/>
        <c:lblOffset val="100"/>
      </c:catAx>
      <c:valAx>
        <c:axId val="76572544"/>
        <c:scaling>
          <c:orientation val="minMax"/>
        </c:scaling>
        <c:axPos val="l"/>
        <c:majorGridlines/>
        <c:numFmt formatCode="0%" sourceLinked="1"/>
        <c:majorTickMark val="none"/>
        <c:tickLblPos val="nextTo"/>
        <c:crossAx val="76571008"/>
        <c:crosses val="autoZero"/>
        <c:crossBetween val="between"/>
      </c:valAx>
    </c:plotArea>
    <c:legend>
      <c:legendPos val="r"/>
      <c:layout/>
    </c:legend>
    <c:plotVisOnly val="1"/>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v>lasca</c:v>
          </c:tx>
          <c:cat>
            <c:strRef>
              <c:f>Folha1!$G$251:$I$251</c:f>
              <c:strCache>
                <c:ptCount val="3"/>
                <c:pt idx="0">
                  <c:v>PT2</c:v>
                </c:pt>
                <c:pt idx="1">
                  <c:v>Az</c:v>
                </c:pt>
                <c:pt idx="2">
                  <c:v>TPM</c:v>
                </c:pt>
              </c:strCache>
            </c:strRef>
          </c:cat>
          <c:val>
            <c:numRef>
              <c:f>Folha1!$G$252:$I$252</c:f>
              <c:numCache>
                <c:formatCode>General</c:formatCode>
                <c:ptCount val="3"/>
                <c:pt idx="0">
                  <c:v>78</c:v>
                </c:pt>
                <c:pt idx="1">
                  <c:v>87</c:v>
                </c:pt>
                <c:pt idx="2">
                  <c:v>84</c:v>
                </c:pt>
              </c:numCache>
            </c:numRef>
          </c:val>
        </c:ser>
        <c:ser>
          <c:idx val="1"/>
          <c:order val="1"/>
          <c:tx>
            <c:v>Núcleo</c:v>
          </c:tx>
          <c:cat>
            <c:strRef>
              <c:f>Folha1!$G$251:$I$251</c:f>
              <c:strCache>
                <c:ptCount val="3"/>
                <c:pt idx="0">
                  <c:v>PT2</c:v>
                </c:pt>
                <c:pt idx="1">
                  <c:v>Az</c:v>
                </c:pt>
                <c:pt idx="2">
                  <c:v>TPM</c:v>
                </c:pt>
              </c:strCache>
            </c:strRef>
          </c:cat>
          <c:val>
            <c:numRef>
              <c:f>Folha1!$G$253:$I$253</c:f>
              <c:numCache>
                <c:formatCode>General</c:formatCode>
                <c:ptCount val="3"/>
                <c:pt idx="0">
                  <c:v>14</c:v>
                </c:pt>
                <c:pt idx="1">
                  <c:v>11</c:v>
                </c:pt>
                <c:pt idx="2">
                  <c:v>6</c:v>
                </c:pt>
              </c:numCache>
            </c:numRef>
          </c:val>
        </c:ser>
        <c:ser>
          <c:idx val="2"/>
          <c:order val="2"/>
          <c:tx>
            <c:v>Lâmina</c:v>
          </c:tx>
          <c:cat>
            <c:strRef>
              <c:f>Folha1!$G$251:$I$251</c:f>
              <c:strCache>
                <c:ptCount val="3"/>
                <c:pt idx="0">
                  <c:v>PT2</c:v>
                </c:pt>
                <c:pt idx="1">
                  <c:v>Az</c:v>
                </c:pt>
                <c:pt idx="2">
                  <c:v>TPM</c:v>
                </c:pt>
              </c:strCache>
            </c:strRef>
          </c:cat>
          <c:val>
            <c:numRef>
              <c:f>Folha1!$G$254:$I$254</c:f>
              <c:numCache>
                <c:formatCode>General</c:formatCode>
                <c:ptCount val="3"/>
                <c:pt idx="0">
                  <c:v>0</c:v>
                </c:pt>
                <c:pt idx="1">
                  <c:v>1</c:v>
                </c:pt>
                <c:pt idx="2">
                  <c:v>0</c:v>
                </c:pt>
              </c:numCache>
            </c:numRef>
          </c:val>
        </c:ser>
        <c:ser>
          <c:idx val="3"/>
          <c:order val="3"/>
          <c:tx>
            <c:v>Biface</c:v>
          </c:tx>
          <c:cat>
            <c:strRef>
              <c:f>Folha1!$G$251:$I$251</c:f>
              <c:strCache>
                <c:ptCount val="3"/>
                <c:pt idx="0">
                  <c:v>PT2</c:v>
                </c:pt>
                <c:pt idx="1">
                  <c:v>Az</c:v>
                </c:pt>
                <c:pt idx="2">
                  <c:v>TPM</c:v>
                </c:pt>
              </c:strCache>
            </c:strRef>
          </c:cat>
          <c:val>
            <c:numRef>
              <c:f>Folha1!$G$255:$I$255</c:f>
              <c:numCache>
                <c:formatCode>General</c:formatCode>
                <c:ptCount val="3"/>
                <c:pt idx="0">
                  <c:v>0</c:v>
                </c:pt>
                <c:pt idx="1">
                  <c:v>1</c:v>
                </c:pt>
                <c:pt idx="2">
                  <c:v>0</c:v>
                </c:pt>
              </c:numCache>
            </c:numRef>
          </c:val>
        </c:ser>
        <c:ser>
          <c:idx val="4"/>
          <c:order val="4"/>
          <c:tx>
            <c:v>Esquírolas</c:v>
          </c:tx>
          <c:cat>
            <c:strRef>
              <c:f>Folha1!$G$251:$I$251</c:f>
              <c:strCache>
                <c:ptCount val="3"/>
                <c:pt idx="0">
                  <c:v>PT2</c:v>
                </c:pt>
                <c:pt idx="1">
                  <c:v>Az</c:v>
                </c:pt>
                <c:pt idx="2">
                  <c:v>TPM</c:v>
                </c:pt>
              </c:strCache>
            </c:strRef>
          </c:cat>
          <c:val>
            <c:numRef>
              <c:f>Folha1!$G$256:$I$256</c:f>
              <c:numCache>
                <c:formatCode>General</c:formatCode>
                <c:ptCount val="3"/>
                <c:pt idx="0">
                  <c:v>0</c:v>
                </c:pt>
                <c:pt idx="1">
                  <c:v>0</c:v>
                </c:pt>
                <c:pt idx="2">
                  <c:v>9</c:v>
                </c:pt>
              </c:numCache>
            </c:numRef>
          </c:val>
        </c:ser>
        <c:ser>
          <c:idx val="5"/>
          <c:order val="5"/>
          <c:tx>
            <c:v>Percutores</c:v>
          </c:tx>
          <c:cat>
            <c:strRef>
              <c:f>Folha1!$G$251:$I$251</c:f>
              <c:strCache>
                <c:ptCount val="3"/>
                <c:pt idx="0">
                  <c:v>PT2</c:v>
                </c:pt>
                <c:pt idx="1">
                  <c:v>Az</c:v>
                </c:pt>
                <c:pt idx="2">
                  <c:v>TPM</c:v>
                </c:pt>
              </c:strCache>
            </c:strRef>
          </c:cat>
          <c:val>
            <c:numRef>
              <c:f>Folha1!$G$257:$I$257</c:f>
              <c:numCache>
                <c:formatCode>General</c:formatCode>
                <c:ptCount val="3"/>
                <c:pt idx="0">
                  <c:v>5</c:v>
                </c:pt>
                <c:pt idx="1">
                  <c:v>0</c:v>
                </c:pt>
                <c:pt idx="2">
                  <c:v>1</c:v>
                </c:pt>
              </c:numCache>
            </c:numRef>
          </c:val>
        </c:ser>
        <c:gapWidth val="55"/>
        <c:overlap val="100"/>
        <c:axId val="71349376"/>
        <c:axId val="71350912"/>
      </c:barChart>
      <c:catAx>
        <c:axId val="71349376"/>
        <c:scaling>
          <c:orientation val="minMax"/>
        </c:scaling>
        <c:axPos val="b"/>
        <c:majorTickMark val="none"/>
        <c:tickLblPos val="nextTo"/>
        <c:crossAx val="71350912"/>
        <c:crosses val="autoZero"/>
        <c:auto val="1"/>
        <c:lblAlgn val="ctr"/>
        <c:lblOffset val="100"/>
      </c:catAx>
      <c:valAx>
        <c:axId val="71350912"/>
        <c:scaling>
          <c:orientation val="minMax"/>
        </c:scaling>
        <c:axPos val="l"/>
        <c:majorGridlines/>
        <c:numFmt formatCode="0%" sourceLinked="1"/>
        <c:majorTickMark val="none"/>
        <c:tickLblPos val="nextTo"/>
        <c:crossAx val="71349376"/>
        <c:crosses val="autoZero"/>
        <c:crossBetween val="between"/>
      </c:valAx>
    </c:plotArea>
    <c:legend>
      <c:legendPos val="r"/>
      <c:layout/>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cat>
            <c:strRef>
              <c:f>Folha1!$D$49:$D$51</c:f>
              <c:strCache>
                <c:ptCount val="3"/>
                <c:pt idx="0">
                  <c:v>seixo</c:v>
                </c:pt>
                <c:pt idx="1">
                  <c:v>ind.</c:v>
                </c:pt>
                <c:pt idx="2">
                  <c:v>placa </c:v>
                </c:pt>
              </c:strCache>
            </c:strRef>
          </c:cat>
          <c:val>
            <c:numRef>
              <c:f>Folha1!$E$49:$E$51</c:f>
              <c:numCache>
                <c:formatCode>General</c:formatCode>
                <c:ptCount val="3"/>
                <c:pt idx="0">
                  <c:v>15</c:v>
                </c:pt>
                <c:pt idx="1">
                  <c:v>17</c:v>
                </c:pt>
                <c:pt idx="2">
                  <c:v>9</c:v>
                </c:pt>
              </c:numCache>
            </c:numRef>
          </c:val>
        </c:ser>
        <c:dLbls>
          <c:showCatName val="1"/>
          <c:showPercent val="1"/>
        </c:dLbls>
        <c:firstSliceAng val="0"/>
      </c:pieChart>
      <c:spPr>
        <a:noFill/>
        <a:ln w="25400">
          <a:noFill/>
        </a:ln>
      </c:spPr>
    </c:plotArea>
    <c:plotVisOnly val="1"/>
    <c:dispBlanksAs val="zero"/>
  </c:chart>
  <c:spPr>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TPM</c:v>
          </c:tx>
          <c:spPr>
            <a:ln w="28575">
              <a:noFill/>
            </a:ln>
          </c:spPr>
          <c:trendline>
            <c:trendlineType val="linear"/>
          </c:trendline>
          <c:xVal>
            <c:numRef>
              <c:f>Folha1!$A$46:$A$339</c:f>
              <c:numCache>
                <c:formatCode>General</c:formatCode>
                <c:ptCount val="294"/>
                <c:pt idx="0">
                  <c:v>19.87</c:v>
                </c:pt>
                <c:pt idx="1">
                  <c:v>25.09</c:v>
                </c:pt>
                <c:pt idx="2">
                  <c:v>35.92</c:v>
                </c:pt>
                <c:pt idx="3">
                  <c:v>49.7</c:v>
                </c:pt>
                <c:pt idx="4">
                  <c:v>53.84</c:v>
                </c:pt>
                <c:pt idx="5">
                  <c:v>30.939999999999987</c:v>
                </c:pt>
                <c:pt idx="6">
                  <c:v>33.5</c:v>
                </c:pt>
                <c:pt idx="7">
                  <c:v>27.72</c:v>
                </c:pt>
                <c:pt idx="8">
                  <c:v>21.51</c:v>
                </c:pt>
                <c:pt idx="9">
                  <c:v>22.830000000000005</c:v>
                </c:pt>
                <c:pt idx="10">
                  <c:v>12.2</c:v>
                </c:pt>
                <c:pt idx="11">
                  <c:v>44.52</c:v>
                </c:pt>
                <c:pt idx="12">
                  <c:v>30.93</c:v>
                </c:pt>
                <c:pt idx="13">
                  <c:v>23.87</c:v>
                </c:pt>
                <c:pt idx="14">
                  <c:v>39.24</c:v>
                </c:pt>
                <c:pt idx="15">
                  <c:v>25.38</c:v>
                </c:pt>
                <c:pt idx="16">
                  <c:v>29.24</c:v>
                </c:pt>
                <c:pt idx="17">
                  <c:v>48.11</c:v>
                </c:pt>
                <c:pt idx="18">
                  <c:v>27.57</c:v>
                </c:pt>
                <c:pt idx="19">
                  <c:v>34.93</c:v>
                </c:pt>
                <c:pt idx="20">
                  <c:v>22.24</c:v>
                </c:pt>
                <c:pt idx="21">
                  <c:v>29.29</c:v>
                </c:pt>
                <c:pt idx="22">
                  <c:v>20.38</c:v>
                </c:pt>
                <c:pt idx="23">
                  <c:v>16.14</c:v>
                </c:pt>
                <c:pt idx="24">
                  <c:v>10.73</c:v>
                </c:pt>
                <c:pt idx="25">
                  <c:v>30.45</c:v>
                </c:pt>
                <c:pt idx="26">
                  <c:v>8.34</c:v>
                </c:pt>
                <c:pt idx="27">
                  <c:v>10.14</c:v>
                </c:pt>
                <c:pt idx="28">
                  <c:v>41.790000000000013</c:v>
                </c:pt>
                <c:pt idx="29">
                  <c:v>44.35</c:v>
                </c:pt>
                <c:pt idx="30">
                  <c:v>37.61</c:v>
                </c:pt>
                <c:pt idx="31">
                  <c:v>26.919999999999987</c:v>
                </c:pt>
                <c:pt idx="32">
                  <c:v>14.96</c:v>
                </c:pt>
                <c:pt idx="33">
                  <c:v>14.28</c:v>
                </c:pt>
                <c:pt idx="34">
                  <c:v>16.36</c:v>
                </c:pt>
                <c:pt idx="35">
                  <c:v>34.58</c:v>
                </c:pt>
                <c:pt idx="36">
                  <c:v>76.510000000000005</c:v>
                </c:pt>
                <c:pt idx="37">
                  <c:v>29.25</c:v>
                </c:pt>
                <c:pt idx="38">
                  <c:v>39.770000000000003</c:v>
                </c:pt>
                <c:pt idx="39">
                  <c:v>29.23</c:v>
                </c:pt>
                <c:pt idx="40">
                  <c:v>23</c:v>
                </c:pt>
                <c:pt idx="41">
                  <c:v>46.93</c:v>
                </c:pt>
                <c:pt idx="42">
                  <c:v>27.5</c:v>
                </c:pt>
                <c:pt idx="43">
                  <c:v>33.160000000000011</c:v>
                </c:pt>
                <c:pt idx="44">
                  <c:v>31.74</c:v>
                </c:pt>
                <c:pt idx="45">
                  <c:v>24.939999999999987</c:v>
                </c:pt>
                <c:pt idx="46">
                  <c:v>40</c:v>
                </c:pt>
                <c:pt idx="47">
                  <c:v>23.66</c:v>
                </c:pt>
                <c:pt idx="48">
                  <c:v>28.14</c:v>
                </c:pt>
                <c:pt idx="49">
                  <c:v>16.190000000000001</c:v>
                </c:pt>
                <c:pt idx="50">
                  <c:v>16.03</c:v>
                </c:pt>
                <c:pt idx="51">
                  <c:v>25.459999999999987</c:v>
                </c:pt>
                <c:pt idx="52">
                  <c:v>10.210000000000001</c:v>
                </c:pt>
                <c:pt idx="53">
                  <c:v>18.489999999999963</c:v>
                </c:pt>
                <c:pt idx="54">
                  <c:v>13.22</c:v>
                </c:pt>
                <c:pt idx="55">
                  <c:v>24.41</c:v>
                </c:pt>
                <c:pt idx="56">
                  <c:v>13</c:v>
                </c:pt>
                <c:pt idx="57">
                  <c:v>14.23</c:v>
                </c:pt>
                <c:pt idx="58">
                  <c:v>21.9</c:v>
                </c:pt>
                <c:pt idx="59">
                  <c:v>14.48</c:v>
                </c:pt>
                <c:pt idx="60">
                  <c:v>22.21</c:v>
                </c:pt>
                <c:pt idx="61">
                  <c:v>12.09</c:v>
                </c:pt>
                <c:pt idx="62">
                  <c:v>14.23</c:v>
                </c:pt>
                <c:pt idx="63">
                  <c:v>18.630000000000027</c:v>
                </c:pt>
                <c:pt idx="64">
                  <c:v>18.12</c:v>
                </c:pt>
                <c:pt idx="65">
                  <c:v>23.75</c:v>
                </c:pt>
                <c:pt idx="66">
                  <c:v>23.68</c:v>
                </c:pt>
                <c:pt idx="67">
                  <c:v>66.73</c:v>
                </c:pt>
                <c:pt idx="68">
                  <c:v>20.89</c:v>
                </c:pt>
                <c:pt idx="69">
                  <c:v>20.62</c:v>
                </c:pt>
                <c:pt idx="70">
                  <c:v>31.4</c:v>
                </c:pt>
                <c:pt idx="71">
                  <c:v>39.61</c:v>
                </c:pt>
                <c:pt idx="72">
                  <c:v>36.880000000000003</c:v>
                </c:pt>
                <c:pt idx="73">
                  <c:v>14.67</c:v>
                </c:pt>
                <c:pt idx="74">
                  <c:v>27.04</c:v>
                </c:pt>
                <c:pt idx="75">
                  <c:v>24.14</c:v>
                </c:pt>
                <c:pt idx="76">
                  <c:v>21.55</c:v>
                </c:pt>
                <c:pt idx="77">
                  <c:v>64.940000000000026</c:v>
                </c:pt>
                <c:pt idx="78">
                  <c:v>52.5</c:v>
                </c:pt>
                <c:pt idx="79">
                  <c:v>17.489999999999963</c:v>
                </c:pt>
                <c:pt idx="80">
                  <c:v>24.41</c:v>
                </c:pt>
                <c:pt idx="81">
                  <c:v>16.53</c:v>
                </c:pt>
                <c:pt idx="82">
                  <c:v>19.22</c:v>
                </c:pt>
                <c:pt idx="83">
                  <c:v>32.68</c:v>
                </c:pt>
                <c:pt idx="84">
                  <c:v>13.18</c:v>
                </c:pt>
                <c:pt idx="85">
                  <c:v>35.17</c:v>
                </c:pt>
                <c:pt idx="86">
                  <c:v>26.36</c:v>
                </c:pt>
                <c:pt idx="87">
                  <c:v>12.78</c:v>
                </c:pt>
                <c:pt idx="88">
                  <c:v>11.92</c:v>
                </c:pt>
                <c:pt idx="89">
                  <c:v>7.24</c:v>
                </c:pt>
                <c:pt idx="90">
                  <c:v>16.850000000000001</c:v>
                </c:pt>
                <c:pt idx="91">
                  <c:v>19.75</c:v>
                </c:pt>
                <c:pt idx="92">
                  <c:v>16.630000000000027</c:v>
                </c:pt>
                <c:pt idx="93">
                  <c:v>10.47</c:v>
                </c:pt>
                <c:pt idx="94">
                  <c:v>16.45</c:v>
                </c:pt>
                <c:pt idx="95">
                  <c:v>17.62</c:v>
                </c:pt>
                <c:pt idx="96">
                  <c:v>13.65</c:v>
                </c:pt>
                <c:pt idx="97">
                  <c:v>7.5</c:v>
                </c:pt>
                <c:pt idx="98">
                  <c:v>10.17</c:v>
                </c:pt>
                <c:pt idx="99">
                  <c:v>16.25</c:v>
                </c:pt>
                <c:pt idx="100">
                  <c:v>18.07</c:v>
                </c:pt>
                <c:pt idx="101">
                  <c:v>14.58</c:v>
                </c:pt>
                <c:pt idx="102">
                  <c:v>18.66</c:v>
                </c:pt>
                <c:pt idx="103">
                  <c:v>8.5</c:v>
                </c:pt>
                <c:pt idx="104">
                  <c:v>9.5</c:v>
                </c:pt>
                <c:pt idx="105">
                  <c:v>30.74</c:v>
                </c:pt>
                <c:pt idx="106">
                  <c:v>36.410000000000004</c:v>
                </c:pt>
                <c:pt idx="107">
                  <c:v>30.17</c:v>
                </c:pt>
                <c:pt idx="108">
                  <c:v>16.3</c:v>
                </c:pt>
                <c:pt idx="109">
                  <c:v>25.419999999999987</c:v>
                </c:pt>
                <c:pt idx="110">
                  <c:v>47.34</c:v>
                </c:pt>
                <c:pt idx="111">
                  <c:v>15.67</c:v>
                </c:pt>
                <c:pt idx="112">
                  <c:v>20.479999999999986</c:v>
                </c:pt>
                <c:pt idx="113">
                  <c:v>26.9</c:v>
                </c:pt>
                <c:pt idx="114">
                  <c:v>19.12</c:v>
                </c:pt>
                <c:pt idx="115">
                  <c:v>36.800000000000004</c:v>
                </c:pt>
                <c:pt idx="116">
                  <c:v>57.91</c:v>
                </c:pt>
                <c:pt idx="117">
                  <c:v>39.25</c:v>
                </c:pt>
                <c:pt idx="118">
                  <c:v>13.850000000000014</c:v>
                </c:pt>
                <c:pt idx="119">
                  <c:v>37.200000000000003</c:v>
                </c:pt>
                <c:pt idx="120">
                  <c:v>28.09</c:v>
                </c:pt>
                <c:pt idx="121">
                  <c:v>17.62</c:v>
                </c:pt>
                <c:pt idx="122">
                  <c:v>13.19</c:v>
                </c:pt>
                <c:pt idx="123">
                  <c:v>35.050000000000004</c:v>
                </c:pt>
                <c:pt idx="124">
                  <c:v>42.260000000000012</c:v>
                </c:pt>
                <c:pt idx="125">
                  <c:v>27.959999999999987</c:v>
                </c:pt>
                <c:pt idx="126">
                  <c:v>16.34</c:v>
                </c:pt>
                <c:pt idx="127">
                  <c:v>30.8</c:v>
                </c:pt>
                <c:pt idx="128">
                  <c:v>12.63</c:v>
                </c:pt>
                <c:pt idx="129">
                  <c:v>12.860000000000014</c:v>
                </c:pt>
                <c:pt idx="130">
                  <c:v>29.64</c:v>
                </c:pt>
                <c:pt idx="131">
                  <c:v>18.68</c:v>
                </c:pt>
                <c:pt idx="132">
                  <c:v>13.19</c:v>
                </c:pt>
                <c:pt idx="133">
                  <c:v>16.2</c:v>
                </c:pt>
                <c:pt idx="134">
                  <c:v>18.02</c:v>
                </c:pt>
                <c:pt idx="135">
                  <c:v>22.979999999999986</c:v>
                </c:pt>
                <c:pt idx="136">
                  <c:v>16.190000000000001</c:v>
                </c:pt>
                <c:pt idx="137">
                  <c:v>15.08</c:v>
                </c:pt>
                <c:pt idx="138">
                  <c:v>6.29</c:v>
                </c:pt>
                <c:pt idx="139">
                  <c:v>8.1300000000000008</c:v>
                </c:pt>
                <c:pt idx="140">
                  <c:v>6.7</c:v>
                </c:pt>
                <c:pt idx="141">
                  <c:v>7.31</c:v>
                </c:pt>
                <c:pt idx="142">
                  <c:v>17.23</c:v>
                </c:pt>
                <c:pt idx="143">
                  <c:v>18.72</c:v>
                </c:pt>
                <c:pt idx="144">
                  <c:v>14.56</c:v>
                </c:pt>
                <c:pt idx="145">
                  <c:v>17.5</c:v>
                </c:pt>
                <c:pt idx="146">
                  <c:v>16.18</c:v>
                </c:pt>
                <c:pt idx="147">
                  <c:v>19.350000000000001</c:v>
                </c:pt>
                <c:pt idx="148">
                  <c:v>40.630000000000003</c:v>
                </c:pt>
                <c:pt idx="149">
                  <c:v>38.75</c:v>
                </c:pt>
                <c:pt idx="150">
                  <c:v>21.330000000000005</c:v>
                </c:pt>
                <c:pt idx="151">
                  <c:v>23.38</c:v>
                </c:pt>
                <c:pt idx="152">
                  <c:v>51.59</c:v>
                </c:pt>
                <c:pt idx="153">
                  <c:v>22.12</c:v>
                </c:pt>
                <c:pt idx="154">
                  <c:v>36.74</c:v>
                </c:pt>
                <c:pt idx="155">
                  <c:v>42.58</c:v>
                </c:pt>
                <c:pt idx="156">
                  <c:v>25.830000000000005</c:v>
                </c:pt>
                <c:pt idx="157">
                  <c:v>15.53</c:v>
                </c:pt>
                <c:pt idx="158">
                  <c:v>22.73</c:v>
                </c:pt>
                <c:pt idx="159">
                  <c:v>20.32</c:v>
                </c:pt>
                <c:pt idx="160">
                  <c:v>35.9</c:v>
                </c:pt>
                <c:pt idx="161">
                  <c:v>21.779999999999987</c:v>
                </c:pt>
                <c:pt idx="162">
                  <c:v>41.760000000000012</c:v>
                </c:pt>
                <c:pt idx="163">
                  <c:v>43.93</c:v>
                </c:pt>
                <c:pt idx="164">
                  <c:v>27.73</c:v>
                </c:pt>
                <c:pt idx="165">
                  <c:v>18.459999999999987</c:v>
                </c:pt>
                <c:pt idx="166">
                  <c:v>16.89</c:v>
                </c:pt>
                <c:pt idx="167">
                  <c:v>23.87</c:v>
                </c:pt>
                <c:pt idx="168">
                  <c:v>12.56</c:v>
                </c:pt>
                <c:pt idx="169">
                  <c:v>11.64</c:v>
                </c:pt>
                <c:pt idx="170">
                  <c:v>13.19</c:v>
                </c:pt>
                <c:pt idx="171">
                  <c:v>13.74</c:v>
                </c:pt>
                <c:pt idx="172">
                  <c:v>19.630000000000027</c:v>
                </c:pt>
                <c:pt idx="173">
                  <c:v>18.3</c:v>
                </c:pt>
                <c:pt idx="174">
                  <c:v>20.350000000000001</c:v>
                </c:pt>
                <c:pt idx="175">
                  <c:v>35.160000000000011</c:v>
                </c:pt>
                <c:pt idx="176">
                  <c:v>21.75</c:v>
                </c:pt>
                <c:pt idx="177">
                  <c:v>26.95</c:v>
                </c:pt>
                <c:pt idx="178">
                  <c:v>20.53</c:v>
                </c:pt>
                <c:pt idx="179">
                  <c:v>17.279999999999987</c:v>
                </c:pt>
                <c:pt idx="180">
                  <c:v>16.62</c:v>
                </c:pt>
                <c:pt idx="181">
                  <c:v>38.92</c:v>
                </c:pt>
                <c:pt idx="182">
                  <c:v>23.5</c:v>
                </c:pt>
                <c:pt idx="183">
                  <c:v>17.979999999999986</c:v>
                </c:pt>
                <c:pt idx="184">
                  <c:v>24.45</c:v>
                </c:pt>
                <c:pt idx="185">
                  <c:v>24.479999999999986</c:v>
                </c:pt>
                <c:pt idx="186">
                  <c:v>45.34</c:v>
                </c:pt>
                <c:pt idx="187">
                  <c:v>10.850000000000014</c:v>
                </c:pt>
                <c:pt idx="188">
                  <c:v>42.74</c:v>
                </c:pt>
                <c:pt idx="189">
                  <c:v>28.77</c:v>
                </c:pt>
                <c:pt idx="190">
                  <c:v>16.43</c:v>
                </c:pt>
                <c:pt idx="191">
                  <c:v>34.93</c:v>
                </c:pt>
                <c:pt idx="192">
                  <c:v>22.830000000000005</c:v>
                </c:pt>
                <c:pt idx="193">
                  <c:v>23.06</c:v>
                </c:pt>
                <c:pt idx="194">
                  <c:v>24.86</c:v>
                </c:pt>
                <c:pt idx="195">
                  <c:v>32.68</c:v>
                </c:pt>
                <c:pt idx="196">
                  <c:v>10.78</c:v>
                </c:pt>
                <c:pt idx="197">
                  <c:v>14.19</c:v>
                </c:pt>
                <c:pt idx="198">
                  <c:v>11.18</c:v>
                </c:pt>
                <c:pt idx="199">
                  <c:v>7.38</c:v>
                </c:pt>
                <c:pt idx="200">
                  <c:v>12.88</c:v>
                </c:pt>
                <c:pt idx="201">
                  <c:v>16.57</c:v>
                </c:pt>
                <c:pt idx="202">
                  <c:v>9.7000000000000011</c:v>
                </c:pt>
                <c:pt idx="203">
                  <c:v>16.7</c:v>
                </c:pt>
                <c:pt idx="204">
                  <c:v>28.86</c:v>
                </c:pt>
                <c:pt idx="205">
                  <c:v>16.149999999999999</c:v>
                </c:pt>
                <c:pt idx="206">
                  <c:v>8.7800000000000011</c:v>
                </c:pt>
                <c:pt idx="207">
                  <c:v>24.310000000000027</c:v>
                </c:pt>
                <c:pt idx="208">
                  <c:v>28.630000000000027</c:v>
                </c:pt>
                <c:pt idx="209">
                  <c:v>20.919999999999987</c:v>
                </c:pt>
                <c:pt idx="210">
                  <c:v>20.9</c:v>
                </c:pt>
                <c:pt idx="211">
                  <c:v>32.93</c:v>
                </c:pt>
                <c:pt idx="212">
                  <c:v>31.279999999999987</c:v>
                </c:pt>
                <c:pt idx="213">
                  <c:v>46.04</c:v>
                </c:pt>
                <c:pt idx="214">
                  <c:v>35.44</c:v>
                </c:pt>
                <c:pt idx="215">
                  <c:v>31.1</c:v>
                </c:pt>
                <c:pt idx="216">
                  <c:v>19.02</c:v>
                </c:pt>
                <c:pt idx="217">
                  <c:v>36.65</c:v>
                </c:pt>
                <c:pt idx="218">
                  <c:v>20.71</c:v>
                </c:pt>
                <c:pt idx="219">
                  <c:v>15.31</c:v>
                </c:pt>
                <c:pt idx="220">
                  <c:v>44.63</c:v>
                </c:pt>
                <c:pt idx="221">
                  <c:v>26.27</c:v>
                </c:pt>
                <c:pt idx="222">
                  <c:v>17.25</c:v>
                </c:pt>
                <c:pt idx="223">
                  <c:v>22.45</c:v>
                </c:pt>
                <c:pt idx="224">
                  <c:v>22.5</c:v>
                </c:pt>
                <c:pt idx="225">
                  <c:v>34.82</c:v>
                </c:pt>
                <c:pt idx="226">
                  <c:v>22.779999999999987</c:v>
                </c:pt>
                <c:pt idx="227">
                  <c:v>22.6</c:v>
                </c:pt>
                <c:pt idx="228">
                  <c:v>18.579999999999988</c:v>
                </c:pt>
                <c:pt idx="229">
                  <c:v>10.950000000000006</c:v>
                </c:pt>
                <c:pt idx="230">
                  <c:v>27.69</c:v>
                </c:pt>
                <c:pt idx="231">
                  <c:v>25.17</c:v>
                </c:pt>
                <c:pt idx="232">
                  <c:v>40.82</c:v>
                </c:pt>
                <c:pt idx="233">
                  <c:v>26.36</c:v>
                </c:pt>
                <c:pt idx="234">
                  <c:v>18.03</c:v>
                </c:pt>
                <c:pt idx="235">
                  <c:v>30.55</c:v>
                </c:pt>
                <c:pt idx="236">
                  <c:v>21.82</c:v>
                </c:pt>
                <c:pt idx="237">
                  <c:v>20.350000000000001</c:v>
                </c:pt>
                <c:pt idx="238">
                  <c:v>40.81</c:v>
                </c:pt>
                <c:pt idx="239">
                  <c:v>45.160000000000011</c:v>
                </c:pt>
                <c:pt idx="240">
                  <c:v>26.09</c:v>
                </c:pt>
                <c:pt idx="241">
                  <c:v>26.93</c:v>
                </c:pt>
                <c:pt idx="242">
                  <c:v>29.9</c:v>
                </c:pt>
                <c:pt idx="243">
                  <c:v>33.46</c:v>
                </c:pt>
                <c:pt idx="244">
                  <c:v>23.32</c:v>
                </c:pt>
                <c:pt idx="245">
                  <c:v>26.23</c:v>
                </c:pt>
                <c:pt idx="246">
                  <c:v>24.34</c:v>
                </c:pt>
                <c:pt idx="247">
                  <c:v>17.5</c:v>
                </c:pt>
                <c:pt idx="248">
                  <c:v>19.93</c:v>
                </c:pt>
                <c:pt idx="249">
                  <c:v>8.69</c:v>
                </c:pt>
                <c:pt idx="250">
                  <c:v>15.74</c:v>
                </c:pt>
                <c:pt idx="251">
                  <c:v>15.42</c:v>
                </c:pt>
                <c:pt idx="252">
                  <c:v>27.08</c:v>
                </c:pt>
                <c:pt idx="253">
                  <c:v>14.15</c:v>
                </c:pt>
                <c:pt idx="254">
                  <c:v>18.29</c:v>
                </c:pt>
                <c:pt idx="255">
                  <c:v>11.74</c:v>
                </c:pt>
                <c:pt idx="256">
                  <c:v>15.56</c:v>
                </c:pt>
                <c:pt idx="257">
                  <c:v>7.5</c:v>
                </c:pt>
                <c:pt idx="258">
                  <c:v>12.77</c:v>
                </c:pt>
                <c:pt idx="259">
                  <c:v>13.81</c:v>
                </c:pt>
                <c:pt idx="260">
                  <c:v>17.25</c:v>
                </c:pt>
                <c:pt idx="261">
                  <c:v>16.010000000000005</c:v>
                </c:pt>
                <c:pt idx="262">
                  <c:v>21.86</c:v>
                </c:pt>
                <c:pt idx="263">
                  <c:v>14.450000000000006</c:v>
                </c:pt>
                <c:pt idx="264">
                  <c:v>15.76</c:v>
                </c:pt>
                <c:pt idx="265">
                  <c:v>19.600000000000001</c:v>
                </c:pt>
                <c:pt idx="266">
                  <c:v>20.22</c:v>
                </c:pt>
                <c:pt idx="267">
                  <c:v>14.14</c:v>
                </c:pt>
                <c:pt idx="268">
                  <c:v>40.86</c:v>
                </c:pt>
                <c:pt idx="269">
                  <c:v>25.97</c:v>
                </c:pt>
                <c:pt idx="270">
                  <c:v>31.439999999999987</c:v>
                </c:pt>
                <c:pt idx="271">
                  <c:v>14.96</c:v>
                </c:pt>
                <c:pt idx="272">
                  <c:v>19.62</c:v>
                </c:pt>
                <c:pt idx="273">
                  <c:v>54.96</c:v>
                </c:pt>
                <c:pt idx="274">
                  <c:v>21.05</c:v>
                </c:pt>
                <c:pt idx="275">
                  <c:v>24.759999999999987</c:v>
                </c:pt>
                <c:pt idx="276">
                  <c:v>19.21</c:v>
                </c:pt>
                <c:pt idx="277">
                  <c:v>58.1</c:v>
                </c:pt>
                <c:pt idx="278">
                  <c:v>37.620000000000012</c:v>
                </c:pt>
                <c:pt idx="279">
                  <c:v>30.73</c:v>
                </c:pt>
                <c:pt idx="280">
                  <c:v>12.15</c:v>
                </c:pt>
                <c:pt idx="281">
                  <c:v>29.49</c:v>
                </c:pt>
                <c:pt idx="282">
                  <c:v>45.120000000000012</c:v>
                </c:pt>
                <c:pt idx="283">
                  <c:v>23.479999999999986</c:v>
                </c:pt>
                <c:pt idx="284">
                  <c:v>36.950000000000003</c:v>
                </c:pt>
                <c:pt idx="285">
                  <c:v>17.7</c:v>
                </c:pt>
                <c:pt idx="286">
                  <c:v>11.96</c:v>
                </c:pt>
                <c:pt idx="287">
                  <c:v>45.08</c:v>
                </c:pt>
                <c:pt idx="288">
                  <c:v>44.02</c:v>
                </c:pt>
                <c:pt idx="289">
                  <c:v>27.69</c:v>
                </c:pt>
                <c:pt idx="290">
                  <c:v>23.73</c:v>
                </c:pt>
                <c:pt idx="291">
                  <c:v>27.12</c:v>
                </c:pt>
                <c:pt idx="292">
                  <c:v>19.52</c:v>
                </c:pt>
                <c:pt idx="293">
                  <c:v>35.230000000000011</c:v>
                </c:pt>
              </c:numCache>
            </c:numRef>
          </c:xVal>
          <c:yVal>
            <c:numRef>
              <c:f>Folha1!$B$46:$B$339</c:f>
              <c:numCache>
                <c:formatCode>General</c:formatCode>
                <c:ptCount val="294"/>
                <c:pt idx="0">
                  <c:v>4.5199999999999996</c:v>
                </c:pt>
                <c:pt idx="1">
                  <c:v>24.51</c:v>
                </c:pt>
                <c:pt idx="2">
                  <c:v>11.91</c:v>
                </c:pt>
                <c:pt idx="3">
                  <c:v>33.39</c:v>
                </c:pt>
                <c:pt idx="4">
                  <c:v>18</c:v>
                </c:pt>
                <c:pt idx="5">
                  <c:v>8.8600000000000048</c:v>
                </c:pt>
                <c:pt idx="6">
                  <c:v>11.94</c:v>
                </c:pt>
                <c:pt idx="7">
                  <c:v>9.44</c:v>
                </c:pt>
                <c:pt idx="8">
                  <c:v>4.45</c:v>
                </c:pt>
                <c:pt idx="9">
                  <c:v>5.25</c:v>
                </c:pt>
                <c:pt idx="10">
                  <c:v>5.99</c:v>
                </c:pt>
                <c:pt idx="11">
                  <c:v>15.28</c:v>
                </c:pt>
                <c:pt idx="12">
                  <c:v>12.42</c:v>
                </c:pt>
                <c:pt idx="13">
                  <c:v>24.919999999999987</c:v>
                </c:pt>
                <c:pt idx="14">
                  <c:v>11.59</c:v>
                </c:pt>
                <c:pt idx="15">
                  <c:v>7.81</c:v>
                </c:pt>
                <c:pt idx="16">
                  <c:v>10.49</c:v>
                </c:pt>
                <c:pt idx="17">
                  <c:v>14.860000000000014</c:v>
                </c:pt>
                <c:pt idx="18">
                  <c:v>5.59</c:v>
                </c:pt>
                <c:pt idx="19">
                  <c:v>10.84</c:v>
                </c:pt>
                <c:pt idx="20">
                  <c:v>9.58</c:v>
                </c:pt>
                <c:pt idx="21">
                  <c:v>9.18</c:v>
                </c:pt>
                <c:pt idx="22">
                  <c:v>3.14</c:v>
                </c:pt>
                <c:pt idx="23">
                  <c:v>6.49</c:v>
                </c:pt>
                <c:pt idx="24">
                  <c:v>2.77</c:v>
                </c:pt>
                <c:pt idx="25">
                  <c:v>7.68</c:v>
                </c:pt>
                <c:pt idx="26">
                  <c:v>1.6</c:v>
                </c:pt>
                <c:pt idx="27">
                  <c:v>2.94</c:v>
                </c:pt>
                <c:pt idx="28">
                  <c:v>10.850000000000014</c:v>
                </c:pt>
                <c:pt idx="29">
                  <c:v>14.25</c:v>
                </c:pt>
                <c:pt idx="30">
                  <c:v>11.33</c:v>
                </c:pt>
                <c:pt idx="31">
                  <c:v>11</c:v>
                </c:pt>
                <c:pt idx="32">
                  <c:v>4.7699999999999996</c:v>
                </c:pt>
                <c:pt idx="33">
                  <c:v>12.41</c:v>
                </c:pt>
                <c:pt idx="34">
                  <c:v>5.74</c:v>
                </c:pt>
                <c:pt idx="35">
                  <c:v>7.76</c:v>
                </c:pt>
                <c:pt idx="36">
                  <c:v>12.3</c:v>
                </c:pt>
                <c:pt idx="37">
                  <c:v>9.7800000000000011</c:v>
                </c:pt>
                <c:pt idx="38">
                  <c:v>11.3</c:v>
                </c:pt>
                <c:pt idx="39">
                  <c:v>6.6599999999999975</c:v>
                </c:pt>
                <c:pt idx="40">
                  <c:v>7.6499999999999995</c:v>
                </c:pt>
                <c:pt idx="41">
                  <c:v>15.39</c:v>
                </c:pt>
                <c:pt idx="42">
                  <c:v>14.06</c:v>
                </c:pt>
                <c:pt idx="43">
                  <c:v>10.89</c:v>
                </c:pt>
                <c:pt idx="44">
                  <c:v>8.7800000000000011</c:v>
                </c:pt>
                <c:pt idx="45">
                  <c:v>8.39</c:v>
                </c:pt>
                <c:pt idx="46">
                  <c:v>6.78</c:v>
                </c:pt>
                <c:pt idx="47">
                  <c:v>5.18</c:v>
                </c:pt>
                <c:pt idx="48">
                  <c:v>12.21</c:v>
                </c:pt>
                <c:pt idx="49">
                  <c:v>3.94</c:v>
                </c:pt>
                <c:pt idx="50">
                  <c:v>5.33</c:v>
                </c:pt>
                <c:pt idx="51">
                  <c:v>13.09</c:v>
                </c:pt>
                <c:pt idx="52">
                  <c:v>2.5499999999999998</c:v>
                </c:pt>
                <c:pt idx="53">
                  <c:v>8.44</c:v>
                </c:pt>
                <c:pt idx="54">
                  <c:v>3.08</c:v>
                </c:pt>
                <c:pt idx="55">
                  <c:v>5.05</c:v>
                </c:pt>
                <c:pt idx="56">
                  <c:v>4.8599999999999985</c:v>
                </c:pt>
                <c:pt idx="57">
                  <c:v>2.56</c:v>
                </c:pt>
                <c:pt idx="58">
                  <c:v>5.8</c:v>
                </c:pt>
                <c:pt idx="59">
                  <c:v>5.75</c:v>
                </c:pt>
                <c:pt idx="60">
                  <c:v>3.42</c:v>
                </c:pt>
                <c:pt idx="61">
                  <c:v>5.3</c:v>
                </c:pt>
                <c:pt idx="62">
                  <c:v>6.37</c:v>
                </c:pt>
                <c:pt idx="63">
                  <c:v>7.14</c:v>
                </c:pt>
                <c:pt idx="64">
                  <c:v>3.96</c:v>
                </c:pt>
                <c:pt idx="65">
                  <c:v>7.17</c:v>
                </c:pt>
                <c:pt idx="66">
                  <c:v>6.48</c:v>
                </c:pt>
                <c:pt idx="67">
                  <c:v>13.89</c:v>
                </c:pt>
                <c:pt idx="68">
                  <c:v>4.53</c:v>
                </c:pt>
                <c:pt idx="69">
                  <c:v>13.31</c:v>
                </c:pt>
                <c:pt idx="70">
                  <c:v>12.29</c:v>
                </c:pt>
                <c:pt idx="71">
                  <c:v>10.28</c:v>
                </c:pt>
                <c:pt idx="72">
                  <c:v>10.15</c:v>
                </c:pt>
                <c:pt idx="73">
                  <c:v>5.28</c:v>
                </c:pt>
                <c:pt idx="74">
                  <c:v>9.93</c:v>
                </c:pt>
                <c:pt idx="75">
                  <c:v>8.58</c:v>
                </c:pt>
                <c:pt idx="76">
                  <c:v>9.91</c:v>
                </c:pt>
                <c:pt idx="77">
                  <c:v>33.24</c:v>
                </c:pt>
                <c:pt idx="78">
                  <c:v>11.450000000000006</c:v>
                </c:pt>
                <c:pt idx="79">
                  <c:v>4.71</c:v>
                </c:pt>
                <c:pt idx="80">
                  <c:v>10.28</c:v>
                </c:pt>
                <c:pt idx="81">
                  <c:v>8.120000000000001</c:v>
                </c:pt>
                <c:pt idx="82">
                  <c:v>5.1499999999999995</c:v>
                </c:pt>
                <c:pt idx="83">
                  <c:v>8.42</c:v>
                </c:pt>
                <c:pt idx="84">
                  <c:v>3.3</c:v>
                </c:pt>
                <c:pt idx="85">
                  <c:v>7.75</c:v>
                </c:pt>
                <c:pt idx="86">
                  <c:v>7.37</c:v>
                </c:pt>
                <c:pt idx="87">
                  <c:v>3.3899999999999997</c:v>
                </c:pt>
                <c:pt idx="88">
                  <c:v>3.96</c:v>
                </c:pt>
                <c:pt idx="89">
                  <c:v>5.0999999999999996</c:v>
                </c:pt>
                <c:pt idx="90">
                  <c:v>4.26</c:v>
                </c:pt>
                <c:pt idx="91">
                  <c:v>3.86</c:v>
                </c:pt>
                <c:pt idx="92">
                  <c:v>7.1599999999999975</c:v>
                </c:pt>
                <c:pt idx="93">
                  <c:v>3.25</c:v>
                </c:pt>
                <c:pt idx="94">
                  <c:v>4.24</c:v>
                </c:pt>
                <c:pt idx="95">
                  <c:v>5.25</c:v>
                </c:pt>
                <c:pt idx="96">
                  <c:v>4.3499999999999996</c:v>
                </c:pt>
                <c:pt idx="97">
                  <c:v>2.56</c:v>
                </c:pt>
                <c:pt idx="98">
                  <c:v>1.48</c:v>
                </c:pt>
                <c:pt idx="99">
                  <c:v>4.1399999999999997</c:v>
                </c:pt>
                <c:pt idx="100">
                  <c:v>4.4300000000000024</c:v>
                </c:pt>
                <c:pt idx="101">
                  <c:v>3.05</c:v>
                </c:pt>
                <c:pt idx="102">
                  <c:v>3.58</c:v>
                </c:pt>
                <c:pt idx="103">
                  <c:v>2.44</c:v>
                </c:pt>
                <c:pt idx="104">
                  <c:v>1.44</c:v>
                </c:pt>
                <c:pt idx="105">
                  <c:v>6.56</c:v>
                </c:pt>
                <c:pt idx="106">
                  <c:v>7.6099999999999985</c:v>
                </c:pt>
                <c:pt idx="107">
                  <c:v>7.25</c:v>
                </c:pt>
                <c:pt idx="108">
                  <c:v>3.84</c:v>
                </c:pt>
                <c:pt idx="109">
                  <c:v>6.7700000000000014</c:v>
                </c:pt>
                <c:pt idx="110">
                  <c:v>14.39</c:v>
                </c:pt>
                <c:pt idx="111">
                  <c:v>6.1599999999999975</c:v>
                </c:pt>
                <c:pt idx="112">
                  <c:v>7.76</c:v>
                </c:pt>
                <c:pt idx="113">
                  <c:v>14.67</c:v>
                </c:pt>
                <c:pt idx="114">
                  <c:v>7.44</c:v>
                </c:pt>
                <c:pt idx="115">
                  <c:v>14.97</c:v>
                </c:pt>
                <c:pt idx="116">
                  <c:v>18.41</c:v>
                </c:pt>
                <c:pt idx="117">
                  <c:v>9.2200000000000024</c:v>
                </c:pt>
                <c:pt idx="118">
                  <c:v>7.56</c:v>
                </c:pt>
                <c:pt idx="119">
                  <c:v>10.4</c:v>
                </c:pt>
                <c:pt idx="120">
                  <c:v>8.68</c:v>
                </c:pt>
                <c:pt idx="121">
                  <c:v>11.61</c:v>
                </c:pt>
                <c:pt idx="122">
                  <c:v>3.13</c:v>
                </c:pt>
                <c:pt idx="123">
                  <c:v>12.6</c:v>
                </c:pt>
                <c:pt idx="124">
                  <c:v>9.0400000000000009</c:v>
                </c:pt>
                <c:pt idx="125">
                  <c:v>9.99</c:v>
                </c:pt>
                <c:pt idx="126">
                  <c:v>5.08</c:v>
                </c:pt>
                <c:pt idx="127">
                  <c:v>13.9</c:v>
                </c:pt>
                <c:pt idx="128">
                  <c:v>10.06</c:v>
                </c:pt>
                <c:pt idx="129">
                  <c:v>3.4699999999999998</c:v>
                </c:pt>
                <c:pt idx="130">
                  <c:v>10.54</c:v>
                </c:pt>
                <c:pt idx="131">
                  <c:v>4.33</c:v>
                </c:pt>
                <c:pt idx="132">
                  <c:v>4.8099999999999996</c:v>
                </c:pt>
                <c:pt idx="133">
                  <c:v>3.52</c:v>
                </c:pt>
                <c:pt idx="134">
                  <c:v>2.7800000000000002</c:v>
                </c:pt>
                <c:pt idx="135">
                  <c:v>4.6399999999999997</c:v>
                </c:pt>
                <c:pt idx="136">
                  <c:v>3.66</c:v>
                </c:pt>
                <c:pt idx="137">
                  <c:v>4.3</c:v>
                </c:pt>
                <c:pt idx="138">
                  <c:v>2.34</c:v>
                </c:pt>
                <c:pt idx="139">
                  <c:v>1.62</c:v>
                </c:pt>
                <c:pt idx="140">
                  <c:v>1.31</c:v>
                </c:pt>
                <c:pt idx="141">
                  <c:v>1.9200000000000017</c:v>
                </c:pt>
                <c:pt idx="142">
                  <c:v>4.07</c:v>
                </c:pt>
                <c:pt idx="143">
                  <c:v>4.57</c:v>
                </c:pt>
                <c:pt idx="144">
                  <c:v>3.54</c:v>
                </c:pt>
                <c:pt idx="145">
                  <c:v>4.6499999999999995</c:v>
                </c:pt>
                <c:pt idx="146">
                  <c:v>4.18</c:v>
                </c:pt>
                <c:pt idx="147">
                  <c:v>7.72</c:v>
                </c:pt>
                <c:pt idx="148">
                  <c:v>14.03</c:v>
                </c:pt>
                <c:pt idx="149">
                  <c:v>8.58</c:v>
                </c:pt>
                <c:pt idx="150">
                  <c:v>5.1199999999999966</c:v>
                </c:pt>
                <c:pt idx="151">
                  <c:v>11.370000000000006</c:v>
                </c:pt>
                <c:pt idx="152">
                  <c:v>12.1</c:v>
                </c:pt>
                <c:pt idx="153">
                  <c:v>9.3700000000000028</c:v>
                </c:pt>
                <c:pt idx="154">
                  <c:v>12.81</c:v>
                </c:pt>
                <c:pt idx="155">
                  <c:v>12.16</c:v>
                </c:pt>
                <c:pt idx="156">
                  <c:v>10.5</c:v>
                </c:pt>
                <c:pt idx="157">
                  <c:v>12.41</c:v>
                </c:pt>
                <c:pt idx="158">
                  <c:v>7.91</c:v>
                </c:pt>
                <c:pt idx="159">
                  <c:v>8.18</c:v>
                </c:pt>
                <c:pt idx="160">
                  <c:v>12.67</c:v>
                </c:pt>
                <c:pt idx="161">
                  <c:v>5.1199999999999966</c:v>
                </c:pt>
                <c:pt idx="162">
                  <c:v>8.23</c:v>
                </c:pt>
                <c:pt idx="163">
                  <c:v>14.1</c:v>
                </c:pt>
                <c:pt idx="164">
                  <c:v>15.71</c:v>
                </c:pt>
                <c:pt idx="165">
                  <c:v>12.38</c:v>
                </c:pt>
                <c:pt idx="166">
                  <c:v>5.91</c:v>
                </c:pt>
                <c:pt idx="167">
                  <c:v>5.52</c:v>
                </c:pt>
                <c:pt idx="168">
                  <c:v>2.9899999999999998</c:v>
                </c:pt>
                <c:pt idx="169">
                  <c:v>5.1499999999999995</c:v>
                </c:pt>
                <c:pt idx="170">
                  <c:v>3.58</c:v>
                </c:pt>
                <c:pt idx="171">
                  <c:v>4.46</c:v>
                </c:pt>
                <c:pt idx="172">
                  <c:v>9.3600000000000048</c:v>
                </c:pt>
                <c:pt idx="173">
                  <c:v>4.84</c:v>
                </c:pt>
                <c:pt idx="174">
                  <c:v>6.07</c:v>
                </c:pt>
                <c:pt idx="175">
                  <c:v>7.57</c:v>
                </c:pt>
                <c:pt idx="176">
                  <c:v>7.2</c:v>
                </c:pt>
                <c:pt idx="177">
                  <c:v>10.96</c:v>
                </c:pt>
                <c:pt idx="178">
                  <c:v>6.53</c:v>
                </c:pt>
                <c:pt idx="179">
                  <c:v>4.9000000000000004</c:v>
                </c:pt>
                <c:pt idx="180">
                  <c:v>7.85</c:v>
                </c:pt>
                <c:pt idx="181">
                  <c:v>22.8</c:v>
                </c:pt>
                <c:pt idx="182">
                  <c:v>7.99</c:v>
                </c:pt>
                <c:pt idx="183">
                  <c:v>12.21</c:v>
                </c:pt>
                <c:pt idx="184">
                  <c:v>8.84</c:v>
                </c:pt>
                <c:pt idx="185">
                  <c:v>8.6300000000000008</c:v>
                </c:pt>
                <c:pt idx="186">
                  <c:v>17.16</c:v>
                </c:pt>
                <c:pt idx="187">
                  <c:v>6.01</c:v>
                </c:pt>
                <c:pt idx="188">
                  <c:v>14.65</c:v>
                </c:pt>
                <c:pt idx="189">
                  <c:v>10.94</c:v>
                </c:pt>
                <c:pt idx="190">
                  <c:v>2.73</c:v>
                </c:pt>
                <c:pt idx="191">
                  <c:v>21.630000000000027</c:v>
                </c:pt>
                <c:pt idx="192">
                  <c:v>5.9300000000000024</c:v>
                </c:pt>
                <c:pt idx="193">
                  <c:v>10.39</c:v>
                </c:pt>
                <c:pt idx="194">
                  <c:v>6.04</c:v>
                </c:pt>
                <c:pt idx="195">
                  <c:v>10.040000000000001</c:v>
                </c:pt>
                <c:pt idx="196">
                  <c:v>3.67</c:v>
                </c:pt>
                <c:pt idx="197">
                  <c:v>4.9400000000000004</c:v>
                </c:pt>
                <c:pt idx="198">
                  <c:v>2.7</c:v>
                </c:pt>
                <c:pt idx="199">
                  <c:v>2.9299999999999997</c:v>
                </c:pt>
                <c:pt idx="200">
                  <c:v>4.41</c:v>
                </c:pt>
                <c:pt idx="201">
                  <c:v>6.9700000000000024</c:v>
                </c:pt>
                <c:pt idx="202">
                  <c:v>1.44</c:v>
                </c:pt>
                <c:pt idx="203">
                  <c:v>2.57</c:v>
                </c:pt>
                <c:pt idx="204">
                  <c:v>8.08</c:v>
                </c:pt>
                <c:pt idx="205">
                  <c:v>4.51</c:v>
                </c:pt>
                <c:pt idx="206">
                  <c:v>3.4</c:v>
                </c:pt>
                <c:pt idx="207">
                  <c:v>6.8</c:v>
                </c:pt>
                <c:pt idx="208">
                  <c:v>10.65</c:v>
                </c:pt>
                <c:pt idx="209">
                  <c:v>6.53</c:v>
                </c:pt>
                <c:pt idx="210">
                  <c:v>5.37</c:v>
                </c:pt>
                <c:pt idx="211">
                  <c:v>10.55</c:v>
                </c:pt>
                <c:pt idx="212">
                  <c:v>7.29</c:v>
                </c:pt>
                <c:pt idx="213">
                  <c:v>13.71</c:v>
                </c:pt>
                <c:pt idx="214">
                  <c:v>8.8000000000000007</c:v>
                </c:pt>
                <c:pt idx="215">
                  <c:v>8.89</c:v>
                </c:pt>
                <c:pt idx="216">
                  <c:v>4.57</c:v>
                </c:pt>
                <c:pt idx="217">
                  <c:v>17.89</c:v>
                </c:pt>
                <c:pt idx="218">
                  <c:v>7.1499999999999995</c:v>
                </c:pt>
                <c:pt idx="219">
                  <c:v>4.6399999999999997</c:v>
                </c:pt>
                <c:pt idx="220">
                  <c:v>14.28</c:v>
                </c:pt>
                <c:pt idx="221">
                  <c:v>5.99</c:v>
                </c:pt>
                <c:pt idx="222">
                  <c:v>6.67</c:v>
                </c:pt>
                <c:pt idx="223">
                  <c:v>8.98</c:v>
                </c:pt>
                <c:pt idx="224">
                  <c:v>5.55</c:v>
                </c:pt>
                <c:pt idx="225">
                  <c:v>11.9</c:v>
                </c:pt>
                <c:pt idx="226">
                  <c:v>6.88</c:v>
                </c:pt>
                <c:pt idx="227">
                  <c:v>9.7800000000000011</c:v>
                </c:pt>
                <c:pt idx="228">
                  <c:v>8.23</c:v>
                </c:pt>
                <c:pt idx="229">
                  <c:v>2.0499999999999998</c:v>
                </c:pt>
                <c:pt idx="230">
                  <c:v>7.09</c:v>
                </c:pt>
                <c:pt idx="231">
                  <c:v>7.75</c:v>
                </c:pt>
                <c:pt idx="232">
                  <c:v>13.09</c:v>
                </c:pt>
                <c:pt idx="233">
                  <c:v>8.620000000000001</c:v>
                </c:pt>
                <c:pt idx="234">
                  <c:v>7.13</c:v>
                </c:pt>
                <c:pt idx="235">
                  <c:v>8.0500000000000007</c:v>
                </c:pt>
                <c:pt idx="236">
                  <c:v>16.89</c:v>
                </c:pt>
                <c:pt idx="237">
                  <c:v>5.98</c:v>
                </c:pt>
                <c:pt idx="238">
                  <c:v>7.34</c:v>
                </c:pt>
                <c:pt idx="239">
                  <c:v>16.100000000000001</c:v>
                </c:pt>
                <c:pt idx="240">
                  <c:v>10.81</c:v>
                </c:pt>
                <c:pt idx="241">
                  <c:v>4.1899999999999995</c:v>
                </c:pt>
                <c:pt idx="242">
                  <c:v>14.72</c:v>
                </c:pt>
                <c:pt idx="243">
                  <c:v>13.31</c:v>
                </c:pt>
                <c:pt idx="244">
                  <c:v>13.08</c:v>
                </c:pt>
                <c:pt idx="245">
                  <c:v>7.98</c:v>
                </c:pt>
                <c:pt idx="246">
                  <c:v>8.2200000000000024</c:v>
                </c:pt>
                <c:pt idx="247">
                  <c:v>10.52</c:v>
                </c:pt>
                <c:pt idx="248">
                  <c:v>3.56</c:v>
                </c:pt>
                <c:pt idx="249">
                  <c:v>2.82</c:v>
                </c:pt>
                <c:pt idx="250">
                  <c:v>13.42</c:v>
                </c:pt>
                <c:pt idx="251">
                  <c:v>4.45</c:v>
                </c:pt>
                <c:pt idx="252">
                  <c:v>8.42</c:v>
                </c:pt>
                <c:pt idx="253">
                  <c:v>3.55</c:v>
                </c:pt>
                <c:pt idx="254">
                  <c:v>8.9600000000000026</c:v>
                </c:pt>
                <c:pt idx="255">
                  <c:v>2.3299999999999987</c:v>
                </c:pt>
                <c:pt idx="256">
                  <c:v>6.03</c:v>
                </c:pt>
                <c:pt idx="257">
                  <c:v>1.77</c:v>
                </c:pt>
                <c:pt idx="258">
                  <c:v>3.06</c:v>
                </c:pt>
                <c:pt idx="259">
                  <c:v>3.77</c:v>
                </c:pt>
                <c:pt idx="260">
                  <c:v>4.58</c:v>
                </c:pt>
                <c:pt idx="261">
                  <c:v>3.44</c:v>
                </c:pt>
                <c:pt idx="262">
                  <c:v>5.13</c:v>
                </c:pt>
                <c:pt idx="263">
                  <c:v>5.26</c:v>
                </c:pt>
                <c:pt idx="264">
                  <c:v>3.15</c:v>
                </c:pt>
                <c:pt idx="265">
                  <c:v>9.16</c:v>
                </c:pt>
                <c:pt idx="266">
                  <c:v>7.85</c:v>
                </c:pt>
                <c:pt idx="267">
                  <c:v>6.3</c:v>
                </c:pt>
                <c:pt idx="268">
                  <c:v>16.21</c:v>
                </c:pt>
                <c:pt idx="269">
                  <c:v>9.8500000000000068</c:v>
                </c:pt>
                <c:pt idx="270">
                  <c:v>4.9800000000000004</c:v>
                </c:pt>
                <c:pt idx="271">
                  <c:v>3.9499999999999997</c:v>
                </c:pt>
                <c:pt idx="272">
                  <c:v>5.91</c:v>
                </c:pt>
                <c:pt idx="273">
                  <c:v>11.860000000000014</c:v>
                </c:pt>
                <c:pt idx="274">
                  <c:v>14.21</c:v>
                </c:pt>
                <c:pt idx="275">
                  <c:v>6.5</c:v>
                </c:pt>
                <c:pt idx="276">
                  <c:v>7.63</c:v>
                </c:pt>
                <c:pt idx="277">
                  <c:v>9.0500000000000007</c:v>
                </c:pt>
                <c:pt idx="278">
                  <c:v>14.7</c:v>
                </c:pt>
                <c:pt idx="279">
                  <c:v>10.09</c:v>
                </c:pt>
                <c:pt idx="280">
                  <c:v>5.8199999999999985</c:v>
                </c:pt>
                <c:pt idx="281">
                  <c:v>5.6499999999999995</c:v>
                </c:pt>
                <c:pt idx="282">
                  <c:v>12.68</c:v>
                </c:pt>
                <c:pt idx="283">
                  <c:v>10.1</c:v>
                </c:pt>
                <c:pt idx="284">
                  <c:v>5.98</c:v>
                </c:pt>
                <c:pt idx="285">
                  <c:v>6.02</c:v>
                </c:pt>
                <c:pt idx="286">
                  <c:v>5.28</c:v>
                </c:pt>
                <c:pt idx="287">
                  <c:v>12.08</c:v>
                </c:pt>
                <c:pt idx="288">
                  <c:v>11.47</c:v>
                </c:pt>
                <c:pt idx="289">
                  <c:v>9.5</c:v>
                </c:pt>
                <c:pt idx="290">
                  <c:v>8.16</c:v>
                </c:pt>
                <c:pt idx="291">
                  <c:v>7.7</c:v>
                </c:pt>
                <c:pt idx="292">
                  <c:v>3.72</c:v>
                </c:pt>
                <c:pt idx="293">
                  <c:v>11.65</c:v>
                </c:pt>
              </c:numCache>
            </c:numRef>
          </c:yVal>
        </c:ser>
        <c:ser>
          <c:idx val="1"/>
          <c:order val="1"/>
          <c:tx>
            <c:v>PT2</c:v>
          </c:tx>
          <c:spPr>
            <a:ln w="28575">
              <a:noFill/>
            </a:ln>
          </c:spPr>
          <c:trendline>
            <c:trendlineType val="linear"/>
          </c:trendline>
          <c:xVal>
            <c:numRef>
              <c:f>Folha1!$D$46:$D$230</c:f>
              <c:numCache>
                <c:formatCode>General</c:formatCode>
                <c:ptCount val="185"/>
                <c:pt idx="0">
                  <c:v>27.330000000000005</c:v>
                </c:pt>
                <c:pt idx="1">
                  <c:v>37.800000000000004</c:v>
                </c:pt>
                <c:pt idx="2">
                  <c:v>26.09</c:v>
                </c:pt>
                <c:pt idx="3">
                  <c:v>22.52</c:v>
                </c:pt>
                <c:pt idx="4">
                  <c:v>31.12</c:v>
                </c:pt>
                <c:pt idx="5">
                  <c:v>22.6</c:v>
                </c:pt>
                <c:pt idx="6">
                  <c:v>31.41</c:v>
                </c:pt>
                <c:pt idx="7">
                  <c:v>31.55</c:v>
                </c:pt>
                <c:pt idx="8">
                  <c:v>38.700000000000003</c:v>
                </c:pt>
                <c:pt idx="9">
                  <c:v>44.85</c:v>
                </c:pt>
                <c:pt idx="10">
                  <c:v>25.55</c:v>
                </c:pt>
                <c:pt idx="11">
                  <c:v>50.96</c:v>
                </c:pt>
                <c:pt idx="12">
                  <c:v>83.86</c:v>
                </c:pt>
                <c:pt idx="13">
                  <c:v>50.58</c:v>
                </c:pt>
                <c:pt idx="14">
                  <c:v>62.720000000000013</c:v>
                </c:pt>
                <c:pt idx="15">
                  <c:v>27.43</c:v>
                </c:pt>
                <c:pt idx="16">
                  <c:v>42.97</c:v>
                </c:pt>
                <c:pt idx="17">
                  <c:v>30.37</c:v>
                </c:pt>
                <c:pt idx="18">
                  <c:v>53.44</c:v>
                </c:pt>
                <c:pt idx="19">
                  <c:v>32.11</c:v>
                </c:pt>
                <c:pt idx="20">
                  <c:v>29.259999999999987</c:v>
                </c:pt>
                <c:pt idx="21">
                  <c:v>35.770000000000003</c:v>
                </c:pt>
                <c:pt idx="22">
                  <c:v>44.2</c:v>
                </c:pt>
                <c:pt idx="23">
                  <c:v>56.89</c:v>
                </c:pt>
                <c:pt idx="24">
                  <c:v>32.340000000000003</c:v>
                </c:pt>
                <c:pt idx="25">
                  <c:v>27.25</c:v>
                </c:pt>
                <c:pt idx="26">
                  <c:v>39.89</c:v>
                </c:pt>
                <c:pt idx="27">
                  <c:v>47.91</c:v>
                </c:pt>
                <c:pt idx="28">
                  <c:v>25.27</c:v>
                </c:pt>
                <c:pt idx="29">
                  <c:v>23.99</c:v>
                </c:pt>
                <c:pt idx="30">
                  <c:v>17.53</c:v>
                </c:pt>
                <c:pt idx="31">
                  <c:v>25.9</c:v>
                </c:pt>
                <c:pt idx="32">
                  <c:v>21.779999999999987</c:v>
                </c:pt>
                <c:pt idx="33">
                  <c:v>39.08</c:v>
                </c:pt>
                <c:pt idx="34">
                  <c:v>29.8</c:v>
                </c:pt>
                <c:pt idx="35">
                  <c:v>27.16</c:v>
                </c:pt>
                <c:pt idx="36">
                  <c:v>36.74</c:v>
                </c:pt>
                <c:pt idx="37">
                  <c:v>31.24</c:v>
                </c:pt>
                <c:pt idx="38">
                  <c:v>48</c:v>
                </c:pt>
                <c:pt idx="39">
                  <c:v>32.32</c:v>
                </c:pt>
                <c:pt idx="40">
                  <c:v>16.399999999999999</c:v>
                </c:pt>
                <c:pt idx="41">
                  <c:v>21.05</c:v>
                </c:pt>
                <c:pt idx="42">
                  <c:v>35.99</c:v>
                </c:pt>
                <c:pt idx="43">
                  <c:v>15.78</c:v>
                </c:pt>
                <c:pt idx="44">
                  <c:v>22.1</c:v>
                </c:pt>
                <c:pt idx="45">
                  <c:v>50.260000000000012</c:v>
                </c:pt>
                <c:pt idx="46">
                  <c:v>25.97</c:v>
                </c:pt>
                <c:pt idx="47">
                  <c:v>22.72</c:v>
                </c:pt>
                <c:pt idx="48">
                  <c:v>32.82</c:v>
                </c:pt>
                <c:pt idx="49">
                  <c:v>17.12</c:v>
                </c:pt>
                <c:pt idx="50">
                  <c:v>30.82</c:v>
                </c:pt>
                <c:pt idx="51">
                  <c:v>57.56</c:v>
                </c:pt>
                <c:pt idx="52">
                  <c:v>74.209999999999994</c:v>
                </c:pt>
                <c:pt idx="53">
                  <c:v>27.66</c:v>
                </c:pt>
                <c:pt idx="54">
                  <c:v>22.630000000000027</c:v>
                </c:pt>
                <c:pt idx="55">
                  <c:v>27.79</c:v>
                </c:pt>
                <c:pt idx="56">
                  <c:v>46.02</c:v>
                </c:pt>
                <c:pt idx="57">
                  <c:v>44.48</c:v>
                </c:pt>
                <c:pt idx="58">
                  <c:v>75.849999999999994</c:v>
                </c:pt>
                <c:pt idx="59">
                  <c:v>27.09</c:v>
                </c:pt>
                <c:pt idx="60">
                  <c:v>28.279999999999987</c:v>
                </c:pt>
                <c:pt idx="61">
                  <c:v>27.810000000000027</c:v>
                </c:pt>
                <c:pt idx="62">
                  <c:v>37.020000000000003</c:v>
                </c:pt>
                <c:pt idx="63">
                  <c:v>57.84</c:v>
                </c:pt>
                <c:pt idx="64">
                  <c:v>26.91</c:v>
                </c:pt>
                <c:pt idx="65">
                  <c:v>32.200000000000003</c:v>
                </c:pt>
                <c:pt idx="66">
                  <c:v>43.15</c:v>
                </c:pt>
                <c:pt idx="67">
                  <c:v>39.660000000000011</c:v>
                </c:pt>
                <c:pt idx="68">
                  <c:v>40.47</c:v>
                </c:pt>
                <c:pt idx="69">
                  <c:v>27.310000000000027</c:v>
                </c:pt>
                <c:pt idx="70">
                  <c:v>25.14</c:v>
                </c:pt>
                <c:pt idx="71">
                  <c:v>21.77</c:v>
                </c:pt>
                <c:pt idx="72">
                  <c:v>43.91</c:v>
                </c:pt>
                <c:pt idx="73">
                  <c:v>38.480000000000004</c:v>
                </c:pt>
                <c:pt idx="74">
                  <c:v>26.97</c:v>
                </c:pt>
                <c:pt idx="75">
                  <c:v>27.5</c:v>
                </c:pt>
                <c:pt idx="76">
                  <c:v>25.51</c:v>
                </c:pt>
                <c:pt idx="77">
                  <c:v>41.44</c:v>
                </c:pt>
                <c:pt idx="78">
                  <c:v>34.550000000000004</c:v>
                </c:pt>
                <c:pt idx="79">
                  <c:v>35.160000000000011</c:v>
                </c:pt>
                <c:pt idx="80">
                  <c:v>28.88</c:v>
                </c:pt>
                <c:pt idx="81">
                  <c:v>58.220000000000013</c:v>
                </c:pt>
                <c:pt idx="82">
                  <c:v>15.81</c:v>
                </c:pt>
                <c:pt idx="83">
                  <c:v>22.18</c:v>
                </c:pt>
                <c:pt idx="84">
                  <c:v>76.3</c:v>
                </c:pt>
                <c:pt idx="85">
                  <c:v>29.84</c:v>
                </c:pt>
                <c:pt idx="86">
                  <c:v>22.89</c:v>
                </c:pt>
                <c:pt idx="87">
                  <c:v>29.93</c:v>
                </c:pt>
                <c:pt idx="88">
                  <c:v>29.279999999999987</c:v>
                </c:pt>
                <c:pt idx="89">
                  <c:v>67.23</c:v>
                </c:pt>
                <c:pt idx="90">
                  <c:v>21.25</c:v>
                </c:pt>
                <c:pt idx="91">
                  <c:v>41.49</c:v>
                </c:pt>
                <c:pt idx="92">
                  <c:v>23.419999999999987</c:v>
                </c:pt>
                <c:pt idx="93">
                  <c:v>29.150000000000027</c:v>
                </c:pt>
                <c:pt idx="94">
                  <c:v>22.979999999999986</c:v>
                </c:pt>
                <c:pt idx="95">
                  <c:v>22.29</c:v>
                </c:pt>
                <c:pt idx="96">
                  <c:v>31.259999999999987</c:v>
                </c:pt>
                <c:pt idx="97">
                  <c:v>30.45</c:v>
                </c:pt>
                <c:pt idx="98">
                  <c:v>30.54</c:v>
                </c:pt>
                <c:pt idx="99">
                  <c:v>34.270000000000003</c:v>
                </c:pt>
                <c:pt idx="100">
                  <c:v>24.5</c:v>
                </c:pt>
                <c:pt idx="101">
                  <c:v>49.57</c:v>
                </c:pt>
                <c:pt idx="102">
                  <c:v>31.49</c:v>
                </c:pt>
                <c:pt idx="103">
                  <c:v>40.1</c:v>
                </c:pt>
                <c:pt idx="104">
                  <c:v>38.61</c:v>
                </c:pt>
                <c:pt idx="105">
                  <c:v>49.98</c:v>
                </c:pt>
                <c:pt idx="106">
                  <c:v>54.64</c:v>
                </c:pt>
                <c:pt idx="107">
                  <c:v>70.98</c:v>
                </c:pt>
                <c:pt idx="108">
                  <c:v>49.14</c:v>
                </c:pt>
                <c:pt idx="109">
                  <c:v>42.63</c:v>
                </c:pt>
                <c:pt idx="110">
                  <c:v>38.32</c:v>
                </c:pt>
                <c:pt idx="111">
                  <c:v>31.7</c:v>
                </c:pt>
                <c:pt idx="112">
                  <c:v>29.68</c:v>
                </c:pt>
                <c:pt idx="113">
                  <c:v>56.42</c:v>
                </c:pt>
                <c:pt idx="114">
                  <c:v>21.49</c:v>
                </c:pt>
                <c:pt idx="115">
                  <c:v>40.270000000000003</c:v>
                </c:pt>
                <c:pt idx="116">
                  <c:v>28.62</c:v>
                </c:pt>
                <c:pt idx="117">
                  <c:v>41.49</c:v>
                </c:pt>
                <c:pt idx="118">
                  <c:v>29</c:v>
                </c:pt>
                <c:pt idx="119">
                  <c:v>33.49</c:v>
                </c:pt>
                <c:pt idx="120">
                  <c:v>33.85</c:v>
                </c:pt>
                <c:pt idx="121">
                  <c:v>25.54</c:v>
                </c:pt>
                <c:pt idx="122">
                  <c:v>50.95</c:v>
                </c:pt>
                <c:pt idx="123">
                  <c:v>42.53</c:v>
                </c:pt>
                <c:pt idx="124">
                  <c:v>34.67</c:v>
                </c:pt>
                <c:pt idx="125">
                  <c:v>94.7</c:v>
                </c:pt>
                <c:pt idx="126">
                  <c:v>27.01</c:v>
                </c:pt>
                <c:pt idx="127">
                  <c:v>21.8</c:v>
                </c:pt>
                <c:pt idx="128">
                  <c:v>36.36</c:v>
                </c:pt>
                <c:pt idx="129">
                  <c:v>20.9</c:v>
                </c:pt>
                <c:pt idx="130">
                  <c:v>30.04</c:v>
                </c:pt>
                <c:pt idx="131">
                  <c:v>47.31</c:v>
                </c:pt>
                <c:pt idx="132">
                  <c:v>138.35000000000022</c:v>
                </c:pt>
                <c:pt idx="133">
                  <c:v>44.96</c:v>
                </c:pt>
                <c:pt idx="134">
                  <c:v>53.49</c:v>
                </c:pt>
                <c:pt idx="135">
                  <c:v>50.63</c:v>
                </c:pt>
                <c:pt idx="136">
                  <c:v>26.82</c:v>
                </c:pt>
                <c:pt idx="137">
                  <c:v>17.84</c:v>
                </c:pt>
                <c:pt idx="138">
                  <c:v>26.279999999999987</c:v>
                </c:pt>
                <c:pt idx="139">
                  <c:v>46.48</c:v>
                </c:pt>
                <c:pt idx="140">
                  <c:v>26.91</c:v>
                </c:pt>
                <c:pt idx="141">
                  <c:v>24.21</c:v>
                </c:pt>
                <c:pt idx="142">
                  <c:v>17.77</c:v>
                </c:pt>
                <c:pt idx="143">
                  <c:v>57.68</c:v>
                </c:pt>
                <c:pt idx="144">
                  <c:v>27.979999999999986</c:v>
                </c:pt>
                <c:pt idx="145">
                  <c:v>23.779999999999987</c:v>
                </c:pt>
                <c:pt idx="146">
                  <c:v>24.32</c:v>
                </c:pt>
                <c:pt idx="147">
                  <c:v>41.42</c:v>
                </c:pt>
                <c:pt idx="148">
                  <c:v>21.21</c:v>
                </c:pt>
                <c:pt idx="149">
                  <c:v>28.5</c:v>
                </c:pt>
                <c:pt idx="150">
                  <c:v>34.230000000000011</c:v>
                </c:pt>
                <c:pt idx="151">
                  <c:v>40.96</c:v>
                </c:pt>
                <c:pt idx="152">
                  <c:v>31.130000000000027</c:v>
                </c:pt>
                <c:pt idx="153">
                  <c:v>28.3</c:v>
                </c:pt>
                <c:pt idx="154">
                  <c:v>65.06</c:v>
                </c:pt>
                <c:pt idx="155">
                  <c:v>35.25</c:v>
                </c:pt>
                <c:pt idx="156">
                  <c:v>49.2</c:v>
                </c:pt>
                <c:pt idx="157">
                  <c:v>31.54</c:v>
                </c:pt>
                <c:pt idx="158">
                  <c:v>31.259999999999987</c:v>
                </c:pt>
                <c:pt idx="159">
                  <c:v>46.28</c:v>
                </c:pt>
                <c:pt idx="160">
                  <c:v>43.3</c:v>
                </c:pt>
                <c:pt idx="161">
                  <c:v>18.149999999999999</c:v>
                </c:pt>
                <c:pt idx="162">
                  <c:v>42.41</c:v>
                </c:pt>
                <c:pt idx="163">
                  <c:v>32.97</c:v>
                </c:pt>
                <c:pt idx="164">
                  <c:v>36.220000000000013</c:v>
                </c:pt>
                <c:pt idx="165">
                  <c:v>60.14</c:v>
                </c:pt>
                <c:pt idx="166">
                  <c:v>18.3</c:v>
                </c:pt>
                <c:pt idx="167">
                  <c:v>24.939999999999987</c:v>
                </c:pt>
                <c:pt idx="168">
                  <c:v>94.61999999999999</c:v>
                </c:pt>
                <c:pt idx="169">
                  <c:v>16.939999999999987</c:v>
                </c:pt>
                <c:pt idx="170">
                  <c:v>44.96</c:v>
                </c:pt>
                <c:pt idx="171">
                  <c:v>38.880000000000003</c:v>
                </c:pt>
                <c:pt idx="172">
                  <c:v>24.919999999999987</c:v>
                </c:pt>
                <c:pt idx="173">
                  <c:v>31.27</c:v>
                </c:pt>
                <c:pt idx="174">
                  <c:v>22.37</c:v>
                </c:pt>
                <c:pt idx="175">
                  <c:v>88.48</c:v>
                </c:pt>
                <c:pt idx="176">
                  <c:v>49.93</c:v>
                </c:pt>
                <c:pt idx="177">
                  <c:v>86.95</c:v>
                </c:pt>
                <c:pt idx="178">
                  <c:v>46.09</c:v>
                </c:pt>
                <c:pt idx="179">
                  <c:v>28.59</c:v>
                </c:pt>
                <c:pt idx="180">
                  <c:v>50.88</c:v>
                </c:pt>
                <c:pt idx="181">
                  <c:v>74.040000000000006</c:v>
                </c:pt>
                <c:pt idx="182">
                  <c:v>41.63</c:v>
                </c:pt>
                <c:pt idx="183">
                  <c:v>55.42</c:v>
                </c:pt>
                <c:pt idx="184">
                  <c:v>24.1</c:v>
                </c:pt>
              </c:numCache>
            </c:numRef>
          </c:xVal>
          <c:yVal>
            <c:numRef>
              <c:f>Folha1!$E$46:$E$230</c:f>
              <c:numCache>
                <c:formatCode>General</c:formatCode>
                <c:ptCount val="185"/>
                <c:pt idx="0">
                  <c:v>27.330000000000005</c:v>
                </c:pt>
                <c:pt idx="1">
                  <c:v>29.34</c:v>
                </c:pt>
                <c:pt idx="2">
                  <c:v>50.48</c:v>
                </c:pt>
                <c:pt idx="3">
                  <c:v>24.39</c:v>
                </c:pt>
                <c:pt idx="4">
                  <c:v>42.5</c:v>
                </c:pt>
                <c:pt idx="5">
                  <c:v>26.75</c:v>
                </c:pt>
                <c:pt idx="6">
                  <c:v>35.31</c:v>
                </c:pt>
                <c:pt idx="7">
                  <c:v>29.93</c:v>
                </c:pt>
                <c:pt idx="8">
                  <c:v>22.919999999999987</c:v>
                </c:pt>
                <c:pt idx="9">
                  <c:v>42.63</c:v>
                </c:pt>
                <c:pt idx="10">
                  <c:v>19.47</c:v>
                </c:pt>
                <c:pt idx="11">
                  <c:v>27.18</c:v>
                </c:pt>
                <c:pt idx="12">
                  <c:v>56.44</c:v>
                </c:pt>
                <c:pt idx="13">
                  <c:v>34.01</c:v>
                </c:pt>
                <c:pt idx="14">
                  <c:v>45.87</c:v>
                </c:pt>
                <c:pt idx="15">
                  <c:v>37.32</c:v>
                </c:pt>
                <c:pt idx="16">
                  <c:v>24.6</c:v>
                </c:pt>
                <c:pt idx="17">
                  <c:v>27.95</c:v>
                </c:pt>
                <c:pt idx="18">
                  <c:v>37.690000000000012</c:v>
                </c:pt>
                <c:pt idx="19">
                  <c:v>27.06</c:v>
                </c:pt>
                <c:pt idx="20">
                  <c:v>19.439999999999987</c:v>
                </c:pt>
                <c:pt idx="21">
                  <c:v>25.07</c:v>
                </c:pt>
                <c:pt idx="22">
                  <c:v>17.130000000000027</c:v>
                </c:pt>
                <c:pt idx="23">
                  <c:v>31.29</c:v>
                </c:pt>
                <c:pt idx="24">
                  <c:v>31.439999999999987</c:v>
                </c:pt>
                <c:pt idx="25">
                  <c:v>15.41</c:v>
                </c:pt>
                <c:pt idx="26">
                  <c:v>26.55</c:v>
                </c:pt>
                <c:pt idx="27">
                  <c:v>46.71</c:v>
                </c:pt>
                <c:pt idx="28">
                  <c:v>29.64</c:v>
                </c:pt>
                <c:pt idx="29">
                  <c:v>13.78</c:v>
                </c:pt>
                <c:pt idx="30">
                  <c:v>12.7</c:v>
                </c:pt>
                <c:pt idx="31">
                  <c:v>24.9</c:v>
                </c:pt>
                <c:pt idx="32">
                  <c:v>28.89</c:v>
                </c:pt>
                <c:pt idx="33">
                  <c:v>29.71</c:v>
                </c:pt>
                <c:pt idx="34">
                  <c:v>25.74</c:v>
                </c:pt>
                <c:pt idx="35">
                  <c:v>29.79</c:v>
                </c:pt>
                <c:pt idx="36">
                  <c:v>33.58</c:v>
                </c:pt>
                <c:pt idx="37">
                  <c:v>23.29</c:v>
                </c:pt>
                <c:pt idx="38">
                  <c:v>30.58</c:v>
                </c:pt>
                <c:pt idx="39">
                  <c:v>15.51</c:v>
                </c:pt>
                <c:pt idx="40">
                  <c:v>22.4</c:v>
                </c:pt>
                <c:pt idx="41">
                  <c:v>24.34</c:v>
                </c:pt>
                <c:pt idx="42">
                  <c:v>30.02</c:v>
                </c:pt>
                <c:pt idx="43">
                  <c:v>23.17</c:v>
                </c:pt>
                <c:pt idx="44">
                  <c:v>37.43</c:v>
                </c:pt>
                <c:pt idx="45">
                  <c:v>27.39</c:v>
                </c:pt>
                <c:pt idx="46">
                  <c:v>21.97</c:v>
                </c:pt>
                <c:pt idx="47">
                  <c:v>24.07</c:v>
                </c:pt>
                <c:pt idx="48">
                  <c:v>30.810000000000027</c:v>
                </c:pt>
                <c:pt idx="49">
                  <c:v>24.74</c:v>
                </c:pt>
                <c:pt idx="50">
                  <c:v>16.53</c:v>
                </c:pt>
                <c:pt idx="51">
                  <c:v>31.32</c:v>
                </c:pt>
                <c:pt idx="52">
                  <c:v>32.950000000000003</c:v>
                </c:pt>
                <c:pt idx="53">
                  <c:v>24.87</c:v>
                </c:pt>
                <c:pt idx="54">
                  <c:v>32.880000000000003</c:v>
                </c:pt>
                <c:pt idx="55">
                  <c:v>13.75</c:v>
                </c:pt>
                <c:pt idx="56">
                  <c:v>34.11</c:v>
                </c:pt>
                <c:pt idx="57">
                  <c:v>25.779999999999987</c:v>
                </c:pt>
                <c:pt idx="58">
                  <c:v>44.33</c:v>
                </c:pt>
                <c:pt idx="59">
                  <c:v>13.3</c:v>
                </c:pt>
                <c:pt idx="60">
                  <c:v>36.65</c:v>
                </c:pt>
                <c:pt idx="61">
                  <c:v>22.79</c:v>
                </c:pt>
                <c:pt idx="62">
                  <c:v>20.69</c:v>
                </c:pt>
                <c:pt idx="63">
                  <c:v>37.840000000000003</c:v>
                </c:pt>
                <c:pt idx="64">
                  <c:v>24.37</c:v>
                </c:pt>
                <c:pt idx="65">
                  <c:v>31.32</c:v>
                </c:pt>
                <c:pt idx="66">
                  <c:v>33.870000000000005</c:v>
                </c:pt>
                <c:pt idx="67">
                  <c:v>23.85</c:v>
                </c:pt>
                <c:pt idx="68">
                  <c:v>27.03</c:v>
                </c:pt>
                <c:pt idx="69">
                  <c:v>36.950000000000003</c:v>
                </c:pt>
                <c:pt idx="70">
                  <c:v>26.919999999999987</c:v>
                </c:pt>
                <c:pt idx="71">
                  <c:v>30.03</c:v>
                </c:pt>
                <c:pt idx="72">
                  <c:v>25.439999999999987</c:v>
                </c:pt>
                <c:pt idx="73">
                  <c:v>29.66</c:v>
                </c:pt>
                <c:pt idx="74">
                  <c:v>33.950000000000003</c:v>
                </c:pt>
                <c:pt idx="75">
                  <c:v>19.73</c:v>
                </c:pt>
                <c:pt idx="76">
                  <c:v>13.28</c:v>
                </c:pt>
                <c:pt idx="77">
                  <c:v>22.259999999999987</c:v>
                </c:pt>
                <c:pt idx="78">
                  <c:v>28.24</c:v>
                </c:pt>
                <c:pt idx="79">
                  <c:v>19.8</c:v>
                </c:pt>
                <c:pt idx="80">
                  <c:v>33.68</c:v>
                </c:pt>
                <c:pt idx="81">
                  <c:v>48.35</c:v>
                </c:pt>
                <c:pt idx="82">
                  <c:v>32.83</c:v>
                </c:pt>
                <c:pt idx="83">
                  <c:v>18.68</c:v>
                </c:pt>
                <c:pt idx="84">
                  <c:v>35.790000000000013</c:v>
                </c:pt>
                <c:pt idx="85">
                  <c:v>35.54</c:v>
                </c:pt>
                <c:pt idx="86">
                  <c:v>24.43</c:v>
                </c:pt>
                <c:pt idx="87">
                  <c:v>44.8</c:v>
                </c:pt>
                <c:pt idx="88">
                  <c:v>28.56</c:v>
                </c:pt>
                <c:pt idx="89">
                  <c:v>56.41</c:v>
                </c:pt>
                <c:pt idx="90">
                  <c:v>24.279999999999987</c:v>
                </c:pt>
                <c:pt idx="91">
                  <c:v>25.06</c:v>
                </c:pt>
                <c:pt idx="92">
                  <c:v>35.07</c:v>
                </c:pt>
                <c:pt idx="93">
                  <c:v>34.910000000000004</c:v>
                </c:pt>
                <c:pt idx="94">
                  <c:v>57.93</c:v>
                </c:pt>
                <c:pt idx="95">
                  <c:v>17.329999999999988</c:v>
                </c:pt>
                <c:pt idx="96">
                  <c:v>32.86</c:v>
                </c:pt>
                <c:pt idx="97">
                  <c:v>28.82</c:v>
                </c:pt>
                <c:pt idx="98">
                  <c:v>22.72</c:v>
                </c:pt>
                <c:pt idx="99">
                  <c:v>26.66</c:v>
                </c:pt>
                <c:pt idx="100">
                  <c:v>16.77</c:v>
                </c:pt>
                <c:pt idx="101">
                  <c:v>34.75</c:v>
                </c:pt>
                <c:pt idx="102">
                  <c:v>43.89</c:v>
                </c:pt>
                <c:pt idx="103">
                  <c:v>25.56</c:v>
                </c:pt>
                <c:pt idx="104">
                  <c:v>38.21</c:v>
                </c:pt>
                <c:pt idx="105">
                  <c:v>60.18</c:v>
                </c:pt>
                <c:pt idx="106">
                  <c:v>30.279999999999987</c:v>
                </c:pt>
                <c:pt idx="107">
                  <c:v>47.1</c:v>
                </c:pt>
                <c:pt idx="108">
                  <c:v>39.78</c:v>
                </c:pt>
                <c:pt idx="109">
                  <c:v>23.18</c:v>
                </c:pt>
                <c:pt idx="110">
                  <c:v>32.21</c:v>
                </c:pt>
                <c:pt idx="111">
                  <c:v>24.759999999999987</c:v>
                </c:pt>
                <c:pt idx="112">
                  <c:v>32.15</c:v>
                </c:pt>
                <c:pt idx="113">
                  <c:v>60.01</c:v>
                </c:pt>
                <c:pt idx="114">
                  <c:v>40.230000000000011</c:v>
                </c:pt>
                <c:pt idx="115">
                  <c:v>17.2</c:v>
                </c:pt>
                <c:pt idx="116">
                  <c:v>56.44</c:v>
                </c:pt>
                <c:pt idx="117">
                  <c:v>25.06</c:v>
                </c:pt>
                <c:pt idx="118">
                  <c:v>20.479999999999986</c:v>
                </c:pt>
                <c:pt idx="119">
                  <c:v>25.93</c:v>
                </c:pt>
                <c:pt idx="120">
                  <c:v>41.120000000000012</c:v>
                </c:pt>
                <c:pt idx="121">
                  <c:v>17.3</c:v>
                </c:pt>
                <c:pt idx="122">
                  <c:v>32.450000000000003</c:v>
                </c:pt>
                <c:pt idx="123">
                  <c:v>24.59</c:v>
                </c:pt>
                <c:pt idx="124">
                  <c:v>32.35</c:v>
                </c:pt>
                <c:pt idx="125">
                  <c:v>98.57</c:v>
                </c:pt>
                <c:pt idx="126">
                  <c:v>26.49</c:v>
                </c:pt>
                <c:pt idx="127">
                  <c:v>21.7</c:v>
                </c:pt>
                <c:pt idx="128">
                  <c:v>22.830000000000005</c:v>
                </c:pt>
                <c:pt idx="129">
                  <c:v>24.919999999999987</c:v>
                </c:pt>
                <c:pt idx="130">
                  <c:v>21.439999999999987</c:v>
                </c:pt>
                <c:pt idx="131">
                  <c:v>31.5</c:v>
                </c:pt>
                <c:pt idx="132">
                  <c:v>58.94</c:v>
                </c:pt>
                <c:pt idx="133">
                  <c:v>42.94</c:v>
                </c:pt>
                <c:pt idx="134">
                  <c:v>53.8</c:v>
                </c:pt>
                <c:pt idx="135">
                  <c:v>35.33</c:v>
                </c:pt>
                <c:pt idx="136">
                  <c:v>18.3</c:v>
                </c:pt>
                <c:pt idx="137">
                  <c:v>28</c:v>
                </c:pt>
                <c:pt idx="138">
                  <c:v>16.170000000000005</c:v>
                </c:pt>
                <c:pt idx="139">
                  <c:v>28.34</c:v>
                </c:pt>
                <c:pt idx="140">
                  <c:v>18</c:v>
                </c:pt>
                <c:pt idx="141">
                  <c:v>24.17</c:v>
                </c:pt>
                <c:pt idx="142">
                  <c:v>22.14</c:v>
                </c:pt>
                <c:pt idx="143">
                  <c:v>53.7</c:v>
                </c:pt>
                <c:pt idx="144">
                  <c:v>19.52</c:v>
                </c:pt>
                <c:pt idx="145">
                  <c:v>31.59</c:v>
                </c:pt>
                <c:pt idx="146">
                  <c:v>23.75</c:v>
                </c:pt>
                <c:pt idx="147">
                  <c:v>21.27</c:v>
                </c:pt>
                <c:pt idx="148">
                  <c:v>18.39</c:v>
                </c:pt>
                <c:pt idx="149">
                  <c:v>34.25</c:v>
                </c:pt>
                <c:pt idx="150">
                  <c:v>20.97</c:v>
                </c:pt>
                <c:pt idx="151">
                  <c:v>43.27</c:v>
                </c:pt>
                <c:pt idx="152">
                  <c:v>12.33</c:v>
                </c:pt>
                <c:pt idx="153">
                  <c:v>25.110000000000028</c:v>
                </c:pt>
                <c:pt idx="154">
                  <c:v>55.95</c:v>
                </c:pt>
                <c:pt idx="155">
                  <c:v>17.149999999999999</c:v>
                </c:pt>
                <c:pt idx="156">
                  <c:v>48.48</c:v>
                </c:pt>
                <c:pt idx="157">
                  <c:v>27.55</c:v>
                </c:pt>
                <c:pt idx="158">
                  <c:v>17.45</c:v>
                </c:pt>
                <c:pt idx="159">
                  <c:v>52.89</c:v>
                </c:pt>
                <c:pt idx="160">
                  <c:v>22.479999999999986</c:v>
                </c:pt>
                <c:pt idx="161">
                  <c:v>31.34</c:v>
                </c:pt>
                <c:pt idx="162">
                  <c:v>41.74</c:v>
                </c:pt>
                <c:pt idx="163">
                  <c:v>28.24</c:v>
                </c:pt>
                <c:pt idx="164">
                  <c:v>17.21</c:v>
                </c:pt>
                <c:pt idx="165">
                  <c:v>47.6</c:v>
                </c:pt>
                <c:pt idx="166">
                  <c:v>29.52</c:v>
                </c:pt>
                <c:pt idx="167">
                  <c:v>17.82</c:v>
                </c:pt>
                <c:pt idx="168">
                  <c:v>59</c:v>
                </c:pt>
                <c:pt idx="169">
                  <c:v>23.93</c:v>
                </c:pt>
                <c:pt idx="170">
                  <c:v>38.980000000000004</c:v>
                </c:pt>
                <c:pt idx="171">
                  <c:v>30.03</c:v>
                </c:pt>
                <c:pt idx="172">
                  <c:v>23.3</c:v>
                </c:pt>
                <c:pt idx="173">
                  <c:v>19.579999999999988</c:v>
                </c:pt>
                <c:pt idx="174">
                  <c:v>19.73</c:v>
                </c:pt>
                <c:pt idx="175">
                  <c:v>70.09</c:v>
                </c:pt>
                <c:pt idx="176">
                  <c:v>46.42</c:v>
                </c:pt>
                <c:pt idx="177">
                  <c:v>60.57</c:v>
                </c:pt>
                <c:pt idx="178">
                  <c:v>35.53</c:v>
                </c:pt>
                <c:pt idx="179">
                  <c:v>32.160000000000011</c:v>
                </c:pt>
                <c:pt idx="180">
                  <c:v>27.18</c:v>
                </c:pt>
                <c:pt idx="181">
                  <c:v>46.25</c:v>
                </c:pt>
                <c:pt idx="182">
                  <c:v>19.8</c:v>
                </c:pt>
                <c:pt idx="183">
                  <c:v>36.840000000000003</c:v>
                </c:pt>
                <c:pt idx="184">
                  <c:v>14.54</c:v>
                </c:pt>
              </c:numCache>
            </c:numRef>
          </c:yVal>
        </c:ser>
        <c:ser>
          <c:idx val="2"/>
          <c:order val="2"/>
          <c:tx>
            <c:v>Azinhal</c:v>
          </c:tx>
          <c:spPr>
            <a:ln w="28575">
              <a:noFill/>
            </a:ln>
          </c:spPr>
          <c:trendline>
            <c:trendlineType val="linear"/>
          </c:trendline>
          <c:xVal>
            <c:numRef>
              <c:f>Folha1!$G$46:$G$201</c:f>
              <c:numCache>
                <c:formatCode>General</c:formatCode>
                <c:ptCount val="156"/>
                <c:pt idx="0">
                  <c:v>53.8</c:v>
                </c:pt>
                <c:pt idx="1">
                  <c:v>45.92</c:v>
                </c:pt>
                <c:pt idx="2">
                  <c:v>21.35</c:v>
                </c:pt>
                <c:pt idx="3">
                  <c:v>38.56</c:v>
                </c:pt>
                <c:pt idx="4">
                  <c:v>16.439999999999987</c:v>
                </c:pt>
                <c:pt idx="5">
                  <c:v>25.759999999999987</c:v>
                </c:pt>
                <c:pt idx="6">
                  <c:v>24.310000000000027</c:v>
                </c:pt>
                <c:pt idx="7">
                  <c:v>25.7</c:v>
                </c:pt>
                <c:pt idx="8">
                  <c:v>28.75</c:v>
                </c:pt>
                <c:pt idx="9">
                  <c:v>40.700000000000003</c:v>
                </c:pt>
                <c:pt idx="10">
                  <c:v>27.650000000000027</c:v>
                </c:pt>
                <c:pt idx="11">
                  <c:v>27.919999999999987</c:v>
                </c:pt>
                <c:pt idx="12">
                  <c:v>30.08</c:v>
                </c:pt>
                <c:pt idx="13">
                  <c:v>32.03</c:v>
                </c:pt>
                <c:pt idx="14">
                  <c:v>63.190000000000012</c:v>
                </c:pt>
                <c:pt idx="15">
                  <c:v>29.99</c:v>
                </c:pt>
                <c:pt idx="16">
                  <c:v>46.65</c:v>
                </c:pt>
                <c:pt idx="17">
                  <c:v>28.979999999999986</c:v>
                </c:pt>
                <c:pt idx="18">
                  <c:v>28.23</c:v>
                </c:pt>
                <c:pt idx="19">
                  <c:v>24.05</c:v>
                </c:pt>
                <c:pt idx="20">
                  <c:v>49.84</c:v>
                </c:pt>
                <c:pt idx="21">
                  <c:v>22.08</c:v>
                </c:pt>
                <c:pt idx="22">
                  <c:v>17.899999999999999</c:v>
                </c:pt>
                <c:pt idx="23">
                  <c:v>29.330000000000005</c:v>
                </c:pt>
                <c:pt idx="24">
                  <c:v>57.92</c:v>
                </c:pt>
                <c:pt idx="25">
                  <c:v>27.1</c:v>
                </c:pt>
                <c:pt idx="26">
                  <c:v>56.52</c:v>
                </c:pt>
                <c:pt idx="27">
                  <c:v>43.4</c:v>
                </c:pt>
                <c:pt idx="28">
                  <c:v>19.39</c:v>
                </c:pt>
                <c:pt idx="29">
                  <c:v>44.660000000000011</c:v>
                </c:pt>
                <c:pt idx="30">
                  <c:v>82.59</c:v>
                </c:pt>
                <c:pt idx="31">
                  <c:v>29.330000000000005</c:v>
                </c:pt>
                <c:pt idx="32">
                  <c:v>22.22</c:v>
                </c:pt>
                <c:pt idx="33">
                  <c:v>21.439999999999987</c:v>
                </c:pt>
                <c:pt idx="34">
                  <c:v>37.620000000000012</c:v>
                </c:pt>
                <c:pt idx="35">
                  <c:v>34.4</c:v>
                </c:pt>
                <c:pt idx="36">
                  <c:v>20.25</c:v>
                </c:pt>
                <c:pt idx="37">
                  <c:v>73.239999999999995</c:v>
                </c:pt>
                <c:pt idx="38">
                  <c:v>20.62</c:v>
                </c:pt>
                <c:pt idx="39">
                  <c:v>32.42</c:v>
                </c:pt>
                <c:pt idx="40">
                  <c:v>31.27</c:v>
                </c:pt>
                <c:pt idx="41">
                  <c:v>27.04</c:v>
                </c:pt>
                <c:pt idx="42">
                  <c:v>33.770000000000003</c:v>
                </c:pt>
                <c:pt idx="43">
                  <c:v>58.730000000000011</c:v>
                </c:pt>
                <c:pt idx="44">
                  <c:v>22.959999999999987</c:v>
                </c:pt>
                <c:pt idx="45">
                  <c:v>35.730000000000011</c:v>
                </c:pt>
                <c:pt idx="46">
                  <c:v>50.97</c:v>
                </c:pt>
                <c:pt idx="47">
                  <c:v>31.34</c:v>
                </c:pt>
                <c:pt idx="48">
                  <c:v>39.83</c:v>
                </c:pt>
                <c:pt idx="49">
                  <c:v>14.99</c:v>
                </c:pt>
                <c:pt idx="50">
                  <c:v>44.06</c:v>
                </c:pt>
                <c:pt idx="51">
                  <c:v>32.880000000000003</c:v>
                </c:pt>
                <c:pt idx="52">
                  <c:v>23.99</c:v>
                </c:pt>
                <c:pt idx="53">
                  <c:v>15.22</c:v>
                </c:pt>
                <c:pt idx="54">
                  <c:v>18.809999999999999</c:v>
                </c:pt>
                <c:pt idx="55">
                  <c:v>36.1</c:v>
                </c:pt>
                <c:pt idx="56">
                  <c:v>23.71</c:v>
                </c:pt>
                <c:pt idx="57">
                  <c:v>26.259999999999987</c:v>
                </c:pt>
                <c:pt idx="58">
                  <c:v>24.79</c:v>
                </c:pt>
                <c:pt idx="59">
                  <c:v>41.44</c:v>
                </c:pt>
                <c:pt idx="60">
                  <c:v>53.51</c:v>
                </c:pt>
                <c:pt idx="61">
                  <c:v>21.939999999999987</c:v>
                </c:pt>
                <c:pt idx="62">
                  <c:v>39.58</c:v>
                </c:pt>
                <c:pt idx="63">
                  <c:v>33.620000000000012</c:v>
                </c:pt>
                <c:pt idx="64">
                  <c:v>39.590000000000003</c:v>
                </c:pt>
                <c:pt idx="65">
                  <c:v>26.36</c:v>
                </c:pt>
                <c:pt idx="66">
                  <c:v>21.150000000000027</c:v>
                </c:pt>
                <c:pt idx="67">
                  <c:v>27.419999999999987</c:v>
                </c:pt>
                <c:pt idx="68">
                  <c:v>16.239999999999988</c:v>
                </c:pt>
                <c:pt idx="69">
                  <c:v>60.24</c:v>
                </c:pt>
                <c:pt idx="70">
                  <c:v>43.99</c:v>
                </c:pt>
                <c:pt idx="71">
                  <c:v>32.770000000000003</c:v>
                </c:pt>
                <c:pt idx="72">
                  <c:v>14.950000000000006</c:v>
                </c:pt>
                <c:pt idx="73">
                  <c:v>26.1</c:v>
                </c:pt>
                <c:pt idx="74">
                  <c:v>44.65</c:v>
                </c:pt>
                <c:pt idx="75">
                  <c:v>17.8</c:v>
                </c:pt>
                <c:pt idx="76">
                  <c:v>35.910000000000004</c:v>
                </c:pt>
                <c:pt idx="77">
                  <c:v>36.83</c:v>
                </c:pt>
                <c:pt idx="78">
                  <c:v>74.739999999999995</c:v>
                </c:pt>
                <c:pt idx="79">
                  <c:v>31.06</c:v>
                </c:pt>
                <c:pt idx="80">
                  <c:v>47.81</c:v>
                </c:pt>
                <c:pt idx="81">
                  <c:v>25.02</c:v>
                </c:pt>
                <c:pt idx="82">
                  <c:v>52.730000000000011</c:v>
                </c:pt>
                <c:pt idx="83">
                  <c:v>16.979999999999986</c:v>
                </c:pt>
                <c:pt idx="84">
                  <c:v>15.61</c:v>
                </c:pt>
                <c:pt idx="85">
                  <c:v>25.47</c:v>
                </c:pt>
                <c:pt idx="86">
                  <c:v>20.650000000000027</c:v>
                </c:pt>
                <c:pt idx="87">
                  <c:v>15.28</c:v>
                </c:pt>
                <c:pt idx="88">
                  <c:v>19.439999999999987</c:v>
                </c:pt>
                <c:pt idx="89">
                  <c:v>34.160000000000011</c:v>
                </c:pt>
                <c:pt idx="90">
                  <c:v>32.68</c:v>
                </c:pt>
                <c:pt idx="91">
                  <c:v>14.92</c:v>
                </c:pt>
                <c:pt idx="92">
                  <c:v>49.49</c:v>
                </c:pt>
                <c:pt idx="93">
                  <c:v>37.35</c:v>
                </c:pt>
                <c:pt idx="94">
                  <c:v>28.03</c:v>
                </c:pt>
                <c:pt idx="95">
                  <c:v>67.900000000000006</c:v>
                </c:pt>
                <c:pt idx="96">
                  <c:v>35.950000000000003</c:v>
                </c:pt>
                <c:pt idx="97">
                  <c:v>31.55</c:v>
                </c:pt>
                <c:pt idx="98">
                  <c:v>36.790000000000013</c:v>
                </c:pt>
                <c:pt idx="99">
                  <c:v>31.37</c:v>
                </c:pt>
                <c:pt idx="100">
                  <c:v>51.83</c:v>
                </c:pt>
                <c:pt idx="101">
                  <c:v>63.92</c:v>
                </c:pt>
                <c:pt idx="102">
                  <c:v>17.329999999999988</c:v>
                </c:pt>
                <c:pt idx="103">
                  <c:v>18.45</c:v>
                </c:pt>
                <c:pt idx="104">
                  <c:v>21.84</c:v>
                </c:pt>
                <c:pt idx="105">
                  <c:v>20.85</c:v>
                </c:pt>
                <c:pt idx="106">
                  <c:v>19.05</c:v>
                </c:pt>
                <c:pt idx="107">
                  <c:v>21.54</c:v>
                </c:pt>
                <c:pt idx="108">
                  <c:v>49.55</c:v>
                </c:pt>
                <c:pt idx="109">
                  <c:v>26.51</c:v>
                </c:pt>
                <c:pt idx="110">
                  <c:v>33.46</c:v>
                </c:pt>
                <c:pt idx="111">
                  <c:v>32.550000000000004</c:v>
                </c:pt>
                <c:pt idx="112">
                  <c:v>28.01</c:v>
                </c:pt>
                <c:pt idx="113">
                  <c:v>29.41</c:v>
                </c:pt>
                <c:pt idx="114">
                  <c:v>27.75</c:v>
                </c:pt>
                <c:pt idx="115">
                  <c:v>22.51</c:v>
                </c:pt>
                <c:pt idx="116">
                  <c:v>26.09</c:v>
                </c:pt>
                <c:pt idx="117">
                  <c:v>27.47</c:v>
                </c:pt>
                <c:pt idx="118">
                  <c:v>26.62</c:v>
                </c:pt>
                <c:pt idx="119">
                  <c:v>23.630000000000027</c:v>
                </c:pt>
                <c:pt idx="120">
                  <c:v>39.200000000000003</c:v>
                </c:pt>
                <c:pt idx="121">
                  <c:v>14.5</c:v>
                </c:pt>
                <c:pt idx="122">
                  <c:v>15.63</c:v>
                </c:pt>
                <c:pt idx="123">
                  <c:v>38.83</c:v>
                </c:pt>
                <c:pt idx="124">
                  <c:v>23.630000000000027</c:v>
                </c:pt>
                <c:pt idx="125">
                  <c:v>34.050000000000004</c:v>
                </c:pt>
                <c:pt idx="126">
                  <c:v>25.52</c:v>
                </c:pt>
                <c:pt idx="127">
                  <c:v>21.29</c:v>
                </c:pt>
                <c:pt idx="128">
                  <c:v>23.16</c:v>
                </c:pt>
                <c:pt idx="129">
                  <c:v>14.98</c:v>
                </c:pt>
                <c:pt idx="130">
                  <c:v>17.309999999999999</c:v>
                </c:pt>
                <c:pt idx="131">
                  <c:v>42.98</c:v>
                </c:pt>
                <c:pt idx="132">
                  <c:v>29.7</c:v>
                </c:pt>
                <c:pt idx="133">
                  <c:v>55.37</c:v>
                </c:pt>
                <c:pt idx="134">
                  <c:v>37.81</c:v>
                </c:pt>
                <c:pt idx="135">
                  <c:v>30.55</c:v>
                </c:pt>
                <c:pt idx="136">
                  <c:v>27.03</c:v>
                </c:pt>
                <c:pt idx="137">
                  <c:v>23.7</c:v>
                </c:pt>
                <c:pt idx="138">
                  <c:v>40.910000000000004</c:v>
                </c:pt>
                <c:pt idx="139">
                  <c:v>23.36</c:v>
                </c:pt>
                <c:pt idx="140">
                  <c:v>16.7</c:v>
                </c:pt>
                <c:pt idx="141">
                  <c:v>30.27</c:v>
                </c:pt>
                <c:pt idx="142">
                  <c:v>36.230000000000011</c:v>
                </c:pt>
                <c:pt idx="143">
                  <c:v>24.1</c:v>
                </c:pt>
                <c:pt idx="144">
                  <c:v>26.12</c:v>
                </c:pt>
                <c:pt idx="145">
                  <c:v>39.020000000000003</c:v>
                </c:pt>
                <c:pt idx="146">
                  <c:v>21.2</c:v>
                </c:pt>
                <c:pt idx="147">
                  <c:v>17.5</c:v>
                </c:pt>
                <c:pt idx="148">
                  <c:v>29.1</c:v>
                </c:pt>
                <c:pt idx="149">
                  <c:v>21.630000000000027</c:v>
                </c:pt>
                <c:pt idx="150">
                  <c:v>18.459999999999987</c:v>
                </c:pt>
                <c:pt idx="151">
                  <c:v>20.62</c:v>
                </c:pt>
                <c:pt idx="152">
                  <c:v>13.47</c:v>
                </c:pt>
                <c:pt idx="153">
                  <c:v>19.100000000000001</c:v>
                </c:pt>
                <c:pt idx="154">
                  <c:v>12.43</c:v>
                </c:pt>
                <c:pt idx="155">
                  <c:v>20.38</c:v>
                </c:pt>
              </c:numCache>
            </c:numRef>
          </c:xVal>
          <c:yVal>
            <c:numRef>
              <c:f>Folha1!$H$46:$H$201</c:f>
              <c:numCache>
                <c:formatCode>General</c:formatCode>
                <c:ptCount val="156"/>
                <c:pt idx="0">
                  <c:v>39.910000000000004</c:v>
                </c:pt>
                <c:pt idx="1">
                  <c:v>44.09</c:v>
                </c:pt>
                <c:pt idx="2">
                  <c:v>24.979999999999986</c:v>
                </c:pt>
                <c:pt idx="3">
                  <c:v>19.079999999999988</c:v>
                </c:pt>
                <c:pt idx="4">
                  <c:v>19.04</c:v>
                </c:pt>
                <c:pt idx="5">
                  <c:v>32.630000000000003</c:v>
                </c:pt>
                <c:pt idx="6">
                  <c:v>32.020000000000003</c:v>
                </c:pt>
                <c:pt idx="7">
                  <c:v>29.58</c:v>
                </c:pt>
                <c:pt idx="8">
                  <c:v>25.58</c:v>
                </c:pt>
                <c:pt idx="9">
                  <c:v>45.1</c:v>
                </c:pt>
                <c:pt idx="10">
                  <c:v>35.590000000000003</c:v>
                </c:pt>
                <c:pt idx="11">
                  <c:v>17.93</c:v>
                </c:pt>
                <c:pt idx="12">
                  <c:v>24.39</c:v>
                </c:pt>
                <c:pt idx="13">
                  <c:v>25.6</c:v>
                </c:pt>
                <c:pt idx="14">
                  <c:v>28.9</c:v>
                </c:pt>
                <c:pt idx="15">
                  <c:v>18.72</c:v>
                </c:pt>
                <c:pt idx="16">
                  <c:v>52.77</c:v>
                </c:pt>
                <c:pt idx="17">
                  <c:v>21.110000000000028</c:v>
                </c:pt>
                <c:pt idx="18">
                  <c:v>14.3</c:v>
                </c:pt>
                <c:pt idx="19">
                  <c:v>17.989999999999963</c:v>
                </c:pt>
                <c:pt idx="20">
                  <c:v>50.1</c:v>
                </c:pt>
                <c:pt idx="21">
                  <c:v>20.73</c:v>
                </c:pt>
                <c:pt idx="22">
                  <c:v>25.95</c:v>
                </c:pt>
                <c:pt idx="23">
                  <c:v>17.41</c:v>
                </c:pt>
                <c:pt idx="24">
                  <c:v>42.720000000000013</c:v>
                </c:pt>
                <c:pt idx="25">
                  <c:v>33.53</c:v>
                </c:pt>
                <c:pt idx="26">
                  <c:v>102.77</c:v>
                </c:pt>
                <c:pt idx="27">
                  <c:v>40</c:v>
                </c:pt>
                <c:pt idx="28">
                  <c:v>31.419999999999987</c:v>
                </c:pt>
                <c:pt idx="29">
                  <c:v>28.150000000000027</c:v>
                </c:pt>
                <c:pt idx="30">
                  <c:v>40.270000000000003</c:v>
                </c:pt>
                <c:pt idx="31">
                  <c:v>20.170000000000005</c:v>
                </c:pt>
                <c:pt idx="32">
                  <c:v>19.87</c:v>
                </c:pt>
                <c:pt idx="33">
                  <c:v>38.08</c:v>
                </c:pt>
                <c:pt idx="34">
                  <c:v>18.21</c:v>
                </c:pt>
                <c:pt idx="35">
                  <c:v>20.57</c:v>
                </c:pt>
                <c:pt idx="36">
                  <c:v>22.59</c:v>
                </c:pt>
                <c:pt idx="37">
                  <c:v>51</c:v>
                </c:pt>
                <c:pt idx="38">
                  <c:v>22.53</c:v>
                </c:pt>
                <c:pt idx="39">
                  <c:v>20.39</c:v>
                </c:pt>
                <c:pt idx="40">
                  <c:v>16.079999999999988</c:v>
                </c:pt>
                <c:pt idx="41">
                  <c:v>10.63</c:v>
                </c:pt>
                <c:pt idx="42">
                  <c:v>23.45</c:v>
                </c:pt>
                <c:pt idx="43">
                  <c:v>71.169999999999987</c:v>
                </c:pt>
                <c:pt idx="44">
                  <c:v>24.74</c:v>
                </c:pt>
                <c:pt idx="45">
                  <c:v>25.5</c:v>
                </c:pt>
                <c:pt idx="46">
                  <c:v>29.7</c:v>
                </c:pt>
                <c:pt idx="47">
                  <c:v>29.01</c:v>
                </c:pt>
                <c:pt idx="48">
                  <c:v>55.160000000000011</c:v>
                </c:pt>
                <c:pt idx="49">
                  <c:v>25.56</c:v>
                </c:pt>
                <c:pt idx="50">
                  <c:v>41.44</c:v>
                </c:pt>
                <c:pt idx="51">
                  <c:v>24.69</c:v>
                </c:pt>
                <c:pt idx="52">
                  <c:v>23.419999999999987</c:v>
                </c:pt>
                <c:pt idx="53">
                  <c:v>20.86</c:v>
                </c:pt>
                <c:pt idx="54">
                  <c:v>17.779999999999987</c:v>
                </c:pt>
                <c:pt idx="55">
                  <c:v>36.690000000000012</c:v>
                </c:pt>
                <c:pt idx="56">
                  <c:v>18.829999999999988</c:v>
                </c:pt>
                <c:pt idx="57">
                  <c:v>25.02</c:v>
                </c:pt>
                <c:pt idx="58">
                  <c:v>21.259999999999987</c:v>
                </c:pt>
                <c:pt idx="59">
                  <c:v>35.42</c:v>
                </c:pt>
                <c:pt idx="60">
                  <c:v>35.020000000000003</c:v>
                </c:pt>
                <c:pt idx="61">
                  <c:v>16.5</c:v>
                </c:pt>
                <c:pt idx="62">
                  <c:v>45.01</c:v>
                </c:pt>
                <c:pt idx="63">
                  <c:v>38.81</c:v>
                </c:pt>
                <c:pt idx="64">
                  <c:v>26.08</c:v>
                </c:pt>
                <c:pt idx="65">
                  <c:v>20.8</c:v>
                </c:pt>
                <c:pt idx="66">
                  <c:v>19.3</c:v>
                </c:pt>
                <c:pt idx="67">
                  <c:v>10.93</c:v>
                </c:pt>
                <c:pt idx="68">
                  <c:v>19.600000000000001</c:v>
                </c:pt>
                <c:pt idx="69">
                  <c:v>29.21</c:v>
                </c:pt>
                <c:pt idx="70">
                  <c:v>33.82</c:v>
                </c:pt>
                <c:pt idx="71">
                  <c:v>22.69</c:v>
                </c:pt>
                <c:pt idx="72">
                  <c:v>9.57</c:v>
                </c:pt>
                <c:pt idx="73">
                  <c:v>17.84</c:v>
                </c:pt>
                <c:pt idx="74">
                  <c:v>30.279999999999987</c:v>
                </c:pt>
                <c:pt idx="75">
                  <c:v>21.650000000000027</c:v>
                </c:pt>
                <c:pt idx="76">
                  <c:v>21.53</c:v>
                </c:pt>
                <c:pt idx="77">
                  <c:v>27.23</c:v>
                </c:pt>
                <c:pt idx="78">
                  <c:v>42.37</c:v>
                </c:pt>
                <c:pt idx="79">
                  <c:v>21.85</c:v>
                </c:pt>
                <c:pt idx="80">
                  <c:v>58.24</c:v>
                </c:pt>
                <c:pt idx="81">
                  <c:v>24.87</c:v>
                </c:pt>
                <c:pt idx="82">
                  <c:v>51.33</c:v>
                </c:pt>
                <c:pt idx="83">
                  <c:v>13.9</c:v>
                </c:pt>
                <c:pt idx="84">
                  <c:v>14.04</c:v>
                </c:pt>
                <c:pt idx="85">
                  <c:v>24.1</c:v>
                </c:pt>
                <c:pt idx="86">
                  <c:v>22.01</c:v>
                </c:pt>
                <c:pt idx="87">
                  <c:v>16.21</c:v>
                </c:pt>
                <c:pt idx="88">
                  <c:v>14.97</c:v>
                </c:pt>
                <c:pt idx="89">
                  <c:v>40.770000000000003</c:v>
                </c:pt>
                <c:pt idx="90">
                  <c:v>19.32</c:v>
                </c:pt>
                <c:pt idx="91">
                  <c:v>15.18</c:v>
                </c:pt>
                <c:pt idx="92">
                  <c:v>62.27</c:v>
                </c:pt>
                <c:pt idx="93">
                  <c:v>42.160000000000011</c:v>
                </c:pt>
                <c:pt idx="94">
                  <c:v>14.860000000000014</c:v>
                </c:pt>
                <c:pt idx="95">
                  <c:v>70.45</c:v>
                </c:pt>
                <c:pt idx="96">
                  <c:v>22.25</c:v>
                </c:pt>
                <c:pt idx="97">
                  <c:v>14.2</c:v>
                </c:pt>
                <c:pt idx="98">
                  <c:v>42.13</c:v>
                </c:pt>
                <c:pt idx="99">
                  <c:v>31.779999999999987</c:v>
                </c:pt>
                <c:pt idx="100">
                  <c:v>33.96</c:v>
                </c:pt>
                <c:pt idx="101">
                  <c:v>45.56</c:v>
                </c:pt>
                <c:pt idx="102">
                  <c:v>17.29</c:v>
                </c:pt>
                <c:pt idx="103">
                  <c:v>16.989999999999963</c:v>
                </c:pt>
                <c:pt idx="104">
                  <c:v>17.97</c:v>
                </c:pt>
                <c:pt idx="105">
                  <c:v>23.82</c:v>
                </c:pt>
                <c:pt idx="106">
                  <c:v>17.170000000000005</c:v>
                </c:pt>
                <c:pt idx="107">
                  <c:v>17.89</c:v>
                </c:pt>
                <c:pt idx="108">
                  <c:v>30.16</c:v>
                </c:pt>
                <c:pt idx="109">
                  <c:v>13.350000000000014</c:v>
                </c:pt>
                <c:pt idx="110">
                  <c:v>18.12</c:v>
                </c:pt>
                <c:pt idx="111">
                  <c:v>58.36</c:v>
                </c:pt>
                <c:pt idx="112">
                  <c:v>52.220000000000013</c:v>
                </c:pt>
                <c:pt idx="113">
                  <c:v>27.610000000000028</c:v>
                </c:pt>
                <c:pt idx="114">
                  <c:v>41.65</c:v>
                </c:pt>
                <c:pt idx="115">
                  <c:v>16.97</c:v>
                </c:pt>
                <c:pt idx="116">
                  <c:v>16.37</c:v>
                </c:pt>
                <c:pt idx="117">
                  <c:v>23</c:v>
                </c:pt>
                <c:pt idx="118">
                  <c:v>27.7</c:v>
                </c:pt>
                <c:pt idx="119">
                  <c:v>33.720000000000013</c:v>
                </c:pt>
                <c:pt idx="120">
                  <c:v>40.020000000000003</c:v>
                </c:pt>
                <c:pt idx="121">
                  <c:v>16</c:v>
                </c:pt>
                <c:pt idx="122">
                  <c:v>12.71</c:v>
                </c:pt>
                <c:pt idx="123">
                  <c:v>23.110000000000028</c:v>
                </c:pt>
                <c:pt idx="124">
                  <c:v>29.85</c:v>
                </c:pt>
                <c:pt idx="125">
                  <c:v>19.55</c:v>
                </c:pt>
                <c:pt idx="126">
                  <c:v>17.14</c:v>
                </c:pt>
                <c:pt idx="127">
                  <c:v>27.25</c:v>
                </c:pt>
                <c:pt idx="128">
                  <c:v>14.870000000000006</c:v>
                </c:pt>
                <c:pt idx="129">
                  <c:v>19.66</c:v>
                </c:pt>
                <c:pt idx="130">
                  <c:v>16.260000000000002</c:v>
                </c:pt>
                <c:pt idx="131">
                  <c:v>21.4</c:v>
                </c:pt>
                <c:pt idx="132">
                  <c:v>35.51</c:v>
                </c:pt>
                <c:pt idx="133">
                  <c:v>67.209999999999994</c:v>
                </c:pt>
                <c:pt idx="134">
                  <c:v>34.340000000000003</c:v>
                </c:pt>
                <c:pt idx="135">
                  <c:v>19.27</c:v>
                </c:pt>
                <c:pt idx="136">
                  <c:v>25.57</c:v>
                </c:pt>
                <c:pt idx="137">
                  <c:v>25.79</c:v>
                </c:pt>
                <c:pt idx="138">
                  <c:v>19.95</c:v>
                </c:pt>
                <c:pt idx="139">
                  <c:v>26.52</c:v>
                </c:pt>
                <c:pt idx="140">
                  <c:v>27.05</c:v>
                </c:pt>
                <c:pt idx="141">
                  <c:v>16.59</c:v>
                </c:pt>
                <c:pt idx="142">
                  <c:v>12.38</c:v>
                </c:pt>
                <c:pt idx="143">
                  <c:v>21.54</c:v>
                </c:pt>
                <c:pt idx="144">
                  <c:v>17.2</c:v>
                </c:pt>
                <c:pt idx="145">
                  <c:v>14.98</c:v>
                </c:pt>
                <c:pt idx="146">
                  <c:v>24.37</c:v>
                </c:pt>
                <c:pt idx="147">
                  <c:v>18.899999999999999</c:v>
                </c:pt>
                <c:pt idx="148">
                  <c:v>17.47</c:v>
                </c:pt>
                <c:pt idx="149">
                  <c:v>22.66</c:v>
                </c:pt>
                <c:pt idx="150">
                  <c:v>28.05</c:v>
                </c:pt>
                <c:pt idx="151">
                  <c:v>16.899999999999999</c:v>
                </c:pt>
                <c:pt idx="152">
                  <c:v>15.64</c:v>
                </c:pt>
                <c:pt idx="153">
                  <c:v>15.7</c:v>
                </c:pt>
                <c:pt idx="154">
                  <c:v>26.53</c:v>
                </c:pt>
                <c:pt idx="155">
                  <c:v>17.239999999999988</c:v>
                </c:pt>
              </c:numCache>
            </c:numRef>
          </c:yVal>
        </c:ser>
        <c:axId val="71513984"/>
        <c:axId val="71540736"/>
      </c:scatterChart>
      <c:valAx>
        <c:axId val="71513984"/>
        <c:scaling>
          <c:orientation val="minMax"/>
        </c:scaling>
        <c:axPos val="b"/>
        <c:majorGridlines/>
        <c:minorGridlines/>
        <c:title>
          <c:tx>
            <c:rich>
              <a:bodyPr/>
              <a:lstStyle/>
              <a:p>
                <a:pPr>
                  <a:defRPr/>
                </a:pPr>
                <a:r>
                  <a:rPr lang="en-US"/>
                  <a:t>Comprimento</a:t>
                </a:r>
              </a:p>
            </c:rich>
          </c:tx>
          <c:layout/>
        </c:title>
        <c:numFmt formatCode="General" sourceLinked="1"/>
        <c:tickLblPos val="nextTo"/>
        <c:crossAx val="71540736"/>
        <c:crosses val="autoZero"/>
        <c:crossBetween val="midCat"/>
      </c:valAx>
      <c:valAx>
        <c:axId val="71540736"/>
        <c:scaling>
          <c:orientation val="minMax"/>
        </c:scaling>
        <c:axPos val="l"/>
        <c:majorGridlines/>
        <c:minorGridlines/>
        <c:title>
          <c:tx>
            <c:rich>
              <a:bodyPr/>
              <a:lstStyle/>
              <a:p>
                <a:pPr>
                  <a:defRPr/>
                </a:pPr>
                <a:r>
                  <a:rPr lang="en-US"/>
                  <a:t>largura</a:t>
                </a:r>
              </a:p>
            </c:rich>
          </c:tx>
          <c:layout/>
        </c:title>
        <c:numFmt formatCode="General" sourceLinked="1"/>
        <c:tickLblPos val="nextTo"/>
        <c:crossAx val="71513984"/>
        <c:crosses val="autoZero"/>
        <c:crossBetween val="midCat"/>
      </c:valAx>
    </c:plotArea>
    <c:legend>
      <c:legendPos val="r"/>
      <c:layout/>
    </c:legend>
    <c:plotVisOnly val="1"/>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clustered"/>
        <c:ser>
          <c:idx val="0"/>
          <c:order val="0"/>
          <c:tx>
            <c:strRef>
              <c:f>Folha1!$B$349</c:f>
              <c:strCache>
                <c:ptCount val="1"/>
                <c:pt idx="0">
                  <c:v>PT2</c:v>
                </c:pt>
              </c:strCache>
            </c:strRef>
          </c:tx>
          <c:cat>
            <c:strRef>
              <c:f>Folha1!$A$350:$A$364</c:f>
              <c:strCache>
                <c:ptCount val="15"/>
                <c:pt idx="0">
                  <c:v>zero</c:v>
                </c:pt>
                <c:pt idx="1">
                  <c:v>um</c:v>
                </c:pt>
                <c:pt idx="2">
                  <c:v>dois</c:v>
                </c:pt>
                <c:pt idx="3">
                  <c:v>três</c:v>
                </c:pt>
                <c:pt idx="4">
                  <c:v>quatro</c:v>
                </c:pt>
                <c:pt idx="5">
                  <c:v>cinco</c:v>
                </c:pt>
                <c:pt idx="6">
                  <c:v>seis</c:v>
                </c:pt>
                <c:pt idx="7">
                  <c:v>sete</c:v>
                </c:pt>
                <c:pt idx="8">
                  <c:v>oito</c:v>
                </c:pt>
                <c:pt idx="9">
                  <c:v>nove </c:v>
                </c:pt>
                <c:pt idx="10">
                  <c:v>dez</c:v>
                </c:pt>
                <c:pt idx="11">
                  <c:v>onze</c:v>
                </c:pt>
                <c:pt idx="12">
                  <c:v>doze </c:v>
                </c:pt>
                <c:pt idx="13">
                  <c:v>quinze</c:v>
                </c:pt>
                <c:pt idx="14">
                  <c:v>vinte e dois</c:v>
                </c:pt>
              </c:strCache>
            </c:strRef>
          </c:cat>
          <c:val>
            <c:numRef>
              <c:f>Folha1!$B$350:$B$364</c:f>
              <c:numCache>
                <c:formatCode>General</c:formatCode>
                <c:ptCount val="15"/>
                <c:pt idx="0">
                  <c:v>13</c:v>
                </c:pt>
                <c:pt idx="1">
                  <c:v>21</c:v>
                </c:pt>
                <c:pt idx="2">
                  <c:v>57</c:v>
                </c:pt>
                <c:pt idx="3">
                  <c:v>53</c:v>
                </c:pt>
                <c:pt idx="4">
                  <c:v>41</c:v>
                </c:pt>
                <c:pt idx="5">
                  <c:v>22</c:v>
                </c:pt>
                <c:pt idx="6">
                  <c:v>6</c:v>
                </c:pt>
                <c:pt idx="7">
                  <c:v>6</c:v>
                </c:pt>
                <c:pt idx="8">
                  <c:v>2</c:v>
                </c:pt>
                <c:pt idx="9">
                  <c:v>1</c:v>
                </c:pt>
                <c:pt idx="10">
                  <c:v>1</c:v>
                </c:pt>
                <c:pt idx="13">
                  <c:v>1</c:v>
                </c:pt>
                <c:pt idx="14">
                  <c:v>1</c:v>
                </c:pt>
              </c:numCache>
            </c:numRef>
          </c:val>
        </c:ser>
        <c:ser>
          <c:idx val="1"/>
          <c:order val="1"/>
          <c:tx>
            <c:strRef>
              <c:f>Folha1!$C$349</c:f>
              <c:strCache>
                <c:ptCount val="1"/>
                <c:pt idx="0">
                  <c:v>Az</c:v>
                </c:pt>
              </c:strCache>
            </c:strRef>
          </c:tx>
          <c:cat>
            <c:strRef>
              <c:f>Folha1!$A$350:$A$364</c:f>
              <c:strCache>
                <c:ptCount val="15"/>
                <c:pt idx="0">
                  <c:v>zero</c:v>
                </c:pt>
                <c:pt idx="1">
                  <c:v>um</c:v>
                </c:pt>
                <c:pt idx="2">
                  <c:v>dois</c:v>
                </c:pt>
                <c:pt idx="3">
                  <c:v>três</c:v>
                </c:pt>
                <c:pt idx="4">
                  <c:v>quatro</c:v>
                </c:pt>
                <c:pt idx="5">
                  <c:v>cinco</c:v>
                </c:pt>
                <c:pt idx="6">
                  <c:v>seis</c:v>
                </c:pt>
                <c:pt idx="7">
                  <c:v>sete</c:v>
                </c:pt>
                <c:pt idx="8">
                  <c:v>oito</c:v>
                </c:pt>
                <c:pt idx="9">
                  <c:v>nove </c:v>
                </c:pt>
                <c:pt idx="10">
                  <c:v>dez</c:v>
                </c:pt>
                <c:pt idx="11">
                  <c:v>onze</c:v>
                </c:pt>
                <c:pt idx="12">
                  <c:v>doze </c:v>
                </c:pt>
                <c:pt idx="13">
                  <c:v>quinze</c:v>
                </c:pt>
                <c:pt idx="14">
                  <c:v>vinte e dois</c:v>
                </c:pt>
              </c:strCache>
            </c:strRef>
          </c:cat>
          <c:val>
            <c:numRef>
              <c:f>Folha1!$C$350:$C$364</c:f>
              <c:numCache>
                <c:formatCode>General</c:formatCode>
                <c:ptCount val="15"/>
                <c:pt idx="0">
                  <c:v>7</c:v>
                </c:pt>
                <c:pt idx="1">
                  <c:v>27</c:v>
                </c:pt>
                <c:pt idx="2">
                  <c:v>38</c:v>
                </c:pt>
                <c:pt idx="3">
                  <c:v>44</c:v>
                </c:pt>
                <c:pt idx="4">
                  <c:v>18</c:v>
                </c:pt>
                <c:pt idx="5">
                  <c:v>11</c:v>
                </c:pt>
                <c:pt idx="6">
                  <c:v>6</c:v>
                </c:pt>
                <c:pt idx="7">
                  <c:v>4</c:v>
                </c:pt>
                <c:pt idx="8">
                  <c:v>1</c:v>
                </c:pt>
                <c:pt idx="11">
                  <c:v>1</c:v>
                </c:pt>
              </c:numCache>
            </c:numRef>
          </c:val>
        </c:ser>
        <c:ser>
          <c:idx val="2"/>
          <c:order val="2"/>
          <c:tx>
            <c:strRef>
              <c:f>Folha1!$D$349</c:f>
              <c:strCache>
                <c:ptCount val="1"/>
                <c:pt idx="0">
                  <c:v>TPM</c:v>
                </c:pt>
              </c:strCache>
            </c:strRef>
          </c:tx>
          <c:cat>
            <c:strRef>
              <c:f>Folha1!$A$350:$A$364</c:f>
              <c:strCache>
                <c:ptCount val="15"/>
                <c:pt idx="0">
                  <c:v>zero</c:v>
                </c:pt>
                <c:pt idx="1">
                  <c:v>um</c:v>
                </c:pt>
                <c:pt idx="2">
                  <c:v>dois</c:v>
                </c:pt>
                <c:pt idx="3">
                  <c:v>três</c:v>
                </c:pt>
                <c:pt idx="4">
                  <c:v>quatro</c:v>
                </c:pt>
                <c:pt idx="5">
                  <c:v>cinco</c:v>
                </c:pt>
                <c:pt idx="6">
                  <c:v>seis</c:v>
                </c:pt>
                <c:pt idx="7">
                  <c:v>sete</c:v>
                </c:pt>
                <c:pt idx="8">
                  <c:v>oito</c:v>
                </c:pt>
                <c:pt idx="9">
                  <c:v>nove </c:v>
                </c:pt>
                <c:pt idx="10">
                  <c:v>dez</c:v>
                </c:pt>
                <c:pt idx="11">
                  <c:v>onze</c:v>
                </c:pt>
                <c:pt idx="12">
                  <c:v>doze </c:v>
                </c:pt>
                <c:pt idx="13">
                  <c:v>quinze</c:v>
                </c:pt>
                <c:pt idx="14">
                  <c:v>vinte e dois</c:v>
                </c:pt>
              </c:strCache>
            </c:strRef>
          </c:cat>
          <c:val>
            <c:numRef>
              <c:f>Folha1!$D$350:$D$364</c:f>
              <c:numCache>
                <c:formatCode>General</c:formatCode>
                <c:ptCount val="15"/>
                <c:pt idx="0">
                  <c:v>2</c:v>
                </c:pt>
                <c:pt idx="1">
                  <c:v>70</c:v>
                </c:pt>
                <c:pt idx="2">
                  <c:v>106</c:v>
                </c:pt>
                <c:pt idx="3">
                  <c:v>56</c:v>
                </c:pt>
                <c:pt idx="4">
                  <c:v>22</c:v>
                </c:pt>
                <c:pt idx="5">
                  <c:v>1</c:v>
                </c:pt>
                <c:pt idx="6">
                  <c:v>1</c:v>
                </c:pt>
              </c:numCache>
            </c:numRef>
          </c:val>
        </c:ser>
        <c:axId val="71566464"/>
        <c:axId val="71568000"/>
      </c:barChart>
      <c:catAx>
        <c:axId val="71566464"/>
        <c:scaling>
          <c:orientation val="minMax"/>
        </c:scaling>
        <c:axPos val="b"/>
        <c:majorTickMark val="none"/>
        <c:tickLblPos val="nextTo"/>
        <c:crossAx val="71568000"/>
        <c:crosses val="autoZero"/>
        <c:auto val="1"/>
        <c:lblAlgn val="ctr"/>
        <c:lblOffset val="100"/>
      </c:catAx>
      <c:valAx>
        <c:axId val="71568000"/>
        <c:scaling>
          <c:orientation val="minMax"/>
        </c:scaling>
        <c:axPos val="l"/>
        <c:majorGridlines/>
        <c:numFmt formatCode="General" sourceLinked="1"/>
        <c:majorTickMark val="none"/>
        <c:tickLblPos val="nextTo"/>
        <c:crossAx val="71566464"/>
        <c:crosses val="autoZero"/>
        <c:crossBetween val="between"/>
      </c:valAx>
    </c:plotArea>
    <c:legend>
      <c:legendPos val="r"/>
      <c:layout/>
    </c:legend>
    <c:plotVisOnly val="1"/>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PT2</c:v>
          </c:tx>
          <c:spPr>
            <a:ln w="28575">
              <a:noFill/>
            </a:ln>
          </c:spPr>
          <c:trendline>
            <c:trendlineType val="linear"/>
          </c:trendline>
          <c:xVal>
            <c:numRef>
              <c:f>Folha1!$A$370:$A$482</c:f>
              <c:numCache>
                <c:formatCode>General</c:formatCode>
                <c:ptCount val="113"/>
                <c:pt idx="0">
                  <c:v>22.09</c:v>
                </c:pt>
                <c:pt idx="1">
                  <c:v>19.72</c:v>
                </c:pt>
                <c:pt idx="2">
                  <c:v>48.88</c:v>
                </c:pt>
                <c:pt idx="3">
                  <c:v>10.14</c:v>
                </c:pt>
                <c:pt idx="4">
                  <c:v>30.99</c:v>
                </c:pt>
                <c:pt idx="5">
                  <c:v>6.6199999999999966</c:v>
                </c:pt>
                <c:pt idx="6">
                  <c:v>34.690000000000012</c:v>
                </c:pt>
                <c:pt idx="7">
                  <c:v>16.38</c:v>
                </c:pt>
                <c:pt idx="8">
                  <c:v>12.81</c:v>
                </c:pt>
                <c:pt idx="9">
                  <c:v>36.700000000000003</c:v>
                </c:pt>
                <c:pt idx="10">
                  <c:v>7.22</c:v>
                </c:pt>
                <c:pt idx="11">
                  <c:v>19.479999999999986</c:v>
                </c:pt>
                <c:pt idx="12">
                  <c:v>25.419999999999987</c:v>
                </c:pt>
                <c:pt idx="13">
                  <c:v>16.02</c:v>
                </c:pt>
                <c:pt idx="14">
                  <c:v>32.08</c:v>
                </c:pt>
                <c:pt idx="15">
                  <c:v>11.94</c:v>
                </c:pt>
                <c:pt idx="16">
                  <c:v>27.37</c:v>
                </c:pt>
                <c:pt idx="17">
                  <c:v>33.21</c:v>
                </c:pt>
                <c:pt idx="18">
                  <c:v>20.45</c:v>
                </c:pt>
                <c:pt idx="19">
                  <c:v>5.3199999999999985</c:v>
                </c:pt>
                <c:pt idx="20">
                  <c:v>13.360000000000014</c:v>
                </c:pt>
                <c:pt idx="21">
                  <c:v>30.259999999999987</c:v>
                </c:pt>
                <c:pt idx="22">
                  <c:v>6.64</c:v>
                </c:pt>
                <c:pt idx="23">
                  <c:v>12.370000000000006</c:v>
                </c:pt>
                <c:pt idx="24">
                  <c:v>25.36</c:v>
                </c:pt>
                <c:pt idx="25">
                  <c:v>9.1</c:v>
                </c:pt>
                <c:pt idx="26">
                  <c:v>9.1300000000000008</c:v>
                </c:pt>
                <c:pt idx="27">
                  <c:v>3.63</c:v>
                </c:pt>
                <c:pt idx="28">
                  <c:v>8.93</c:v>
                </c:pt>
                <c:pt idx="29">
                  <c:v>15.3</c:v>
                </c:pt>
                <c:pt idx="30">
                  <c:v>4.4800000000000004</c:v>
                </c:pt>
                <c:pt idx="31">
                  <c:v>10.15</c:v>
                </c:pt>
                <c:pt idx="32">
                  <c:v>12.58</c:v>
                </c:pt>
                <c:pt idx="33">
                  <c:v>20.49</c:v>
                </c:pt>
                <c:pt idx="34">
                  <c:v>12.23</c:v>
                </c:pt>
                <c:pt idx="35">
                  <c:v>15.89</c:v>
                </c:pt>
                <c:pt idx="36">
                  <c:v>16</c:v>
                </c:pt>
                <c:pt idx="37">
                  <c:v>7.59</c:v>
                </c:pt>
                <c:pt idx="38">
                  <c:v>35.200000000000003</c:v>
                </c:pt>
                <c:pt idx="39">
                  <c:v>16.72</c:v>
                </c:pt>
                <c:pt idx="40">
                  <c:v>12.93</c:v>
                </c:pt>
                <c:pt idx="41">
                  <c:v>14.75</c:v>
                </c:pt>
                <c:pt idx="42">
                  <c:v>29.19</c:v>
                </c:pt>
                <c:pt idx="43">
                  <c:v>21.97</c:v>
                </c:pt>
                <c:pt idx="44">
                  <c:v>9.61</c:v>
                </c:pt>
                <c:pt idx="45">
                  <c:v>15.08</c:v>
                </c:pt>
                <c:pt idx="46">
                  <c:v>12.28</c:v>
                </c:pt>
                <c:pt idx="47">
                  <c:v>14.46</c:v>
                </c:pt>
                <c:pt idx="48">
                  <c:v>15.79</c:v>
                </c:pt>
                <c:pt idx="49">
                  <c:v>10.5</c:v>
                </c:pt>
                <c:pt idx="50">
                  <c:v>4.8499999999999996</c:v>
                </c:pt>
                <c:pt idx="51">
                  <c:v>10.9</c:v>
                </c:pt>
                <c:pt idx="52">
                  <c:v>12.09</c:v>
                </c:pt>
                <c:pt idx="53">
                  <c:v>32.200000000000003</c:v>
                </c:pt>
                <c:pt idx="54">
                  <c:v>8.99</c:v>
                </c:pt>
                <c:pt idx="55">
                  <c:v>6.02</c:v>
                </c:pt>
                <c:pt idx="56">
                  <c:v>14.77</c:v>
                </c:pt>
                <c:pt idx="57">
                  <c:v>2.7</c:v>
                </c:pt>
                <c:pt idx="58">
                  <c:v>10.1</c:v>
                </c:pt>
                <c:pt idx="59">
                  <c:v>30.58</c:v>
                </c:pt>
                <c:pt idx="60">
                  <c:v>8.3000000000000007</c:v>
                </c:pt>
                <c:pt idx="61">
                  <c:v>8.01</c:v>
                </c:pt>
                <c:pt idx="62">
                  <c:v>10.93</c:v>
                </c:pt>
                <c:pt idx="63">
                  <c:v>11.18</c:v>
                </c:pt>
                <c:pt idx="64">
                  <c:v>8.9600000000000026</c:v>
                </c:pt>
                <c:pt idx="65">
                  <c:v>12.53</c:v>
                </c:pt>
                <c:pt idx="66">
                  <c:v>16.170000000000005</c:v>
                </c:pt>
                <c:pt idx="67">
                  <c:v>18.25</c:v>
                </c:pt>
                <c:pt idx="68">
                  <c:v>13.21</c:v>
                </c:pt>
                <c:pt idx="69">
                  <c:v>3.48</c:v>
                </c:pt>
                <c:pt idx="70">
                  <c:v>19.939999999999987</c:v>
                </c:pt>
                <c:pt idx="71">
                  <c:v>6.99</c:v>
                </c:pt>
                <c:pt idx="72">
                  <c:v>7.76</c:v>
                </c:pt>
                <c:pt idx="73">
                  <c:v>23.34</c:v>
                </c:pt>
                <c:pt idx="74">
                  <c:v>15.09</c:v>
                </c:pt>
                <c:pt idx="75">
                  <c:v>25.97</c:v>
                </c:pt>
                <c:pt idx="76">
                  <c:v>9.08</c:v>
                </c:pt>
                <c:pt idx="77">
                  <c:v>4.68</c:v>
                </c:pt>
                <c:pt idx="78">
                  <c:v>8.2000000000000011</c:v>
                </c:pt>
                <c:pt idx="79">
                  <c:v>11.38</c:v>
                </c:pt>
                <c:pt idx="80">
                  <c:v>8.6300000000000008</c:v>
                </c:pt>
                <c:pt idx="81">
                  <c:v>27.759999999999987</c:v>
                </c:pt>
                <c:pt idx="82">
                  <c:v>20.18</c:v>
                </c:pt>
                <c:pt idx="83">
                  <c:v>13.69</c:v>
                </c:pt>
                <c:pt idx="84">
                  <c:v>14.25</c:v>
                </c:pt>
                <c:pt idx="85">
                  <c:v>27.77</c:v>
                </c:pt>
                <c:pt idx="86">
                  <c:v>56.190000000000012</c:v>
                </c:pt>
                <c:pt idx="87">
                  <c:v>7.64</c:v>
                </c:pt>
                <c:pt idx="88">
                  <c:v>31.830000000000005</c:v>
                </c:pt>
                <c:pt idx="89">
                  <c:v>15.84</c:v>
                </c:pt>
                <c:pt idx="90">
                  <c:v>28.07</c:v>
                </c:pt>
                <c:pt idx="91">
                  <c:v>10.99</c:v>
                </c:pt>
                <c:pt idx="92">
                  <c:v>9.34</c:v>
                </c:pt>
                <c:pt idx="93">
                  <c:v>23.29</c:v>
                </c:pt>
                <c:pt idx="94">
                  <c:v>35.58</c:v>
                </c:pt>
                <c:pt idx="95">
                  <c:v>11.28</c:v>
                </c:pt>
                <c:pt idx="96">
                  <c:v>9.52</c:v>
                </c:pt>
                <c:pt idx="97">
                  <c:v>22.1</c:v>
                </c:pt>
                <c:pt idx="98">
                  <c:v>25.52</c:v>
                </c:pt>
                <c:pt idx="99">
                  <c:v>37.300000000000004</c:v>
                </c:pt>
                <c:pt idx="100">
                  <c:v>26.6</c:v>
                </c:pt>
                <c:pt idx="101">
                  <c:v>10.050000000000002</c:v>
                </c:pt>
                <c:pt idx="102">
                  <c:v>8.82</c:v>
                </c:pt>
                <c:pt idx="103">
                  <c:v>15.25</c:v>
                </c:pt>
                <c:pt idx="104">
                  <c:v>15.77</c:v>
                </c:pt>
                <c:pt idx="105">
                  <c:v>11.92</c:v>
                </c:pt>
                <c:pt idx="106">
                  <c:v>38.050000000000004</c:v>
                </c:pt>
                <c:pt idx="107">
                  <c:v>13.69</c:v>
                </c:pt>
                <c:pt idx="108">
                  <c:v>4.88</c:v>
                </c:pt>
                <c:pt idx="109">
                  <c:v>22.939999999999987</c:v>
                </c:pt>
                <c:pt idx="110">
                  <c:v>26.62</c:v>
                </c:pt>
                <c:pt idx="111">
                  <c:v>5.29</c:v>
                </c:pt>
                <c:pt idx="112">
                  <c:v>27.71</c:v>
                </c:pt>
              </c:numCache>
            </c:numRef>
          </c:xVal>
          <c:yVal>
            <c:numRef>
              <c:f>Folha1!$B$370:$B$482</c:f>
              <c:numCache>
                <c:formatCode>General</c:formatCode>
                <c:ptCount val="113"/>
                <c:pt idx="0">
                  <c:v>13.52</c:v>
                </c:pt>
                <c:pt idx="1">
                  <c:v>10.7</c:v>
                </c:pt>
                <c:pt idx="2">
                  <c:v>25.89</c:v>
                </c:pt>
                <c:pt idx="3">
                  <c:v>11.84</c:v>
                </c:pt>
                <c:pt idx="4">
                  <c:v>16.77</c:v>
                </c:pt>
                <c:pt idx="5">
                  <c:v>2.86</c:v>
                </c:pt>
                <c:pt idx="6">
                  <c:v>16.100000000000001</c:v>
                </c:pt>
                <c:pt idx="7">
                  <c:v>12.02</c:v>
                </c:pt>
                <c:pt idx="8">
                  <c:v>15.370000000000006</c:v>
                </c:pt>
                <c:pt idx="9">
                  <c:v>12.98</c:v>
                </c:pt>
                <c:pt idx="10">
                  <c:v>3.38</c:v>
                </c:pt>
                <c:pt idx="11">
                  <c:v>12.03</c:v>
                </c:pt>
                <c:pt idx="12">
                  <c:v>8.27</c:v>
                </c:pt>
                <c:pt idx="13">
                  <c:v>5.28</c:v>
                </c:pt>
                <c:pt idx="14">
                  <c:v>15.89</c:v>
                </c:pt>
                <c:pt idx="15">
                  <c:v>8.17</c:v>
                </c:pt>
                <c:pt idx="16">
                  <c:v>9.18</c:v>
                </c:pt>
                <c:pt idx="17">
                  <c:v>12.31</c:v>
                </c:pt>
                <c:pt idx="18">
                  <c:v>6.05</c:v>
                </c:pt>
                <c:pt idx="19">
                  <c:v>2.69</c:v>
                </c:pt>
                <c:pt idx="20">
                  <c:v>9.11</c:v>
                </c:pt>
                <c:pt idx="21">
                  <c:v>19.23</c:v>
                </c:pt>
                <c:pt idx="22">
                  <c:v>3.23</c:v>
                </c:pt>
                <c:pt idx="23">
                  <c:v>7.07</c:v>
                </c:pt>
                <c:pt idx="24">
                  <c:v>11.73</c:v>
                </c:pt>
                <c:pt idx="25">
                  <c:v>2.12</c:v>
                </c:pt>
                <c:pt idx="26">
                  <c:v>5.6</c:v>
                </c:pt>
                <c:pt idx="27">
                  <c:v>2.44</c:v>
                </c:pt>
                <c:pt idx="28">
                  <c:v>2.5299999999999998</c:v>
                </c:pt>
                <c:pt idx="29">
                  <c:v>3.96</c:v>
                </c:pt>
                <c:pt idx="30">
                  <c:v>2.46</c:v>
                </c:pt>
                <c:pt idx="31">
                  <c:v>3.1</c:v>
                </c:pt>
                <c:pt idx="32">
                  <c:v>10.34</c:v>
                </c:pt>
                <c:pt idx="33">
                  <c:v>9.0400000000000009</c:v>
                </c:pt>
                <c:pt idx="34">
                  <c:v>6.8199999999999985</c:v>
                </c:pt>
                <c:pt idx="35">
                  <c:v>4.41</c:v>
                </c:pt>
                <c:pt idx="36">
                  <c:v>6.57</c:v>
                </c:pt>
                <c:pt idx="37">
                  <c:v>2.4699999999999998</c:v>
                </c:pt>
                <c:pt idx="38">
                  <c:v>11.950000000000006</c:v>
                </c:pt>
                <c:pt idx="39">
                  <c:v>5.8599999999999985</c:v>
                </c:pt>
                <c:pt idx="40">
                  <c:v>5</c:v>
                </c:pt>
                <c:pt idx="41">
                  <c:v>5.94</c:v>
                </c:pt>
                <c:pt idx="42">
                  <c:v>7.37</c:v>
                </c:pt>
                <c:pt idx="43">
                  <c:v>3.11</c:v>
                </c:pt>
                <c:pt idx="44">
                  <c:v>4.26</c:v>
                </c:pt>
                <c:pt idx="45">
                  <c:v>11.62</c:v>
                </c:pt>
                <c:pt idx="46">
                  <c:v>8.1300000000000008</c:v>
                </c:pt>
                <c:pt idx="47">
                  <c:v>3.79</c:v>
                </c:pt>
                <c:pt idx="48">
                  <c:v>5.4300000000000024</c:v>
                </c:pt>
                <c:pt idx="49">
                  <c:v>4.17</c:v>
                </c:pt>
                <c:pt idx="50">
                  <c:v>2.9499999999999997</c:v>
                </c:pt>
                <c:pt idx="51">
                  <c:v>2.65</c:v>
                </c:pt>
                <c:pt idx="52">
                  <c:v>5.5</c:v>
                </c:pt>
                <c:pt idx="53">
                  <c:v>15.19</c:v>
                </c:pt>
                <c:pt idx="54">
                  <c:v>5.09</c:v>
                </c:pt>
                <c:pt idx="55">
                  <c:v>1.9900000000000018</c:v>
                </c:pt>
                <c:pt idx="56">
                  <c:v>9.83</c:v>
                </c:pt>
                <c:pt idx="57">
                  <c:v>2.19</c:v>
                </c:pt>
                <c:pt idx="58">
                  <c:v>4</c:v>
                </c:pt>
                <c:pt idx="59">
                  <c:v>16.190000000000001</c:v>
                </c:pt>
                <c:pt idx="60">
                  <c:v>3.64</c:v>
                </c:pt>
                <c:pt idx="61">
                  <c:v>5.34</c:v>
                </c:pt>
                <c:pt idx="62">
                  <c:v>3.04</c:v>
                </c:pt>
                <c:pt idx="63">
                  <c:v>3.88</c:v>
                </c:pt>
                <c:pt idx="64">
                  <c:v>3.7</c:v>
                </c:pt>
                <c:pt idx="65">
                  <c:v>4.2300000000000004</c:v>
                </c:pt>
                <c:pt idx="66">
                  <c:v>14.79</c:v>
                </c:pt>
                <c:pt idx="67">
                  <c:v>11.08</c:v>
                </c:pt>
                <c:pt idx="68">
                  <c:v>10.08</c:v>
                </c:pt>
                <c:pt idx="69">
                  <c:v>1.9200000000000017</c:v>
                </c:pt>
                <c:pt idx="70">
                  <c:v>6.18</c:v>
                </c:pt>
                <c:pt idx="71">
                  <c:v>5.1199999999999966</c:v>
                </c:pt>
                <c:pt idx="72">
                  <c:v>2.3199999999999967</c:v>
                </c:pt>
                <c:pt idx="73">
                  <c:v>10.88</c:v>
                </c:pt>
                <c:pt idx="74">
                  <c:v>8.23</c:v>
                </c:pt>
                <c:pt idx="75">
                  <c:v>8.75</c:v>
                </c:pt>
                <c:pt idx="76">
                  <c:v>1.71</c:v>
                </c:pt>
                <c:pt idx="77">
                  <c:v>1.78</c:v>
                </c:pt>
                <c:pt idx="78">
                  <c:v>4.54</c:v>
                </c:pt>
                <c:pt idx="79">
                  <c:v>3.7600000000000002</c:v>
                </c:pt>
                <c:pt idx="80">
                  <c:v>4.1399999999999997</c:v>
                </c:pt>
                <c:pt idx="81">
                  <c:v>10.9</c:v>
                </c:pt>
                <c:pt idx="82">
                  <c:v>5.3199999999999985</c:v>
                </c:pt>
                <c:pt idx="83">
                  <c:v>5.75</c:v>
                </c:pt>
                <c:pt idx="84">
                  <c:v>4.6099999999999985</c:v>
                </c:pt>
                <c:pt idx="85">
                  <c:v>10</c:v>
                </c:pt>
                <c:pt idx="86">
                  <c:v>14.52</c:v>
                </c:pt>
                <c:pt idx="87">
                  <c:v>2.79</c:v>
                </c:pt>
                <c:pt idx="88">
                  <c:v>17.279999999999987</c:v>
                </c:pt>
                <c:pt idx="89">
                  <c:v>6.28</c:v>
                </c:pt>
                <c:pt idx="90">
                  <c:v>8.5300000000000011</c:v>
                </c:pt>
                <c:pt idx="91">
                  <c:v>7.49</c:v>
                </c:pt>
                <c:pt idx="92">
                  <c:v>3.8099999999999987</c:v>
                </c:pt>
                <c:pt idx="93">
                  <c:v>15.72</c:v>
                </c:pt>
                <c:pt idx="94">
                  <c:v>11.11</c:v>
                </c:pt>
                <c:pt idx="95">
                  <c:v>2.68</c:v>
                </c:pt>
                <c:pt idx="96">
                  <c:v>5.1899999999999995</c:v>
                </c:pt>
                <c:pt idx="97">
                  <c:v>11.4</c:v>
                </c:pt>
                <c:pt idx="98">
                  <c:v>18.16</c:v>
                </c:pt>
                <c:pt idx="99">
                  <c:v>14.61</c:v>
                </c:pt>
                <c:pt idx="100">
                  <c:v>13.11</c:v>
                </c:pt>
                <c:pt idx="101">
                  <c:v>3.07</c:v>
                </c:pt>
                <c:pt idx="102">
                  <c:v>3.59</c:v>
                </c:pt>
                <c:pt idx="103">
                  <c:v>7.02</c:v>
                </c:pt>
                <c:pt idx="104">
                  <c:v>5.3</c:v>
                </c:pt>
                <c:pt idx="105">
                  <c:v>6.81</c:v>
                </c:pt>
                <c:pt idx="106">
                  <c:v>19.45</c:v>
                </c:pt>
                <c:pt idx="107">
                  <c:v>5.75</c:v>
                </c:pt>
                <c:pt idx="108">
                  <c:v>2.44</c:v>
                </c:pt>
                <c:pt idx="109">
                  <c:v>10.200000000000001</c:v>
                </c:pt>
                <c:pt idx="110">
                  <c:v>9.65</c:v>
                </c:pt>
                <c:pt idx="111">
                  <c:v>2.88</c:v>
                </c:pt>
                <c:pt idx="112">
                  <c:v>16.68</c:v>
                </c:pt>
              </c:numCache>
            </c:numRef>
          </c:yVal>
        </c:ser>
        <c:ser>
          <c:idx val="1"/>
          <c:order val="1"/>
          <c:tx>
            <c:v>Az</c:v>
          </c:tx>
          <c:spPr>
            <a:ln w="28575">
              <a:noFill/>
            </a:ln>
          </c:spPr>
          <c:trendline>
            <c:trendlineType val="linear"/>
          </c:trendline>
          <c:xVal>
            <c:numRef>
              <c:f>Folha1!$D$370:$D$507</c:f>
              <c:numCache>
                <c:formatCode>General</c:formatCode>
                <c:ptCount val="138"/>
                <c:pt idx="0">
                  <c:v>22.68</c:v>
                </c:pt>
                <c:pt idx="1">
                  <c:v>20.52</c:v>
                </c:pt>
                <c:pt idx="2">
                  <c:v>15.73</c:v>
                </c:pt>
                <c:pt idx="3">
                  <c:v>16.279999999999987</c:v>
                </c:pt>
                <c:pt idx="4">
                  <c:v>16.77</c:v>
                </c:pt>
                <c:pt idx="5">
                  <c:v>8.15</c:v>
                </c:pt>
                <c:pt idx="6">
                  <c:v>22.24</c:v>
                </c:pt>
                <c:pt idx="7">
                  <c:v>14.27</c:v>
                </c:pt>
                <c:pt idx="8">
                  <c:v>21.9</c:v>
                </c:pt>
                <c:pt idx="9">
                  <c:v>21.39</c:v>
                </c:pt>
                <c:pt idx="10">
                  <c:v>8.66</c:v>
                </c:pt>
                <c:pt idx="11">
                  <c:v>7.14</c:v>
                </c:pt>
                <c:pt idx="12">
                  <c:v>21.979999999999986</c:v>
                </c:pt>
                <c:pt idx="13">
                  <c:v>17.7</c:v>
                </c:pt>
                <c:pt idx="14">
                  <c:v>13.61</c:v>
                </c:pt>
                <c:pt idx="15">
                  <c:v>36.93</c:v>
                </c:pt>
                <c:pt idx="16">
                  <c:v>11.77</c:v>
                </c:pt>
                <c:pt idx="17">
                  <c:v>12.450000000000006</c:v>
                </c:pt>
                <c:pt idx="18">
                  <c:v>2.36</c:v>
                </c:pt>
                <c:pt idx="19">
                  <c:v>6.1899999999999995</c:v>
                </c:pt>
                <c:pt idx="20">
                  <c:v>14.2</c:v>
                </c:pt>
                <c:pt idx="21">
                  <c:v>20.73</c:v>
                </c:pt>
                <c:pt idx="22">
                  <c:v>19.38</c:v>
                </c:pt>
                <c:pt idx="23">
                  <c:v>26.29</c:v>
                </c:pt>
                <c:pt idx="24">
                  <c:v>13.4</c:v>
                </c:pt>
                <c:pt idx="25">
                  <c:v>28.939999999999987</c:v>
                </c:pt>
                <c:pt idx="26">
                  <c:v>14.03</c:v>
                </c:pt>
                <c:pt idx="27">
                  <c:v>16.920000000000002</c:v>
                </c:pt>
                <c:pt idx="28">
                  <c:v>37.43</c:v>
                </c:pt>
                <c:pt idx="29">
                  <c:v>13.1</c:v>
                </c:pt>
                <c:pt idx="30">
                  <c:v>16.53</c:v>
                </c:pt>
                <c:pt idx="31">
                  <c:v>20.059999999999999</c:v>
                </c:pt>
                <c:pt idx="32">
                  <c:v>17.27</c:v>
                </c:pt>
                <c:pt idx="33">
                  <c:v>16.54</c:v>
                </c:pt>
                <c:pt idx="34">
                  <c:v>7.85</c:v>
                </c:pt>
                <c:pt idx="35">
                  <c:v>9.32</c:v>
                </c:pt>
                <c:pt idx="36">
                  <c:v>14.79</c:v>
                </c:pt>
                <c:pt idx="37">
                  <c:v>38.31</c:v>
                </c:pt>
                <c:pt idx="38">
                  <c:v>23.1</c:v>
                </c:pt>
                <c:pt idx="39">
                  <c:v>21.279999999999987</c:v>
                </c:pt>
                <c:pt idx="40">
                  <c:v>11.62</c:v>
                </c:pt>
                <c:pt idx="41">
                  <c:v>19.79</c:v>
                </c:pt>
                <c:pt idx="42">
                  <c:v>41.690000000000012</c:v>
                </c:pt>
                <c:pt idx="43">
                  <c:v>22.43</c:v>
                </c:pt>
                <c:pt idx="44">
                  <c:v>16.110000000000028</c:v>
                </c:pt>
                <c:pt idx="45">
                  <c:v>20.39</c:v>
                </c:pt>
                <c:pt idx="46">
                  <c:v>23.419999999999987</c:v>
                </c:pt>
                <c:pt idx="47">
                  <c:v>6.5</c:v>
                </c:pt>
                <c:pt idx="48">
                  <c:v>23.16</c:v>
                </c:pt>
                <c:pt idx="49">
                  <c:v>8.7800000000000011</c:v>
                </c:pt>
                <c:pt idx="50">
                  <c:v>10.38</c:v>
                </c:pt>
                <c:pt idx="51">
                  <c:v>15.06</c:v>
                </c:pt>
                <c:pt idx="52">
                  <c:v>29.43</c:v>
                </c:pt>
                <c:pt idx="53">
                  <c:v>9.5400000000000009</c:v>
                </c:pt>
                <c:pt idx="54">
                  <c:v>8.74</c:v>
                </c:pt>
                <c:pt idx="55">
                  <c:v>37.730000000000011</c:v>
                </c:pt>
                <c:pt idx="56">
                  <c:v>19.690000000000001</c:v>
                </c:pt>
                <c:pt idx="57">
                  <c:v>9.2800000000000011</c:v>
                </c:pt>
                <c:pt idx="58">
                  <c:v>13.52</c:v>
                </c:pt>
                <c:pt idx="59">
                  <c:v>9.9700000000000006</c:v>
                </c:pt>
                <c:pt idx="60">
                  <c:v>8.39</c:v>
                </c:pt>
                <c:pt idx="61">
                  <c:v>15.4</c:v>
                </c:pt>
                <c:pt idx="62">
                  <c:v>22.91</c:v>
                </c:pt>
                <c:pt idx="63">
                  <c:v>9.4</c:v>
                </c:pt>
                <c:pt idx="64">
                  <c:v>4.91</c:v>
                </c:pt>
                <c:pt idx="65">
                  <c:v>23.41</c:v>
                </c:pt>
                <c:pt idx="66">
                  <c:v>21.84</c:v>
                </c:pt>
                <c:pt idx="67">
                  <c:v>22.3</c:v>
                </c:pt>
                <c:pt idx="68">
                  <c:v>23.9</c:v>
                </c:pt>
                <c:pt idx="69">
                  <c:v>11.64</c:v>
                </c:pt>
                <c:pt idx="70">
                  <c:v>12.9</c:v>
                </c:pt>
                <c:pt idx="71">
                  <c:v>20.12</c:v>
                </c:pt>
                <c:pt idx="72">
                  <c:v>12.8</c:v>
                </c:pt>
                <c:pt idx="73">
                  <c:v>14.09</c:v>
                </c:pt>
                <c:pt idx="74">
                  <c:v>23.56</c:v>
                </c:pt>
                <c:pt idx="75">
                  <c:v>13.74</c:v>
                </c:pt>
                <c:pt idx="76">
                  <c:v>11.4</c:v>
                </c:pt>
                <c:pt idx="77">
                  <c:v>27.979999999999986</c:v>
                </c:pt>
                <c:pt idx="78">
                  <c:v>12.04</c:v>
                </c:pt>
                <c:pt idx="79">
                  <c:v>12.46</c:v>
                </c:pt>
                <c:pt idx="80">
                  <c:v>26.479999999999986</c:v>
                </c:pt>
                <c:pt idx="81">
                  <c:v>33.43</c:v>
                </c:pt>
                <c:pt idx="82">
                  <c:v>12.41</c:v>
                </c:pt>
                <c:pt idx="83">
                  <c:v>20.830000000000005</c:v>
                </c:pt>
                <c:pt idx="84">
                  <c:v>7.57</c:v>
                </c:pt>
                <c:pt idx="85">
                  <c:v>7.88</c:v>
                </c:pt>
                <c:pt idx="86">
                  <c:v>16.23</c:v>
                </c:pt>
                <c:pt idx="87">
                  <c:v>12.28</c:v>
                </c:pt>
                <c:pt idx="88">
                  <c:v>15.82</c:v>
                </c:pt>
                <c:pt idx="89">
                  <c:v>13.6</c:v>
                </c:pt>
                <c:pt idx="90">
                  <c:v>16.100000000000001</c:v>
                </c:pt>
                <c:pt idx="91">
                  <c:v>14.78</c:v>
                </c:pt>
                <c:pt idx="92">
                  <c:v>17.059999999999999</c:v>
                </c:pt>
                <c:pt idx="93">
                  <c:v>9.31</c:v>
                </c:pt>
                <c:pt idx="94">
                  <c:v>3.9299999999999997</c:v>
                </c:pt>
                <c:pt idx="95">
                  <c:v>25.259999999999987</c:v>
                </c:pt>
                <c:pt idx="96">
                  <c:v>3.66</c:v>
                </c:pt>
                <c:pt idx="97">
                  <c:v>13.450000000000006</c:v>
                </c:pt>
                <c:pt idx="98">
                  <c:v>28.9</c:v>
                </c:pt>
                <c:pt idx="99">
                  <c:v>18.510000000000005</c:v>
                </c:pt>
                <c:pt idx="100">
                  <c:v>18.87</c:v>
                </c:pt>
                <c:pt idx="101">
                  <c:v>18.97</c:v>
                </c:pt>
                <c:pt idx="102">
                  <c:v>2.75</c:v>
                </c:pt>
                <c:pt idx="103">
                  <c:v>7.81</c:v>
                </c:pt>
                <c:pt idx="104">
                  <c:v>12.68</c:v>
                </c:pt>
                <c:pt idx="105">
                  <c:v>15.79</c:v>
                </c:pt>
                <c:pt idx="106">
                  <c:v>28.479999999999986</c:v>
                </c:pt>
                <c:pt idx="107">
                  <c:v>11.26</c:v>
                </c:pt>
                <c:pt idx="108">
                  <c:v>12.05</c:v>
                </c:pt>
                <c:pt idx="109">
                  <c:v>13.24</c:v>
                </c:pt>
                <c:pt idx="110">
                  <c:v>10.75</c:v>
                </c:pt>
                <c:pt idx="111">
                  <c:v>7.48</c:v>
                </c:pt>
                <c:pt idx="112">
                  <c:v>9.41</c:v>
                </c:pt>
                <c:pt idx="113">
                  <c:v>9.5500000000000007</c:v>
                </c:pt>
                <c:pt idx="114">
                  <c:v>17.04</c:v>
                </c:pt>
                <c:pt idx="115">
                  <c:v>9.14</c:v>
                </c:pt>
                <c:pt idx="116">
                  <c:v>18.959999999999987</c:v>
                </c:pt>
                <c:pt idx="117">
                  <c:v>38.14</c:v>
                </c:pt>
                <c:pt idx="118">
                  <c:v>15.49</c:v>
                </c:pt>
                <c:pt idx="119">
                  <c:v>17.850000000000001</c:v>
                </c:pt>
                <c:pt idx="120">
                  <c:v>14.34</c:v>
                </c:pt>
                <c:pt idx="121">
                  <c:v>19.779999999999987</c:v>
                </c:pt>
                <c:pt idx="122">
                  <c:v>13.31</c:v>
                </c:pt>
                <c:pt idx="123">
                  <c:v>12.41</c:v>
                </c:pt>
                <c:pt idx="124">
                  <c:v>13.51</c:v>
                </c:pt>
                <c:pt idx="125">
                  <c:v>11.63</c:v>
                </c:pt>
                <c:pt idx="126">
                  <c:v>20.91</c:v>
                </c:pt>
                <c:pt idx="127">
                  <c:v>13.26</c:v>
                </c:pt>
                <c:pt idx="128">
                  <c:v>5.75</c:v>
                </c:pt>
                <c:pt idx="129">
                  <c:v>18.149999999999999</c:v>
                </c:pt>
                <c:pt idx="130">
                  <c:v>4.95</c:v>
                </c:pt>
                <c:pt idx="131">
                  <c:v>20.25</c:v>
                </c:pt>
                <c:pt idx="132">
                  <c:v>11.73</c:v>
                </c:pt>
                <c:pt idx="133">
                  <c:v>7.18</c:v>
                </c:pt>
                <c:pt idx="134">
                  <c:v>8.68</c:v>
                </c:pt>
                <c:pt idx="135">
                  <c:v>13.05</c:v>
                </c:pt>
                <c:pt idx="136">
                  <c:v>20.23</c:v>
                </c:pt>
                <c:pt idx="137">
                  <c:v>10.44</c:v>
                </c:pt>
              </c:numCache>
            </c:numRef>
          </c:xVal>
          <c:yVal>
            <c:numRef>
              <c:f>Folha1!$E$370:$E$507</c:f>
              <c:numCache>
                <c:formatCode>General</c:formatCode>
                <c:ptCount val="138"/>
                <c:pt idx="0">
                  <c:v>11.22</c:v>
                </c:pt>
                <c:pt idx="1">
                  <c:v>9.16</c:v>
                </c:pt>
                <c:pt idx="2">
                  <c:v>7.46</c:v>
                </c:pt>
                <c:pt idx="3">
                  <c:v>6.1199999999999966</c:v>
                </c:pt>
                <c:pt idx="4">
                  <c:v>5.4300000000000024</c:v>
                </c:pt>
                <c:pt idx="5">
                  <c:v>6.06</c:v>
                </c:pt>
                <c:pt idx="6">
                  <c:v>7.3199999999999985</c:v>
                </c:pt>
                <c:pt idx="7">
                  <c:v>7.02</c:v>
                </c:pt>
                <c:pt idx="8">
                  <c:v>5.92</c:v>
                </c:pt>
                <c:pt idx="9">
                  <c:v>9.3800000000000008</c:v>
                </c:pt>
                <c:pt idx="10">
                  <c:v>4.63</c:v>
                </c:pt>
                <c:pt idx="11">
                  <c:v>2.1800000000000002</c:v>
                </c:pt>
                <c:pt idx="12">
                  <c:v>9.91</c:v>
                </c:pt>
                <c:pt idx="13">
                  <c:v>3.38</c:v>
                </c:pt>
                <c:pt idx="14">
                  <c:v>3.59</c:v>
                </c:pt>
                <c:pt idx="15">
                  <c:v>21.82</c:v>
                </c:pt>
                <c:pt idx="16">
                  <c:v>6.46</c:v>
                </c:pt>
                <c:pt idx="17">
                  <c:v>7.22</c:v>
                </c:pt>
                <c:pt idx="18">
                  <c:v>2.2799999999999998</c:v>
                </c:pt>
                <c:pt idx="19">
                  <c:v>3.4299999999999997</c:v>
                </c:pt>
                <c:pt idx="20">
                  <c:v>6.68</c:v>
                </c:pt>
                <c:pt idx="21">
                  <c:v>9.42</c:v>
                </c:pt>
                <c:pt idx="22">
                  <c:v>8.23</c:v>
                </c:pt>
                <c:pt idx="23">
                  <c:v>9.26</c:v>
                </c:pt>
                <c:pt idx="24">
                  <c:v>6.13</c:v>
                </c:pt>
                <c:pt idx="25">
                  <c:v>18.36</c:v>
                </c:pt>
                <c:pt idx="26">
                  <c:v>7.22</c:v>
                </c:pt>
                <c:pt idx="27">
                  <c:v>9.3000000000000007</c:v>
                </c:pt>
                <c:pt idx="28">
                  <c:v>12.4</c:v>
                </c:pt>
                <c:pt idx="29">
                  <c:v>10.850000000000014</c:v>
                </c:pt>
                <c:pt idx="30">
                  <c:v>12.64</c:v>
                </c:pt>
                <c:pt idx="31">
                  <c:v>4.38</c:v>
                </c:pt>
                <c:pt idx="32">
                  <c:v>6.1099999999999985</c:v>
                </c:pt>
                <c:pt idx="33">
                  <c:v>10.61</c:v>
                </c:pt>
                <c:pt idx="34">
                  <c:v>6.46</c:v>
                </c:pt>
                <c:pt idx="35">
                  <c:v>4.0999999999999996</c:v>
                </c:pt>
                <c:pt idx="36">
                  <c:v>8.31</c:v>
                </c:pt>
                <c:pt idx="37">
                  <c:v>16.899999999999999</c:v>
                </c:pt>
                <c:pt idx="38">
                  <c:v>11.870000000000006</c:v>
                </c:pt>
                <c:pt idx="39">
                  <c:v>9.6300000000000008</c:v>
                </c:pt>
                <c:pt idx="40">
                  <c:v>10.28</c:v>
                </c:pt>
                <c:pt idx="41">
                  <c:v>4.72</c:v>
                </c:pt>
                <c:pt idx="42">
                  <c:v>10.64</c:v>
                </c:pt>
                <c:pt idx="43">
                  <c:v>7.6199999999999966</c:v>
                </c:pt>
                <c:pt idx="44">
                  <c:v>6.95</c:v>
                </c:pt>
                <c:pt idx="45">
                  <c:v>7.6499999999999995</c:v>
                </c:pt>
                <c:pt idx="46">
                  <c:v>8.6</c:v>
                </c:pt>
                <c:pt idx="47">
                  <c:v>2.2400000000000002</c:v>
                </c:pt>
                <c:pt idx="48">
                  <c:v>10.4</c:v>
                </c:pt>
                <c:pt idx="49">
                  <c:v>2.94</c:v>
                </c:pt>
                <c:pt idx="50">
                  <c:v>2.3699999999999997</c:v>
                </c:pt>
                <c:pt idx="51">
                  <c:v>5.7700000000000014</c:v>
                </c:pt>
                <c:pt idx="52">
                  <c:v>10.75</c:v>
                </c:pt>
                <c:pt idx="53">
                  <c:v>3.32</c:v>
                </c:pt>
                <c:pt idx="54">
                  <c:v>4.2300000000000004</c:v>
                </c:pt>
                <c:pt idx="55">
                  <c:v>14.26</c:v>
                </c:pt>
                <c:pt idx="56">
                  <c:v>10.23</c:v>
                </c:pt>
                <c:pt idx="57">
                  <c:v>4.4800000000000004</c:v>
                </c:pt>
                <c:pt idx="58">
                  <c:v>9.18</c:v>
                </c:pt>
                <c:pt idx="59">
                  <c:v>8.74</c:v>
                </c:pt>
                <c:pt idx="60">
                  <c:v>7.38</c:v>
                </c:pt>
                <c:pt idx="61">
                  <c:v>11.56</c:v>
                </c:pt>
                <c:pt idx="62">
                  <c:v>9.4500000000000028</c:v>
                </c:pt>
                <c:pt idx="63">
                  <c:v>4.59</c:v>
                </c:pt>
                <c:pt idx="64">
                  <c:v>4.55</c:v>
                </c:pt>
                <c:pt idx="65">
                  <c:v>8.9</c:v>
                </c:pt>
                <c:pt idx="66">
                  <c:v>7.26</c:v>
                </c:pt>
                <c:pt idx="67">
                  <c:v>11.88</c:v>
                </c:pt>
                <c:pt idx="68">
                  <c:v>11.850000000000014</c:v>
                </c:pt>
                <c:pt idx="69">
                  <c:v>6.54</c:v>
                </c:pt>
                <c:pt idx="70">
                  <c:v>3.46</c:v>
                </c:pt>
                <c:pt idx="71">
                  <c:v>10.43</c:v>
                </c:pt>
                <c:pt idx="72">
                  <c:v>7.52</c:v>
                </c:pt>
                <c:pt idx="73">
                  <c:v>6.1199999999999966</c:v>
                </c:pt>
                <c:pt idx="74">
                  <c:v>7.04</c:v>
                </c:pt>
                <c:pt idx="75">
                  <c:v>7.6</c:v>
                </c:pt>
                <c:pt idx="76">
                  <c:v>4.45</c:v>
                </c:pt>
                <c:pt idx="77">
                  <c:v>11.14</c:v>
                </c:pt>
                <c:pt idx="78">
                  <c:v>10.350000000000014</c:v>
                </c:pt>
                <c:pt idx="79">
                  <c:v>5.55</c:v>
                </c:pt>
                <c:pt idx="80">
                  <c:v>18.97</c:v>
                </c:pt>
                <c:pt idx="81">
                  <c:v>11.67</c:v>
                </c:pt>
                <c:pt idx="82">
                  <c:v>6.3199999999999985</c:v>
                </c:pt>
                <c:pt idx="83">
                  <c:v>5.44</c:v>
                </c:pt>
                <c:pt idx="84">
                  <c:v>3.84</c:v>
                </c:pt>
                <c:pt idx="85">
                  <c:v>9.15</c:v>
                </c:pt>
                <c:pt idx="86">
                  <c:v>3.8499999999999988</c:v>
                </c:pt>
                <c:pt idx="87">
                  <c:v>4.21</c:v>
                </c:pt>
                <c:pt idx="88">
                  <c:v>8.1</c:v>
                </c:pt>
                <c:pt idx="89">
                  <c:v>6.1599999999999975</c:v>
                </c:pt>
                <c:pt idx="90">
                  <c:v>8.2200000000000024</c:v>
                </c:pt>
                <c:pt idx="91">
                  <c:v>7.04</c:v>
                </c:pt>
                <c:pt idx="92">
                  <c:v>9.6300000000000008</c:v>
                </c:pt>
                <c:pt idx="93">
                  <c:v>3.12</c:v>
                </c:pt>
                <c:pt idx="94">
                  <c:v>2.06</c:v>
                </c:pt>
                <c:pt idx="95">
                  <c:v>12.850000000000014</c:v>
                </c:pt>
                <c:pt idx="96">
                  <c:v>2.1</c:v>
                </c:pt>
                <c:pt idx="97">
                  <c:v>7.14</c:v>
                </c:pt>
                <c:pt idx="98">
                  <c:v>13.64</c:v>
                </c:pt>
                <c:pt idx="99">
                  <c:v>4.8599999999999985</c:v>
                </c:pt>
                <c:pt idx="100">
                  <c:v>7.75</c:v>
                </c:pt>
                <c:pt idx="101">
                  <c:v>6.3599999999999985</c:v>
                </c:pt>
                <c:pt idx="102">
                  <c:v>2.0499999999999998</c:v>
                </c:pt>
                <c:pt idx="103">
                  <c:v>4.4300000000000024</c:v>
                </c:pt>
                <c:pt idx="104">
                  <c:v>8.89</c:v>
                </c:pt>
                <c:pt idx="105">
                  <c:v>7.72</c:v>
                </c:pt>
                <c:pt idx="106">
                  <c:v>26.84</c:v>
                </c:pt>
                <c:pt idx="107">
                  <c:v>4.7699999999999996</c:v>
                </c:pt>
                <c:pt idx="108">
                  <c:v>4.2699999999999996</c:v>
                </c:pt>
                <c:pt idx="109">
                  <c:v>9.3600000000000048</c:v>
                </c:pt>
                <c:pt idx="110">
                  <c:v>6.6099999999999985</c:v>
                </c:pt>
                <c:pt idx="111">
                  <c:v>7.5</c:v>
                </c:pt>
                <c:pt idx="112">
                  <c:v>2.3099999999999987</c:v>
                </c:pt>
                <c:pt idx="113">
                  <c:v>2.4499999999999997</c:v>
                </c:pt>
                <c:pt idx="114">
                  <c:v>6.72</c:v>
                </c:pt>
                <c:pt idx="115">
                  <c:v>3</c:v>
                </c:pt>
                <c:pt idx="116">
                  <c:v>11.59</c:v>
                </c:pt>
                <c:pt idx="117">
                  <c:v>9.0400000000000009</c:v>
                </c:pt>
                <c:pt idx="118">
                  <c:v>8.68</c:v>
                </c:pt>
                <c:pt idx="119">
                  <c:v>9.34</c:v>
                </c:pt>
                <c:pt idx="120">
                  <c:v>6.22</c:v>
                </c:pt>
                <c:pt idx="121">
                  <c:v>10.08</c:v>
                </c:pt>
                <c:pt idx="122">
                  <c:v>2.9299999999999997</c:v>
                </c:pt>
                <c:pt idx="123">
                  <c:v>3.8899999999999997</c:v>
                </c:pt>
                <c:pt idx="124">
                  <c:v>3.34</c:v>
                </c:pt>
                <c:pt idx="125">
                  <c:v>8.73</c:v>
                </c:pt>
                <c:pt idx="126">
                  <c:v>6.58</c:v>
                </c:pt>
                <c:pt idx="127">
                  <c:v>5</c:v>
                </c:pt>
                <c:pt idx="128">
                  <c:v>5.14</c:v>
                </c:pt>
                <c:pt idx="129">
                  <c:v>5.1099999999999985</c:v>
                </c:pt>
                <c:pt idx="130">
                  <c:v>3.65</c:v>
                </c:pt>
                <c:pt idx="131">
                  <c:v>6.6</c:v>
                </c:pt>
                <c:pt idx="132">
                  <c:v>3.56</c:v>
                </c:pt>
                <c:pt idx="133">
                  <c:v>9.08</c:v>
                </c:pt>
                <c:pt idx="134">
                  <c:v>4.29</c:v>
                </c:pt>
                <c:pt idx="135">
                  <c:v>4.5999999999999996</c:v>
                </c:pt>
                <c:pt idx="136">
                  <c:v>6.8599999999999985</c:v>
                </c:pt>
                <c:pt idx="137">
                  <c:v>4.5</c:v>
                </c:pt>
              </c:numCache>
            </c:numRef>
          </c:yVal>
        </c:ser>
        <c:ser>
          <c:idx val="2"/>
          <c:order val="2"/>
          <c:tx>
            <c:v>TPM</c:v>
          </c:tx>
          <c:spPr>
            <a:ln w="28575">
              <a:noFill/>
            </a:ln>
          </c:spPr>
          <c:trendline>
            <c:trendlineType val="linear"/>
          </c:trendline>
          <c:xVal>
            <c:numRef>
              <c:f>Folha1!$G$370:$G$655</c:f>
              <c:numCache>
                <c:formatCode>General</c:formatCode>
                <c:ptCount val="286"/>
                <c:pt idx="0">
                  <c:v>5.21</c:v>
                </c:pt>
                <c:pt idx="1">
                  <c:v>24.87</c:v>
                </c:pt>
                <c:pt idx="2">
                  <c:v>35.58</c:v>
                </c:pt>
                <c:pt idx="3">
                  <c:v>35.97</c:v>
                </c:pt>
                <c:pt idx="4">
                  <c:v>34.760000000000012</c:v>
                </c:pt>
                <c:pt idx="5">
                  <c:v>17.479999999999986</c:v>
                </c:pt>
                <c:pt idx="6">
                  <c:v>30.03</c:v>
                </c:pt>
                <c:pt idx="7">
                  <c:v>10.31</c:v>
                </c:pt>
                <c:pt idx="8">
                  <c:v>10.46</c:v>
                </c:pt>
                <c:pt idx="9">
                  <c:v>17.72</c:v>
                </c:pt>
                <c:pt idx="10">
                  <c:v>28.67</c:v>
                </c:pt>
                <c:pt idx="11">
                  <c:v>26.650000000000027</c:v>
                </c:pt>
                <c:pt idx="12">
                  <c:v>24.97</c:v>
                </c:pt>
                <c:pt idx="13">
                  <c:v>27.57</c:v>
                </c:pt>
                <c:pt idx="14">
                  <c:v>23.39</c:v>
                </c:pt>
                <c:pt idx="15">
                  <c:v>22.84</c:v>
                </c:pt>
                <c:pt idx="16">
                  <c:v>31.05</c:v>
                </c:pt>
                <c:pt idx="17">
                  <c:v>26.279999999999987</c:v>
                </c:pt>
                <c:pt idx="18">
                  <c:v>17.850000000000001</c:v>
                </c:pt>
                <c:pt idx="19">
                  <c:v>17.989999999999963</c:v>
                </c:pt>
                <c:pt idx="20">
                  <c:v>12</c:v>
                </c:pt>
                <c:pt idx="21">
                  <c:v>17.68</c:v>
                </c:pt>
                <c:pt idx="22">
                  <c:v>27.21</c:v>
                </c:pt>
                <c:pt idx="23">
                  <c:v>7.85</c:v>
                </c:pt>
                <c:pt idx="24">
                  <c:v>6.81</c:v>
                </c:pt>
                <c:pt idx="25">
                  <c:v>8.73</c:v>
                </c:pt>
                <c:pt idx="26">
                  <c:v>25.07</c:v>
                </c:pt>
                <c:pt idx="27">
                  <c:v>18.479999999999986</c:v>
                </c:pt>
                <c:pt idx="28">
                  <c:v>23.58</c:v>
                </c:pt>
                <c:pt idx="29">
                  <c:v>20.74</c:v>
                </c:pt>
                <c:pt idx="30">
                  <c:v>21.959999999999987</c:v>
                </c:pt>
                <c:pt idx="31">
                  <c:v>21.419999999999987</c:v>
                </c:pt>
                <c:pt idx="32">
                  <c:v>12.5</c:v>
                </c:pt>
                <c:pt idx="33">
                  <c:v>15.16</c:v>
                </c:pt>
                <c:pt idx="34">
                  <c:v>49.230000000000011</c:v>
                </c:pt>
                <c:pt idx="35">
                  <c:v>32.07</c:v>
                </c:pt>
                <c:pt idx="36">
                  <c:v>36.15</c:v>
                </c:pt>
                <c:pt idx="37">
                  <c:v>18.510000000000005</c:v>
                </c:pt>
                <c:pt idx="38">
                  <c:v>24.22</c:v>
                </c:pt>
                <c:pt idx="39">
                  <c:v>42.11</c:v>
                </c:pt>
                <c:pt idx="40">
                  <c:v>26.72</c:v>
                </c:pt>
                <c:pt idx="41">
                  <c:v>23.259999999999987</c:v>
                </c:pt>
                <c:pt idx="42">
                  <c:v>26.85</c:v>
                </c:pt>
                <c:pt idx="43">
                  <c:v>7.63</c:v>
                </c:pt>
                <c:pt idx="44">
                  <c:v>10.55</c:v>
                </c:pt>
                <c:pt idx="45">
                  <c:v>14.64</c:v>
                </c:pt>
                <c:pt idx="46">
                  <c:v>36.11</c:v>
                </c:pt>
                <c:pt idx="47">
                  <c:v>15.1</c:v>
                </c:pt>
                <c:pt idx="48">
                  <c:v>12.15</c:v>
                </c:pt>
                <c:pt idx="49">
                  <c:v>10.74</c:v>
                </c:pt>
                <c:pt idx="50">
                  <c:v>7.92</c:v>
                </c:pt>
                <c:pt idx="51">
                  <c:v>15.32</c:v>
                </c:pt>
                <c:pt idx="52">
                  <c:v>11.94</c:v>
                </c:pt>
                <c:pt idx="53">
                  <c:v>7.46</c:v>
                </c:pt>
                <c:pt idx="54">
                  <c:v>15.55</c:v>
                </c:pt>
                <c:pt idx="55">
                  <c:v>2.34</c:v>
                </c:pt>
                <c:pt idx="56">
                  <c:v>5.63</c:v>
                </c:pt>
                <c:pt idx="57">
                  <c:v>15.31</c:v>
                </c:pt>
                <c:pt idx="58">
                  <c:v>3.74</c:v>
                </c:pt>
                <c:pt idx="59">
                  <c:v>6.74</c:v>
                </c:pt>
                <c:pt idx="60">
                  <c:v>10.7</c:v>
                </c:pt>
                <c:pt idx="61">
                  <c:v>10.23</c:v>
                </c:pt>
                <c:pt idx="62">
                  <c:v>7.06</c:v>
                </c:pt>
                <c:pt idx="63">
                  <c:v>20.27</c:v>
                </c:pt>
                <c:pt idx="64">
                  <c:v>18.779999999999987</c:v>
                </c:pt>
                <c:pt idx="65">
                  <c:v>21.47</c:v>
                </c:pt>
                <c:pt idx="66">
                  <c:v>8.6300000000000008</c:v>
                </c:pt>
                <c:pt idx="67">
                  <c:v>20.23</c:v>
                </c:pt>
                <c:pt idx="68">
                  <c:v>13.31</c:v>
                </c:pt>
                <c:pt idx="69">
                  <c:v>22.32</c:v>
                </c:pt>
                <c:pt idx="70">
                  <c:v>26.95</c:v>
                </c:pt>
                <c:pt idx="71">
                  <c:v>25.4</c:v>
                </c:pt>
                <c:pt idx="72">
                  <c:v>9.8500000000000068</c:v>
                </c:pt>
                <c:pt idx="73">
                  <c:v>23.39</c:v>
                </c:pt>
                <c:pt idx="74">
                  <c:v>26.16</c:v>
                </c:pt>
                <c:pt idx="75">
                  <c:v>18.079999999999988</c:v>
                </c:pt>
                <c:pt idx="76">
                  <c:v>14.74</c:v>
                </c:pt>
                <c:pt idx="77">
                  <c:v>23.4</c:v>
                </c:pt>
                <c:pt idx="78">
                  <c:v>18.100000000000001</c:v>
                </c:pt>
                <c:pt idx="79">
                  <c:v>13.81</c:v>
                </c:pt>
                <c:pt idx="80">
                  <c:v>11.07</c:v>
                </c:pt>
                <c:pt idx="81">
                  <c:v>11.17</c:v>
                </c:pt>
                <c:pt idx="82">
                  <c:v>7.63</c:v>
                </c:pt>
                <c:pt idx="83">
                  <c:v>18.739999999999988</c:v>
                </c:pt>
                <c:pt idx="84">
                  <c:v>12.55</c:v>
                </c:pt>
                <c:pt idx="85">
                  <c:v>3.24</c:v>
                </c:pt>
                <c:pt idx="86">
                  <c:v>4.72</c:v>
                </c:pt>
                <c:pt idx="87">
                  <c:v>6.1</c:v>
                </c:pt>
                <c:pt idx="88">
                  <c:v>5.6499999999999995</c:v>
                </c:pt>
                <c:pt idx="89">
                  <c:v>11.450000000000006</c:v>
                </c:pt>
                <c:pt idx="90">
                  <c:v>7.72</c:v>
                </c:pt>
                <c:pt idx="91">
                  <c:v>7.44</c:v>
                </c:pt>
                <c:pt idx="92">
                  <c:v>5.44</c:v>
                </c:pt>
                <c:pt idx="93">
                  <c:v>13.82</c:v>
                </c:pt>
                <c:pt idx="94">
                  <c:v>10.950000000000006</c:v>
                </c:pt>
                <c:pt idx="95">
                  <c:v>1.77</c:v>
                </c:pt>
                <c:pt idx="96">
                  <c:v>15.21</c:v>
                </c:pt>
                <c:pt idx="97">
                  <c:v>5.0599999999999996</c:v>
                </c:pt>
                <c:pt idx="98">
                  <c:v>6.3</c:v>
                </c:pt>
                <c:pt idx="99">
                  <c:v>3.56</c:v>
                </c:pt>
                <c:pt idx="100">
                  <c:v>16.95</c:v>
                </c:pt>
                <c:pt idx="101">
                  <c:v>15.71</c:v>
                </c:pt>
                <c:pt idx="102">
                  <c:v>18.510000000000005</c:v>
                </c:pt>
                <c:pt idx="103">
                  <c:v>9.3700000000000028</c:v>
                </c:pt>
                <c:pt idx="104">
                  <c:v>18.27</c:v>
                </c:pt>
                <c:pt idx="105">
                  <c:v>8.15</c:v>
                </c:pt>
                <c:pt idx="106">
                  <c:v>9.93</c:v>
                </c:pt>
                <c:pt idx="107">
                  <c:v>10.89</c:v>
                </c:pt>
                <c:pt idx="108">
                  <c:v>29.150000000000027</c:v>
                </c:pt>
                <c:pt idx="109">
                  <c:v>13.88</c:v>
                </c:pt>
                <c:pt idx="110">
                  <c:v>25.41</c:v>
                </c:pt>
                <c:pt idx="111">
                  <c:v>41.27</c:v>
                </c:pt>
                <c:pt idx="112">
                  <c:v>20.91</c:v>
                </c:pt>
                <c:pt idx="113">
                  <c:v>24.04</c:v>
                </c:pt>
                <c:pt idx="114">
                  <c:v>11.32</c:v>
                </c:pt>
                <c:pt idx="115">
                  <c:v>14.41</c:v>
                </c:pt>
                <c:pt idx="116">
                  <c:v>13.55</c:v>
                </c:pt>
                <c:pt idx="117">
                  <c:v>41.24</c:v>
                </c:pt>
                <c:pt idx="118">
                  <c:v>26</c:v>
                </c:pt>
                <c:pt idx="119">
                  <c:v>12.83</c:v>
                </c:pt>
                <c:pt idx="120">
                  <c:v>13.5</c:v>
                </c:pt>
                <c:pt idx="121">
                  <c:v>20.59</c:v>
                </c:pt>
                <c:pt idx="122">
                  <c:v>25.45</c:v>
                </c:pt>
                <c:pt idx="123">
                  <c:v>22.79</c:v>
                </c:pt>
                <c:pt idx="124">
                  <c:v>7.78</c:v>
                </c:pt>
                <c:pt idx="125">
                  <c:v>20.37</c:v>
                </c:pt>
                <c:pt idx="126">
                  <c:v>11.98</c:v>
                </c:pt>
                <c:pt idx="127">
                  <c:v>5.64</c:v>
                </c:pt>
                <c:pt idx="128">
                  <c:v>7.39</c:v>
                </c:pt>
                <c:pt idx="129">
                  <c:v>7.34</c:v>
                </c:pt>
                <c:pt idx="130">
                  <c:v>12.6</c:v>
                </c:pt>
                <c:pt idx="131">
                  <c:v>9.0300000000000011</c:v>
                </c:pt>
                <c:pt idx="132">
                  <c:v>4.6099999999999985</c:v>
                </c:pt>
                <c:pt idx="133">
                  <c:v>11.4</c:v>
                </c:pt>
                <c:pt idx="134">
                  <c:v>5.95</c:v>
                </c:pt>
                <c:pt idx="135">
                  <c:v>4.4800000000000004</c:v>
                </c:pt>
                <c:pt idx="136">
                  <c:v>3.9</c:v>
                </c:pt>
                <c:pt idx="137">
                  <c:v>8.23</c:v>
                </c:pt>
                <c:pt idx="138">
                  <c:v>11.2</c:v>
                </c:pt>
                <c:pt idx="139">
                  <c:v>9.8700000000000028</c:v>
                </c:pt>
                <c:pt idx="140">
                  <c:v>9.5300000000000011</c:v>
                </c:pt>
                <c:pt idx="141">
                  <c:v>12.4</c:v>
                </c:pt>
                <c:pt idx="142">
                  <c:v>30.16</c:v>
                </c:pt>
                <c:pt idx="143">
                  <c:v>10.870000000000006</c:v>
                </c:pt>
                <c:pt idx="144">
                  <c:v>12.25</c:v>
                </c:pt>
                <c:pt idx="145">
                  <c:v>24.1</c:v>
                </c:pt>
                <c:pt idx="146">
                  <c:v>20.22</c:v>
                </c:pt>
                <c:pt idx="147">
                  <c:v>15.63</c:v>
                </c:pt>
                <c:pt idx="148">
                  <c:v>14.19</c:v>
                </c:pt>
                <c:pt idx="149">
                  <c:v>26.35</c:v>
                </c:pt>
                <c:pt idx="150">
                  <c:v>13.350000000000014</c:v>
                </c:pt>
                <c:pt idx="151">
                  <c:v>47.7</c:v>
                </c:pt>
                <c:pt idx="152">
                  <c:v>7.22</c:v>
                </c:pt>
                <c:pt idx="153">
                  <c:v>14.12</c:v>
                </c:pt>
                <c:pt idx="154">
                  <c:v>26</c:v>
                </c:pt>
                <c:pt idx="155">
                  <c:v>4.1199999999999966</c:v>
                </c:pt>
                <c:pt idx="156">
                  <c:v>27.39</c:v>
                </c:pt>
                <c:pt idx="157">
                  <c:v>56.65</c:v>
                </c:pt>
                <c:pt idx="158">
                  <c:v>34.31</c:v>
                </c:pt>
                <c:pt idx="159">
                  <c:v>22.130000000000027</c:v>
                </c:pt>
                <c:pt idx="160">
                  <c:v>18.190000000000001</c:v>
                </c:pt>
                <c:pt idx="161">
                  <c:v>9.92</c:v>
                </c:pt>
                <c:pt idx="162">
                  <c:v>9.2800000000000011</c:v>
                </c:pt>
                <c:pt idx="163">
                  <c:v>11.32</c:v>
                </c:pt>
                <c:pt idx="164">
                  <c:v>11.5</c:v>
                </c:pt>
                <c:pt idx="165">
                  <c:v>13.42</c:v>
                </c:pt>
                <c:pt idx="166">
                  <c:v>29.32</c:v>
                </c:pt>
                <c:pt idx="167">
                  <c:v>8.7100000000000009</c:v>
                </c:pt>
                <c:pt idx="168">
                  <c:v>11.28</c:v>
                </c:pt>
                <c:pt idx="169">
                  <c:v>15.25</c:v>
                </c:pt>
                <c:pt idx="170">
                  <c:v>11.450000000000006</c:v>
                </c:pt>
                <c:pt idx="171">
                  <c:v>3.8499999999999988</c:v>
                </c:pt>
                <c:pt idx="172">
                  <c:v>9.59</c:v>
                </c:pt>
                <c:pt idx="173">
                  <c:v>11.32</c:v>
                </c:pt>
                <c:pt idx="174">
                  <c:v>18.05</c:v>
                </c:pt>
                <c:pt idx="175">
                  <c:v>39.54</c:v>
                </c:pt>
                <c:pt idx="176">
                  <c:v>16.38</c:v>
                </c:pt>
                <c:pt idx="177">
                  <c:v>36.120000000000012</c:v>
                </c:pt>
                <c:pt idx="178">
                  <c:v>18.899999999999999</c:v>
                </c:pt>
                <c:pt idx="179">
                  <c:v>18.36</c:v>
                </c:pt>
                <c:pt idx="180">
                  <c:v>33.200000000000003</c:v>
                </c:pt>
                <c:pt idx="181">
                  <c:v>26.75</c:v>
                </c:pt>
                <c:pt idx="182">
                  <c:v>31.34</c:v>
                </c:pt>
                <c:pt idx="183">
                  <c:v>30.2</c:v>
                </c:pt>
                <c:pt idx="184">
                  <c:v>8.0400000000000009</c:v>
                </c:pt>
                <c:pt idx="185">
                  <c:v>39.18</c:v>
                </c:pt>
                <c:pt idx="186">
                  <c:v>9.4</c:v>
                </c:pt>
                <c:pt idx="187">
                  <c:v>13.14</c:v>
                </c:pt>
                <c:pt idx="188">
                  <c:v>18.89</c:v>
                </c:pt>
                <c:pt idx="189">
                  <c:v>28.19</c:v>
                </c:pt>
                <c:pt idx="190">
                  <c:v>6.23</c:v>
                </c:pt>
                <c:pt idx="191">
                  <c:v>14.64</c:v>
                </c:pt>
                <c:pt idx="192">
                  <c:v>6.91</c:v>
                </c:pt>
                <c:pt idx="193">
                  <c:v>10.94</c:v>
                </c:pt>
                <c:pt idx="194">
                  <c:v>5.8</c:v>
                </c:pt>
                <c:pt idx="195">
                  <c:v>16.57</c:v>
                </c:pt>
                <c:pt idx="196">
                  <c:v>5.57</c:v>
                </c:pt>
                <c:pt idx="197">
                  <c:v>4.13</c:v>
                </c:pt>
                <c:pt idx="198">
                  <c:v>10.89</c:v>
                </c:pt>
                <c:pt idx="199">
                  <c:v>11.46</c:v>
                </c:pt>
                <c:pt idx="200">
                  <c:v>7.96</c:v>
                </c:pt>
                <c:pt idx="201">
                  <c:v>21.779999999999987</c:v>
                </c:pt>
                <c:pt idx="202">
                  <c:v>29.610000000000028</c:v>
                </c:pt>
                <c:pt idx="203">
                  <c:v>13.89</c:v>
                </c:pt>
                <c:pt idx="204">
                  <c:v>6.42</c:v>
                </c:pt>
                <c:pt idx="205">
                  <c:v>17.3</c:v>
                </c:pt>
                <c:pt idx="206">
                  <c:v>21.4</c:v>
                </c:pt>
                <c:pt idx="207">
                  <c:v>22.9</c:v>
                </c:pt>
                <c:pt idx="208">
                  <c:v>12.23</c:v>
                </c:pt>
                <c:pt idx="209">
                  <c:v>28.41</c:v>
                </c:pt>
                <c:pt idx="210">
                  <c:v>3.8899999999999997</c:v>
                </c:pt>
                <c:pt idx="211">
                  <c:v>27.73</c:v>
                </c:pt>
                <c:pt idx="212">
                  <c:v>13.48</c:v>
                </c:pt>
                <c:pt idx="213">
                  <c:v>8.58</c:v>
                </c:pt>
                <c:pt idx="214">
                  <c:v>30.56</c:v>
                </c:pt>
                <c:pt idx="215">
                  <c:v>10.350000000000014</c:v>
                </c:pt>
                <c:pt idx="216">
                  <c:v>12.360000000000014</c:v>
                </c:pt>
                <c:pt idx="217">
                  <c:v>14.3</c:v>
                </c:pt>
                <c:pt idx="218">
                  <c:v>3.06</c:v>
                </c:pt>
                <c:pt idx="219">
                  <c:v>5.44</c:v>
                </c:pt>
                <c:pt idx="220">
                  <c:v>16.41</c:v>
                </c:pt>
                <c:pt idx="221">
                  <c:v>22.12</c:v>
                </c:pt>
                <c:pt idx="222">
                  <c:v>16.420000000000002</c:v>
                </c:pt>
                <c:pt idx="223">
                  <c:v>6.2700000000000014</c:v>
                </c:pt>
                <c:pt idx="224">
                  <c:v>13.04</c:v>
                </c:pt>
                <c:pt idx="225">
                  <c:v>13.01</c:v>
                </c:pt>
                <c:pt idx="226">
                  <c:v>38.53</c:v>
                </c:pt>
                <c:pt idx="227">
                  <c:v>20.16</c:v>
                </c:pt>
                <c:pt idx="228">
                  <c:v>24.8</c:v>
                </c:pt>
                <c:pt idx="229">
                  <c:v>15.69</c:v>
                </c:pt>
                <c:pt idx="230">
                  <c:v>26.21</c:v>
                </c:pt>
                <c:pt idx="231">
                  <c:v>18.84</c:v>
                </c:pt>
                <c:pt idx="232">
                  <c:v>23.93</c:v>
                </c:pt>
                <c:pt idx="233">
                  <c:v>29.23</c:v>
                </c:pt>
                <c:pt idx="234">
                  <c:v>18.779999999999987</c:v>
                </c:pt>
                <c:pt idx="235">
                  <c:v>17.600000000000001</c:v>
                </c:pt>
                <c:pt idx="236">
                  <c:v>8.7900000000000009</c:v>
                </c:pt>
                <c:pt idx="237">
                  <c:v>35.61</c:v>
                </c:pt>
                <c:pt idx="238">
                  <c:v>26.110000000000028</c:v>
                </c:pt>
                <c:pt idx="239">
                  <c:v>14.66</c:v>
                </c:pt>
                <c:pt idx="240">
                  <c:v>22.959999999999987</c:v>
                </c:pt>
                <c:pt idx="241">
                  <c:v>22.58</c:v>
                </c:pt>
                <c:pt idx="242">
                  <c:v>12.56</c:v>
                </c:pt>
                <c:pt idx="243">
                  <c:v>8.16</c:v>
                </c:pt>
                <c:pt idx="244">
                  <c:v>19.71</c:v>
                </c:pt>
                <c:pt idx="245">
                  <c:v>6.58</c:v>
                </c:pt>
                <c:pt idx="246">
                  <c:v>12.25</c:v>
                </c:pt>
                <c:pt idx="247">
                  <c:v>9.08</c:v>
                </c:pt>
                <c:pt idx="248">
                  <c:v>25.55</c:v>
                </c:pt>
                <c:pt idx="249">
                  <c:v>9.2000000000000011</c:v>
                </c:pt>
                <c:pt idx="250">
                  <c:v>6.13</c:v>
                </c:pt>
                <c:pt idx="251">
                  <c:v>4.3599999999999985</c:v>
                </c:pt>
                <c:pt idx="252">
                  <c:v>8.56</c:v>
                </c:pt>
                <c:pt idx="253">
                  <c:v>9.49</c:v>
                </c:pt>
                <c:pt idx="254">
                  <c:v>18.059999999999999</c:v>
                </c:pt>
                <c:pt idx="255">
                  <c:v>8.6</c:v>
                </c:pt>
                <c:pt idx="256">
                  <c:v>16.829999999999988</c:v>
                </c:pt>
                <c:pt idx="257">
                  <c:v>8.620000000000001</c:v>
                </c:pt>
                <c:pt idx="258">
                  <c:v>6.99</c:v>
                </c:pt>
                <c:pt idx="259">
                  <c:v>23.39</c:v>
                </c:pt>
                <c:pt idx="260">
                  <c:v>16.630000000000027</c:v>
                </c:pt>
                <c:pt idx="261">
                  <c:v>13.89</c:v>
                </c:pt>
                <c:pt idx="262">
                  <c:v>12.47</c:v>
                </c:pt>
                <c:pt idx="263">
                  <c:v>7.6099999999999985</c:v>
                </c:pt>
                <c:pt idx="264">
                  <c:v>11.14</c:v>
                </c:pt>
                <c:pt idx="265">
                  <c:v>14.04</c:v>
                </c:pt>
                <c:pt idx="266">
                  <c:v>14.44</c:v>
                </c:pt>
                <c:pt idx="267">
                  <c:v>18.670000000000005</c:v>
                </c:pt>
                <c:pt idx="268">
                  <c:v>9.42</c:v>
                </c:pt>
                <c:pt idx="269">
                  <c:v>14.61</c:v>
                </c:pt>
                <c:pt idx="270">
                  <c:v>11.51</c:v>
                </c:pt>
                <c:pt idx="271">
                  <c:v>21.22</c:v>
                </c:pt>
                <c:pt idx="272">
                  <c:v>39.840000000000003</c:v>
                </c:pt>
                <c:pt idx="273">
                  <c:v>12.4</c:v>
                </c:pt>
                <c:pt idx="274">
                  <c:v>16.2</c:v>
                </c:pt>
                <c:pt idx="275">
                  <c:v>24.89</c:v>
                </c:pt>
                <c:pt idx="276">
                  <c:v>18.979999999999986</c:v>
                </c:pt>
                <c:pt idx="277">
                  <c:v>17.39</c:v>
                </c:pt>
                <c:pt idx="278">
                  <c:v>23.919999999999987</c:v>
                </c:pt>
                <c:pt idx="279">
                  <c:v>11.62</c:v>
                </c:pt>
                <c:pt idx="280">
                  <c:v>17.09</c:v>
                </c:pt>
                <c:pt idx="281">
                  <c:v>25.84</c:v>
                </c:pt>
                <c:pt idx="282">
                  <c:v>19.89</c:v>
                </c:pt>
                <c:pt idx="283">
                  <c:v>16.52</c:v>
                </c:pt>
                <c:pt idx="284">
                  <c:v>7.1099999999999985</c:v>
                </c:pt>
                <c:pt idx="285">
                  <c:v>10.5</c:v>
                </c:pt>
              </c:numCache>
            </c:numRef>
          </c:xVal>
          <c:yVal>
            <c:numRef>
              <c:f>Folha1!$H$370:$H$655</c:f>
              <c:numCache>
                <c:formatCode>General</c:formatCode>
                <c:ptCount val="286"/>
                <c:pt idx="0">
                  <c:v>3.65</c:v>
                </c:pt>
                <c:pt idx="1">
                  <c:v>21.03</c:v>
                </c:pt>
                <c:pt idx="2">
                  <c:v>11.57</c:v>
                </c:pt>
                <c:pt idx="3">
                  <c:v>19.27</c:v>
                </c:pt>
                <c:pt idx="4">
                  <c:v>15.82</c:v>
                </c:pt>
                <c:pt idx="5">
                  <c:v>1.9500000000000017</c:v>
                </c:pt>
                <c:pt idx="6">
                  <c:v>11.6</c:v>
                </c:pt>
                <c:pt idx="7">
                  <c:v>3.7</c:v>
                </c:pt>
                <c:pt idx="8">
                  <c:v>2.27</c:v>
                </c:pt>
                <c:pt idx="9">
                  <c:v>5.35</c:v>
                </c:pt>
                <c:pt idx="10">
                  <c:v>15.48</c:v>
                </c:pt>
                <c:pt idx="11">
                  <c:v>11.54</c:v>
                </c:pt>
                <c:pt idx="12">
                  <c:v>10.870000000000006</c:v>
                </c:pt>
                <c:pt idx="13">
                  <c:v>6.75</c:v>
                </c:pt>
                <c:pt idx="14">
                  <c:v>7.81</c:v>
                </c:pt>
                <c:pt idx="15">
                  <c:v>10.81</c:v>
                </c:pt>
                <c:pt idx="16">
                  <c:v>10.54</c:v>
                </c:pt>
                <c:pt idx="17">
                  <c:v>5.39</c:v>
                </c:pt>
                <c:pt idx="18">
                  <c:v>9.5500000000000007</c:v>
                </c:pt>
                <c:pt idx="19">
                  <c:v>8.44</c:v>
                </c:pt>
                <c:pt idx="20">
                  <c:v>8.51</c:v>
                </c:pt>
                <c:pt idx="21">
                  <c:v>3.13</c:v>
                </c:pt>
                <c:pt idx="22">
                  <c:v>7.35</c:v>
                </c:pt>
                <c:pt idx="23">
                  <c:v>1.9500000000000017</c:v>
                </c:pt>
                <c:pt idx="24">
                  <c:v>1.6800000000000017</c:v>
                </c:pt>
                <c:pt idx="25">
                  <c:v>3.04</c:v>
                </c:pt>
                <c:pt idx="26">
                  <c:v>8.8800000000000008</c:v>
                </c:pt>
                <c:pt idx="27">
                  <c:v>6.05</c:v>
                </c:pt>
                <c:pt idx="28">
                  <c:v>12.08</c:v>
                </c:pt>
                <c:pt idx="29">
                  <c:v>9.2800000000000011</c:v>
                </c:pt>
                <c:pt idx="30">
                  <c:v>4.09</c:v>
                </c:pt>
                <c:pt idx="31">
                  <c:v>15.64</c:v>
                </c:pt>
                <c:pt idx="32">
                  <c:v>5.72</c:v>
                </c:pt>
                <c:pt idx="33">
                  <c:v>4.03</c:v>
                </c:pt>
                <c:pt idx="34">
                  <c:v>14.44</c:v>
                </c:pt>
                <c:pt idx="35">
                  <c:v>10.38</c:v>
                </c:pt>
                <c:pt idx="36">
                  <c:v>10.63</c:v>
                </c:pt>
                <c:pt idx="37">
                  <c:v>5.38</c:v>
                </c:pt>
                <c:pt idx="38">
                  <c:v>8.120000000000001</c:v>
                </c:pt>
                <c:pt idx="39">
                  <c:v>8.43</c:v>
                </c:pt>
                <c:pt idx="40">
                  <c:v>14.350000000000014</c:v>
                </c:pt>
                <c:pt idx="41">
                  <c:v>10.38</c:v>
                </c:pt>
                <c:pt idx="42">
                  <c:v>8.1</c:v>
                </c:pt>
                <c:pt idx="43">
                  <c:v>1.57</c:v>
                </c:pt>
                <c:pt idx="44">
                  <c:v>4.1599999999999975</c:v>
                </c:pt>
                <c:pt idx="45">
                  <c:v>5.23</c:v>
                </c:pt>
                <c:pt idx="46">
                  <c:v>9.0500000000000007</c:v>
                </c:pt>
                <c:pt idx="47">
                  <c:v>3.25</c:v>
                </c:pt>
                <c:pt idx="48">
                  <c:v>5.59</c:v>
                </c:pt>
                <c:pt idx="49">
                  <c:v>10.1</c:v>
                </c:pt>
                <c:pt idx="50">
                  <c:v>2.56</c:v>
                </c:pt>
                <c:pt idx="51">
                  <c:v>6.72</c:v>
                </c:pt>
                <c:pt idx="52">
                  <c:v>3.3099999999999987</c:v>
                </c:pt>
                <c:pt idx="53">
                  <c:v>3.75</c:v>
                </c:pt>
                <c:pt idx="54">
                  <c:v>4.6499999999999995</c:v>
                </c:pt>
                <c:pt idx="55">
                  <c:v>1.37</c:v>
                </c:pt>
                <c:pt idx="56">
                  <c:v>2.3499999999999988</c:v>
                </c:pt>
                <c:pt idx="57">
                  <c:v>3.66</c:v>
                </c:pt>
                <c:pt idx="58">
                  <c:v>1.9600000000000017</c:v>
                </c:pt>
                <c:pt idx="59">
                  <c:v>3.9</c:v>
                </c:pt>
                <c:pt idx="60">
                  <c:v>4.42</c:v>
                </c:pt>
                <c:pt idx="61">
                  <c:v>4.75</c:v>
                </c:pt>
                <c:pt idx="62">
                  <c:v>3.94</c:v>
                </c:pt>
                <c:pt idx="63">
                  <c:v>6</c:v>
                </c:pt>
                <c:pt idx="64">
                  <c:v>6.4300000000000024</c:v>
                </c:pt>
                <c:pt idx="65">
                  <c:v>5.76</c:v>
                </c:pt>
                <c:pt idx="66">
                  <c:v>2.7600000000000002</c:v>
                </c:pt>
                <c:pt idx="67">
                  <c:v>12.7</c:v>
                </c:pt>
                <c:pt idx="68">
                  <c:v>3.7800000000000002</c:v>
                </c:pt>
                <c:pt idx="69">
                  <c:v>9.51</c:v>
                </c:pt>
                <c:pt idx="70">
                  <c:v>10.14</c:v>
                </c:pt>
                <c:pt idx="71">
                  <c:v>5.29</c:v>
                </c:pt>
                <c:pt idx="72">
                  <c:v>4.13</c:v>
                </c:pt>
                <c:pt idx="73">
                  <c:v>7.87</c:v>
                </c:pt>
                <c:pt idx="74">
                  <c:v>9.91</c:v>
                </c:pt>
                <c:pt idx="75">
                  <c:v>8.25</c:v>
                </c:pt>
                <c:pt idx="76">
                  <c:v>4.13</c:v>
                </c:pt>
                <c:pt idx="77">
                  <c:v>9.99</c:v>
                </c:pt>
                <c:pt idx="78">
                  <c:v>8.9500000000000028</c:v>
                </c:pt>
                <c:pt idx="79">
                  <c:v>4.03</c:v>
                </c:pt>
                <c:pt idx="80">
                  <c:v>7.4700000000000024</c:v>
                </c:pt>
                <c:pt idx="81">
                  <c:v>2.82</c:v>
                </c:pt>
                <c:pt idx="82">
                  <c:v>2.56</c:v>
                </c:pt>
                <c:pt idx="83">
                  <c:v>6.1099999999999985</c:v>
                </c:pt>
                <c:pt idx="84">
                  <c:v>3</c:v>
                </c:pt>
                <c:pt idx="85">
                  <c:v>1.77</c:v>
                </c:pt>
                <c:pt idx="86">
                  <c:v>2.34</c:v>
                </c:pt>
                <c:pt idx="87">
                  <c:v>3.12</c:v>
                </c:pt>
                <c:pt idx="88">
                  <c:v>2.9699999999999998</c:v>
                </c:pt>
                <c:pt idx="89">
                  <c:v>6.21</c:v>
                </c:pt>
                <c:pt idx="90">
                  <c:v>2.67</c:v>
                </c:pt>
                <c:pt idx="91">
                  <c:v>2.9</c:v>
                </c:pt>
                <c:pt idx="92">
                  <c:v>2.42</c:v>
                </c:pt>
                <c:pt idx="93">
                  <c:v>4.5</c:v>
                </c:pt>
                <c:pt idx="94">
                  <c:v>2.4899999999999998</c:v>
                </c:pt>
                <c:pt idx="95">
                  <c:v>0.77000000000000102</c:v>
                </c:pt>
                <c:pt idx="96">
                  <c:v>4.33</c:v>
                </c:pt>
                <c:pt idx="97">
                  <c:v>1.9500000000000017</c:v>
                </c:pt>
                <c:pt idx="98">
                  <c:v>2.3699999999999997</c:v>
                </c:pt>
                <c:pt idx="99">
                  <c:v>1.2</c:v>
                </c:pt>
                <c:pt idx="100">
                  <c:v>4.9300000000000024</c:v>
                </c:pt>
                <c:pt idx="101">
                  <c:v>5.13</c:v>
                </c:pt>
                <c:pt idx="102">
                  <c:v>4.18</c:v>
                </c:pt>
                <c:pt idx="103">
                  <c:v>2.1</c:v>
                </c:pt>
                <c:pt idx="104">
                  <c:v>6.39</c:v>
                </c:pt>
                <c:pt idx="105">
                  <c:v>6.3</c:v>
                </c:pt>
                <c:pt idx="106">
                  <c:v>4.3099999999999996</c:v>
                </c:pt>
                <c:pt idx="107">
                  <c:v>1.83</c:v>
                </c:pt>
                <c:pt idx="108">
                  <c:v>15.03</c:v>
                </c:pt>
                <c:pt idx="109">
                  <c:v>7.03</c:v>
                </c:pt>
                <c:pt idx="110">
                  <c:v>12.77</c:v>
                </c:pt>
                <c:pt idx="111">
                  <c:v>18.84</c:v>
                </c:pt>
                <c:pt idx="112">
                  <c:v>9.56</c:v>
                </c:pt>
                <c:pt idx="113">
                  <c:v>8.2000000000000011</c:v>
                </c:pt>
                <c:pt idx="114">
                  <c:v>7.67</c:v>
                </c:pt>
                <c:pt idx="115">
                  <c:v>3.92</c:v>
                </c:pt>
                <c:pt idx="116">
                  <c:v>3.74</c:v>
                </c:pt>
                <c:pt idx="117">
                  <c:v>18.59</c:v>
                </c:pt>
                <c:pt idx="118">
                  <c:v>12.08</c:v>
                </c:pt>
                <c:pt idx="119">
                  <c:v>7.28</c:v>
                </c:pt>
                <c:pt idx="120">
                  <c:v>9.07</c:v>
                </c:pt>
                <c:pt idx="121">
                  <c:v>4.7300000000000004</c:v>
                </c:pt>
                <c:pt idx="122">
                  <c:v>9.75</c:v>
                </c:pt>
                <c:pt idx="123">
                  <c:v>9.93</c:v>
                </c:pt>
                <c:pt idx="124">
                  <c:v>1.85</c:v>
                </c:pt>
                <c:pt idx="125">
                  <c:v>7.83</c:v>
                </c:pt>
                <c:pt idx="126">
                  <c:v>4.4000000000000004</c:v>
                </c:pt>
                <c:pt idx="127">
                  <c:v>4.6099999999999985</c:v>
                </c:pt>
                <c:pt idx="128">
                  <c:v>2.59</c:v>
                </c:pt>
                <c:pt idx="129">
                  <c:v>2.58</c:v>
                </c:pt>
                <c:pt idx="130">
                  <c:v>4.1399999999999997</c:v>
                </c:pt>
                <c:pt idx="131">
                  <c:v>3.8099999999999987</c:v>
                </c:pt>
                <c:pt idx="132">
                  <c:v>1.61</c:v>
                </c:pt>
                <c:pt idx="133">
                  <c:v>1.8</c:v>
                </c:pt>
                <c:pt idx="134">
                  <c:v>1.76</c:v>
                </c:pt>
                <c:pt idx="135">
                  <c:v>1.1000000000000001</c:v>
                </c:pt>
                <c:pt idx="136">
                  <c:v>1.55</c:v>
                </c:pt>
                <c:pt idx="137">
                  <c:v>4.0199999999999996</c:v>
                </c:pt>
                <c:pt idx="138">
                  <c:v>3.65</c:v>
                </c:pt>
                <c:pt idx="139">
                  <c:v>2.3899999999999997</c:v>
                </c:pt>
                <c:pt idx="140">
                  <c:v>3.21</c:v>
                </c:pt>
                <c:pt idx="141">
                  <c:v>3.09</c:v>
                </c:pt>
                <c:pt idx="142">
                  <c:v>13.17</c:v>
                </c:pt>
                <c:pt idx="143">
                  <c:v>4.0199999999999996</c:v>
                </c:pt>
                <c:pt idx="144">
                  <c:v>4.53</c:v>
                </c:pt>
                <c:pt idx="145">
                  <c:v>11.09</c:v>
                </c:pt>
                <c:pt idx="146">
                  <c:v>9.84</c:v>
                </c:pt>
                <c:pt idx="147">
                  <c:v>9.61</c:v>
                </c:pt>
                <c:pt idx="148">
                  <c:v>11.29</c:v>
                </c:pt>
                <c:pt idx="149">
                  <c:v>10.72</c:v>
                </c:pt>
                <c:pt idx="150">
                  <c:v>7.25</c:v>
                </c:pt>
                <c:pt idx="151">
                  <c:v>15.17</c:v>
                </c:pt>
                <c:pt idx="152">
                  <c:v>5.44</c:v>
                </c:pt>
                <c:pt idx="153">
                  <c:v>7.57</c:v>
                </c:pt>
                <c:pt idx="154">
                  <c:v>12.52</c:v>
                </c:pt>
                <c:pt idx="155">
                  <c:v>3.36</c:v>
                </c:pt>
                <c:pt idx="156">
                  <c:v>7.57</c:v>
                </c:pt>
                <c:pt idx="157">
                  <c:v>10.350000000000014</c:v>
                </c:pt>
                <c:pt idx="158">
                  <c:v>15.5</c:v>
                </c:pt>
                <c:pt idx="159">
                  <c:v>12.860000000000014</c:v>
                </c:pt>
                <c:pt idx="160">
                  <c:v>6.06</c:v>
                </c:pt>
                <c:pt idx="161">
                  <c:v>3.57</c:v>
                </c:pt>
                <c:pt idx="162">
                  <c:v>3.16</c:v>
                </c:pt>
                <c:pt idx="163">
                  <c:v>4.84</c:v>
                </c:pt>
                <c:pt idx="164">
                  <c:v>3.68</c:v>
                </c:pt>
                <c:pt idx="165">
                  <c:v>3.08</c:v>
                </c:pt>
                <c:pt idx="166">
                  <c:v>9.4600000000000026</c:v>
                </c:pt>
                <c:pt idx="167">
                  <c:v>3.57</c:v>
                </c:pt>
                <c:pt idx="168">
                  <c:v>4.59</c:v>
                </c:pt>
                <c:pt idx="169">
                  <c:v>8.120000000000001</c:v>
                </c:pt>
                <c:pt idx="170">
                  <c:v>2.27</c:v>
                </c:pt>
                <c:pt idx="171">
                  <c:v>3.48</c:v>
                </c:pt>
                <c:pt idx="172">
                  <c:v>6.76</c:v>
                </c:pt>
                <c:pt idx="173">
                  <c:v>3.53</c:v>
                </c:pt>
                <c:pt idx="174">
                  <c:v>6.99</c:v>
                </c:pt>
                <c:pt idx="175">
                  <c:v>22.34</c:v>
                </c:pt>
                <c:pt idx="176">
                  <c:v>7.03</c:v>
                </c:pt>
                <c:pt idx="177">
                  <c:v>12.74</c:v>
                </c:pt>
                <c:pt idx="178">
                  <c:v>5.56</c:v>
                </c:pt>
                <c:pt idx="179">
                  <c:v>8.49</c:v>
                </c:pt>
                <c:pt idx="180">
                  <c:v>15.49</c:v>
                </c:pt>
                <c:pt idx="181">
                  <c:v>5.9300000000000024</c:v>
                </c:pt>
                <c:pt idx="182">
                  <c:v>13.04</c:v>
                </c:pt>
                <c:pt idx="183">
                  <c:v>10.89</c:v>
                </c:pt>
                <c:pt idx="184">
                  <c:v>2.3099999999999987</c:v>
                </c:pt>
                <c:pt idx="185">
                  <c:v>21.419999999999987</c:v>
                </c:pt>
                <c:pt idx="186">
                  <c:v>4.88</c:v>
                </c:pt>
                <c:pt idx="187">
                  <c:v>1.7</c:v>
                </c:pt>
                <c:pt idx="188">
                  <c:v>4.3199999999999985</c:v>
                </c:pt>
                <c:pt idx="189">
                  <c:v>9.0500000000000007</c:v>
                </c:pt>
                <c:pt idx="190">
                  <c:v>2.4299999999999997</c:v>
                </c:pt>
                <c:pt idx="191">
                  <c:v>3.9</c:v>
                </c:pt>
                <c:pt idx="192">
                  <c:v>2.3699999999999997</c:v>
                </c:pt>
                <c:pt idx="193">
                  <c:v>3.48</c:v>
                </c:pt>
                <c:pt idx="194">
                  <c:v>4.95</c:v>
                </c:pt>
                <c:pt idx="195">
                  <c:v>6.98</c:v>
                </c:pt>
                <c:pt idx="196">
                  <c:v>1.44</c:v>
                </c:pt>
                <c:pt idx="197">
                  <c:v>1.27</c:v>
                </c:pt>
                <c:pt idx="198">
                  <c:v>8.07</c:v>
                </c:pt>
                <c:pt idx="199">
                  <c:v>3.05</c:v>
                </c:pt>
                <c:pt idx="200">
                  <c:v>2.2000000000000002</c:v>
                </c:pt>
                <c:pt idx="201">
                  <c:v>7.7</c:v>
                </c:pt>
                <c:pt idx="202">
                  <c:v>6.41</c:v>
                </c:pt>
                <c:pt idx="203">
                  <c:v>6.41</c:v>
                </c:pt>
                <c:pt idx="204">
                  <c:v>2.36</c:v>
                </c:pt>
                <c:pt idx="205">
                  <c:v>10.98</c:v>
                </c:pt>
                <c:pt idx="206">
                  <c:v>5.67</c:v>
                </c:pt>
                <c:pt idx="207">
                  <c:v>12.32</c:v>
                </c:pt>
                <c:pt idx="208">
                  <c:v>6.9</c:v>
                </c:pt>
                <c:pt idx="209">
                  <c:v>9.17</c:v>
                </c:pt>
                <c:pt idx="210">
                  <c:v>2.3699999999999997</c:v>
                </c:pt>
                <c:pt idx="211">
                  <c:v>8.94</c:v>
                </c:pt>
                <c:pt idx="212">
                  <c:v>6.2700000000000014</c:v>
                </c:pt>
                <c:pt idx="213">
                  <c:v>2.9699999999999998</c:v>
                </c:pt>
                <c:pt idx="214">
                  <c:v>11.26</c:v>
                </c:pt>
                <c:pt idx="215">
                  <c:v>2.42</c:v>
                </c:pt>
                <c:pt idx="216">
                  <c:v>6.76</c:v>
                </c:pt>
                <c:pt idx="217">
                  <c:v>4.92</c:v>
                </c:pt>
                <c:pt idx="218">
                  <c:v>1.71</c:v>
                </c:pt>
                <c:pt idx="219">
                  <c:v>3.08</c:v>
                </c:pt>
                <c:pt idx="220">
                  <c:v>7.44</c:v>
                </c:pt>
                <c:pt idx="221">
                  <c:v>10.16</c:v>
                </c:pt>
                <c:pt idx="222">
                  <c:v>6.31</c:v>
                </c:pt>
                <c:pt idx="223">
                  <c:v>1.86</c:v>
                </c:pt>
                <c:pt idx="224">
                  <c:v>7.13</c:v>
                </c:pt>
                <c:pt idx="225">
                  <c:v>6.34</c:v>
                </c:pt>
                <c:pt idx="226">
                  <c:v>12.56</c:v>
                </c:pt>
                <c:pt idx="227">
                  <c:v>8.8800000000000008</c:v>
                </c:pt>
                <c:pt idx="228">
                  <c:v>7.24</c:v>
                </c:pt>
                <c:pt idx="229">
                  <c:v>6.73</c:v>
                </c:pt>
                <c:pt idx="230">
                  <c:v>11.13</c:v>
                </c:pt>
                <c:pt idx="231">
                  <c:v>7.3</c:v>
                </c:pt>
                <c:pt idx="232">
                  <c:v>7.55</c:v>
                </c:pt>
                <c:pt idx="233">
                  <c:v>12.1</c:v>
                </c:pt>
                <c:pt idx="234">
                  <c:v>10.32</c:v>
                </c:pt>
                <c:pt idx="235">
                  <c:v>4.09</c:v>
                </c:pt>
                <c:pt idx="236">
                  <c:v>5.55</c:v>
                </c:pt>
                <c:pt idx="237">
                  <c:v>14.06</c:v>
                </c:pt>
                <c:pt idx="238">
                  <c:v>9.7800000000000011</c:v>
                </c:pt>
                <c:pt idx="239">
                  <c:v>6.6</c:v>
                </c:pt>
                <c:pt idx="240">
                  <c:v>6.6599999999999975</c:v>
                </c:pt>
                <c:pt idx="241">
                  <c:v>10.68</c:v>
                </c:pt>
                <c:pt idx="242">
                  <c:v>3.12</c:v>
                </c:pt>
                <c:pt idx="243">
                  <c:v>2.59</c:v>
                </c:pt>
                <c:pt idx="244">
                  <c:v>3.5</c:v>
                </c:pt>
                <c:pt idx="245">
                  <c:v>2.8899999999999997</c:v>
                </c:pt>
                <c:pt idx="246">
                  <c:v>1.6700000000000017</c:v>
                </c:pt>
                <c:pt idx="247">
                  <c:v>3.53</c:v>
                </c:pt>
                <c:pt idx="248">
                  <c:v>9.6</c:v>
                </c:pt>
                <c:pt idx="249">
                  <c:v>2.3199999999999967</c:v>
                </c:pt>
                <c:pt idx="250">
                  <c:v>6.1</c:v>
                </c:pt>
                <c:pt idx="251">
                  <c:v>1.2</c:v>
                </c:pt>
                <c:pt idx="252">
                  <c:v>2.68</c:v>
                </c:pt>
                <c:pt idx="253">
                  <c:v>4.3599999999999985</c:v>
                </c:pt>
                <c:pt idx="254">
                  <c:v>4.67</c:v>
                </c:pt>
                <c:pt idx="255">
                  <c:v>2.19</c:v>
                </c:pt>
                <c:pt idx="256">
                  <c:v>4.8499999999999996</c:v>
                </c:pt>
                <c:pt idx="257">
                  <c:v>5.26</c:v>
                </c:pt>
                <c:pt idx="258">
                  <c:v>2</c:v>
                </c:pt>
                <c:pt idx="259">
                  <c:v>8.2000000000000011</c:v>
                </c:pt>
                <c:pt idx="260">
                  <c:v>6.37</c:v>
                </c:pt>
                <c:pt idx="261">
                  <c:v>6.94</c:v>
                </c:pt>
                <c:pt idx="262">
                  <c:v>3.15</c:v>
                </c:pt>
                <c:pt idx="263">
                  <c:v>1.9200000000000017</c:v>
                </c:pt>
                <c:pt idx="264">
                  <c:v>2.25</c:v>
                </c:pt>
                <c:pt idx="265">
                  <c:v>5.05</c:v>
                </c:pt>
                <c:pt idx="266">
                  <c:v>8.11</c:v>
                </c:pt>
                <c:pt idx="267">
                  <c:v>13.28</c:v>
                </c:pt>
                <c:pt idx="268">
                  <c:v>1.71</c:v>
                </c:pt>
                <c:pt idx="269">
                  <c:v>8.3500000000000068</c:v>
                </c:pt>
                <c:pt idx="270">
                  <c:v>4</c:v>
                </c:pt>
                <c:pt idx="271">
                  <c:v>13.26</c:v>
                </c:pt>
                <c:pt idx="272">
                  <c:v>12.67</c:v>
                </c:pt>
                <c:pt idx="273">
                  <c:v>4.71</c:v>
                </c:pt>
                <c:pt idx="274">
                  <c:v>6.03</c:v>
                </c:pt>
                <c:pt idx="275">
                  <c:v>10.1</c:v>
                </c:pt>
                <c:pt idx="276">
                  <c:v>5.45</c:v>
                </c:pt>
                <c:pt idx="277">
                  <c:v>6.02</c:v>
                </c:pt>
                <c:pt idx="278">
                  <c:v>5.28</c:v>
                </c:pt>
                <c:pt idx="279">
                  <c:v>4.1399999999999997</c:v>
                </c:pt>
                <c:pt idx="280">
                  <c:v>9.83</c:v>
                </c:pt>
                <c:pt idx="281">
                  <c:v>8.9500000000000028</c:v>
                </c:pt>
                <c:pt idx="282">
                  <c:v>8.23</c:v>
                </c:pt>
                <c:pt idx="283">
                  <c:v>7.24</c:v>
                </c:pt>
                <c:pt idx="284">
                  <c:v>2.2200000000000002</c:v>
                </c:pt>
                <c:pt idx="285">
                  <c:v>1.8</c:v>
                </c:pt>
              </c:numCache>
            </c:numRef>
          </c:yVal>
        </c:ser>
        <c:axId val="71612288"/>
        <c:axId val="71618560"/>
      </c:scatterChart>
      <c:valAx>
        <c:axId val="71612288"/>
        <c:scaling>
          <c:orientation val="minMax"/>
        </c:scaling>
        <c:axPos val="b"/>
        <c:majorGridlines/>
        <c:minorGridlines/>
        <c:title>
          <c:tx>
            <c:rich>
              <a:bodyPr/>
              <a:lstStyle/>
              <a:p>
                <a:pPr>
                  <a:defRPr/>
                </a:pPr>
                <a:r>
                  <a:rPr lang="en-US"/>
                  <a:t>Comprimento</a:t>
                </a:r>
              </a:p>
            </c:rich>
          </c:tx>
          <c:layout/>
        </c:title>
        <c:numFmt formatCode="General" sourceLinked="1"/>
        <c:tickLblPos val="nextTo"/>
        <c:crossAx val="71618560"/>
        <c:crosses val="autoZero"/>
        <c:crossBetween val="midCat"/>
      </c:valAx>
      <c:valAx>
        <c:axId val="71618560"/>
        <c:scaling>
          <c:orientation val="minMax"/>
        </c:scaling>
        <c:axPos val="l"/>
        <c:majorGridlines/>
        <c:minorGridlines/>
        <c:title>
          <c:tx>
            <c:rich>
              <a:bodyPr/>
              <a:lstStyle/>
              <a:p>
                <a:pPr>
                  <a:defRPr/>
                </a:pPr>
                <a:r>
                  <a:rPr lang="en-US"/>
                  <a:t>Largura</a:t>
                </a:r>
              </a:p>
            </c:rich>
          </c:tx>
          <c:layout/>
        </c:title>
        <c:numFmt formatCode="General" sourceLinked="1"/>
        <c:tickLblPos val="nextTo"/>
        <c:crossAx val="71612288"/>
        <c:crosses val="autoZero"/>
        <c:crossBetween val="midCat"/>
      </c:valAx>
    </c:plotArea>
    <c:legend>
      <c:legendPos val="r"/>
      <c:layout/>
    </c:legend>
    <c:plotVisOnly val="1"/>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barChart>
        <c:barDir val="col"/>
        <c:grouping val="percentStacked"/>
        <c:ser>
          <c:idx val="0"/>
          <c:order val="0"/>
          <c:tx>
            <c:strRef>
              <c:f>Folha1!$K$394</c:f>
              <c:strCache>
                <c:ptCount val="1"/>
                <c:pt idx="0">
                  <c:v>convexo</c:v>
                </c:pt>
              </c:strCache>
            </c:strRef>
          </c:tx>
          <c:cat>
            <c:strRef>
              <c:f>Folha1!$L$393:$N$393</c:f>
              <c:strCache>
                <c:ptCount val="3"/>
                <c:pt idx="0">
                  <c:v>PT2</c:v>
                </c:pt>
                <c:pt idx="1">
                  <c:v>Az</c:v>
                </c:pt>
                <c:pt idx="2">
                  <c:v>TPM</c:v>
                </c:pt>
              </c:strCache>
            </c:strRef>
          </c:cat>
          <c:val>
            <c:numRef>
              <c:f>Folha1!$L$394:$N$394</c:f>
              <c:numCache>
                <c:formatCode>General</c:formatCode>
                <c:ptCount val="3"/>
                <c:pt idx="0">
                  <c:v>31</c:v>
                </c:pt>
                <c:pt idx="1">
                  <c:v>33</c:v>
                </c:pt>
                <c:pt idx="2">
                  <c:v>29</c:v>
                </c:pt>
              </c:numCache>
            </c:numRef>
          </c:val>
        </c:ser>
        <c:ser>
          <c:idx val="1"/>
          <c:order val="1"/>
          <c:tx>
            <c:strRef>
              <c:f>Folha1!$K$395</c:f>
              <c:strCache>
                <c:ptCount val="1"/>
                <c:pt idx="0">
                  <c:v>côncavo</c:v>
                </c:pt>
              </c:strCache>
            </c:strRef>
          </c:tx>
          <c:cat>
            <c:strRef>
              <c:f>Folha1!$L$393:$N$393</c:f>
              <c:strCache>
                <c:ptCount val="3"/>
                <c:pt idx="0">
                  <c:v>PT2</c:v>
                </c:pt>
                <c:pt idx="1">
                  <c:v>Az</c:v>
                </c:pt>
                <c:pt idx="2">
                  <c:v>TPM</c:v>
                </c:pt>
              </c:strCache>
            </c:strRef>
          </c:cat>
          <c:val>
            <c:numRef>
              <c:f>Folha1!$L$395:$N$395</c:f>
              <c:numCache>
                <c:formatCode>General</c:formatCode>
                <c:ptCount val="3"/>
                <c:pt idx="0">
                  <c:v>23</c:v>
                </c:pt>
                <c:pt idx="1">
                  <c:v>30</c:v>
                </c:pt>
                <c:pt idx="2">
                  <c:v>26</c:v>
                </c:pt>
              </c:numCache>
            </c:numRef>
          </c:val>
        </c:ser>
        <c:ser>
          <c:idx val="2"/>
          <c:order val="2"/>
          <c:tx>
            <c:strRef>
              <c:f>Folha1!$K$396</c:f>
              <c:strCache>
                <c:ptCount val="1"/>
                <c:pt idx="0">
                  <c:v>plano</c:v>
                </c:pt>
              </c:strCache>
            </c:strRef>
          </c:tx>
          <c:cat>
            <c:strRef>
              <c:f>Folha1!$L$393:$N$393</c:f>
              <c:strCache>
                <c:ptCount val="3"/>
                <c:pt idx="0">
                  <c:v>PT2</c:v>
                </c:pt>
                <c:pt idx="1">
                  <c:v>Az</c:v>
                </c:pt>
                <c:pt idx="2">
                  <c:v>TPM</c:v>
                </c:pt>
              </c:strCache>
            </c:strRef>
          </c:cat>
          <c:val>
            <c:numRef>
              <c:f>Folha1!$L$396:$N$396</c:f>
              <c:numCache>
                <c:formatCode>General</c:formatCode>
                <c:ptCount val="3"/>
                <c:pt idx="0">
                  <c:v>44</c:v>
                </c:pt>
                <c:pt idx="1">
                  <c:v>26</c:v>
                </c:pt>
                <c:pt idx="2">
                  <c:v>31</c:v>
                </c:pt>
              </c:numCache>
            </c:numRef>
          </c:val>
        </c:ser>
        <c:ser>
          <c:idx val="3"/>
          <c:order val="3"/>
          <c:tx>
            <c:strRef>
              <c:f>Folha1!$K$397</c:f>
              <c:strCache>
                <c:ptCount val="1"/>
                <c:pt idx="0">
                  <c:v>ausente</c:v>
                </c:pt>
              </c:strCache>
            </c:strRef>
          </c:tx>
          <c:cat>
            <c:strRef>
              <c:f>Folha1!$L$393:$N$393</c:f>
              <c:strCache>
                <c:ptCount val="3"/>
                <c:pt idx="0">
                  <c:v>PT2</c:v>
                </c:pt>
                <c:pt idx="1">
                  <c:v>Az</c:v>
                </c:pt>
                <c:pt idx="2">
                  <c:v>TPM</c:v>
                </c:pt>
              </c:strCache>
            </c:strRef>
          </c:cat>
          <c:val>
            <c:numRef>
              <c:f>Folha1!$L$397:$N$397</c:f>
              <c:numCache>
                <c:formatCode>General</c:formatCode>
                <c:ptCount val="3"/>
                <c:pt idx="0">
                  <c:v>2</c:v>
                </c:pt>
                <c:pt idx="1">
                  <c:v>7</c:v>
                </c:pt>
                <c:pt idx="2">
                  <c:v>3</c:v>
                </c:pt>
              </c:numCache>
            </c:numRef>
          </c:val>
        </c:ser>
        <c:ser>
          <c:idx val="4"/>
          <c:order val="4"/>
          <c:tx>
            <c:strRef>
              <c:f>Folha1!$K$398</c:f>
              <c:strCache>
                <c:ptCount val="1"/>
                <c:pt idx="0">
                  <c:v>facetado</c:v>
                </c:pt>
              </c:strCache>
            </c:strRef>
          </c:tx>
          <c:cat>
            <c:strRef>
              <c:f>Folha1!$L$393:$N$393</c:f>
              <c:strCache>
                <c:ptCount val="3"/>
                <c:pt idx="0">
                  <c:v>PT2</c:v>
                </c:pt>
                <c:pt idx="1">
                  <c:v>Az</c:v>
                </c:pt>
                <c:pt idx="2">
                  <c:v>TPM</c:v>
                </c:pt>
              </c:strCache>
            </c:strRef>
          </c:cat>
          <c:val>
            <c:numRef>
              <c:f>Folha1!$L$398:$N$398</c:f>
              <c:numCache>
                <c:formatCode>General</c:formatCode>
                <c:ptCount val="3"/>
                <c:pt idx="0">
                  <c:v>0</c:v>
                </c:pt>
                <c:pt idx="1">
                  <c:v>4</c:v>
                </c:pt>
                <c:pt idx="2">
                  <c:v>11</c:v>
                </c:pt>
              </c:numCache>
            </c:numRef>
          </c:val>
        </c:ser>
        <c:gapWidth val="55"/>
        <c:overlap val="100"/>
        <c:axId val="71666304"/>
        <c:axId val="71672192"/>
      </c:barChart>
      <c:catAx>
        <c:axId val="71666304"/>
        <c:scaling>
          <c:orientation val="minMax"/>
        </c:scaling>
        <c:axPos val="b"/>
        <c:majorTickMark val="none"/>
        <c:tickLblPos val="nextTo"/>
        <c:crossAx val="71672192"/>
        <c:crosses val="autoZero"/>
        <c:auto val="1"/>
        <c:lblAlgn val="ctr"/>
        <c:lblOffset val="100"/>
      </c:catAx>
      <c:valAx>
        <c:axId val="71672192"/>
        <c:scaling>
          <c:orientation val="minMax"/>
        </c:scaling>
        <c:axPos val="l"/>
        <c:majorGridlines/>
        <c:numFmt formatCode="0%" sourceLinked="1"/>
        <c:majorTickMark val="none"/>
        <c:tickLblPos val="nextTo"/>
        <c:crossAx val="71666304"/>
        <c:crosses val="autoZero"/>
        <c:crossBetween val="between"/>
      </c:valAx>
    </c:plotArea>
    <c:legend>
      <c:legendPos val="r"/>
      <c:layout/>
    </c:legend>
    <c:plotVisOnly val="1"/>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pt-PT"/>
  <c:chart>
    <c:autoTitleDeleted val="1"/>
    <c:plotArea>
      <c:layout/>
      <c:barChart>
        <c:barDir val="col"/>
        <c:grouping val="percentStacked"/>
        <c:ser>
          <c:idx val="0"/>
          <c:order val="0"/>
          <c:tx>
            <c:strRef>
              <c:f>Folha1!$K$418</c:f>
              <c:strCache>
                <c:ptCount val="1"/>
                <c:pt idx="0">
                  <c:v>trapezoidal</c:v>
                </c:pt>
              </c:strCache>
            </c:strRef>
          </c:tx>
          <c:cat>
            <c:strRef>
              <c:f>Folha1!$L$417:$N$417</c:f>
              <c:strCache>
                <c:ptCount val="3"/>
                <c:pt idx="0">
                  <c:v>PT2</c:v>
                </c:pt>
                <c:pt idx="1">
                  <c:v>Az</c:v>
                </c:pt>
                <c:pt idx="2">
                  <c:v>TPM</c:v>
                </c:pt>
              </c:strCache>
            </c:strRef>
          </c:cat>
          <c:val>
            <c:numRef>
              <c:f>Folha1!$L$418:$N$418</c:f>
              <c:numCache>
                <c:formatCode>General</c:formatCode>
                <c:ptCount val="3"/>
                <c:pt idx="0">
                  <c:v>37</c:v>
                </c:pt>
                <c:pt idx="1">
                  <c:v>49</c:v>
                </c:pt>
                <c:pt idx="2">
                  <c:v>46</c:v>
                </c:pt>
              </c:numCache>
            </c:numRef>
          </c:val>
        </c:ser>
        <c:ser>
          <c:idx val="1"/>
          <c:order val="1"/>
          <c:tx>
            <c:strRef>
              <c:f>Folha1!$K$419</c:f>
              <c:strCache>
                <c:ptCount val="1"/>
                <c:pt idx="0">
                  <c:v>triangular</c:v>
                </c:pt>
              </c:strCache>
            </c:strRef>
          </c:tx>
          <c:cat>
            <c:strRef>
              <c:f>Folha1!$L$417:$N$417</c:f>
              <c:strCache>
                <c:ptCount val="3"/>
                <c:pt idx="0">
                  <c:v>PT2</c:v>
                </c:pt>
                <c:pt idx="1">
                  <c:v>Az</c:v>
                </c:pt>
                <c:pt idx="2">
                  <c:v>TPM</c:v>
                </c:pt>
              </c:strCache>
            </c:strRef>
          </c:cat>
          <c:val>
            <c:numRef>
              <c:f>Folha1!$L$419:$N$419</c:f>
              <c:numCache>
                <c:formatCode>General</c:formatCode>
                <c:ptCount val="3"/>
                <c:pt idx="0">
                  <c:v>33</c:v>
                </c:pt>
                <c:pt idx="1">
                  <c:v>23</c:v>
                </c:pt>
                <c:pt idx="2">
                  <c:v>27</c:v>
                </c:pt>
              </c:numCache>
            </c:numRef>
          </c:val>
        </c:ser>
        <c:ser>
          <c:idx val="2"/>
          <c:order val="2"/>
          <c:tx>
            <c:strRef>
              <c:f>Folha1!$K$420</c:f>
              <c:strCache>
                <c:ptCount val="1"/>
                <c:pt idx="0">
                  <c:v>hifen</c:v>
                </c:pt>
              </c:strCache>
            </c:strRef>
          </c:tx>
          <c:cat>
            <c:strRef>
              <c:f>Folha1!$L$417:$N$417</c:f>
              <c:strCache>
                <c:ptCount val="3"/>
                <c:pt idx="0">
                  <c:v>PT2</c:v>
                </c:pt>
                <c:pt idx="1">
                  <c:v>Az</c:v>
                </c:pt>
                <c:pt idx="2">
                  <c:v>TPM</c:v>
                </c:pt>
              </c:strCache>
            </c:strRef>
          </c:cat>
          <c:val>
            <c:numRef>
              <c:f>Folha1!$L$420:$N$420</c:f>
              <c:numCache>
                <c:formatCode>General</c:formatCode>
                <c:ptCount val="3"/>
                <c:pt idx="0">
                  <c:v>11</c:v>
                </c:pt>
                <c:pt idx="1">
                  <c:v>17</c:v>
                </c:pt>
                <c:pt idx="2">
                  <c:v>22</c:v>
                </c:pt>
              </c:numCache>
            </c:numRef>
          </c:val>
        </c:ser>
        <c:ser>
          <c:idx val="3"/>
          <c:order val="3"/>
          <c:tx>
            <c:strRef>
              <c:f>Folha1!$K$421</c:f>
              <c:strCache>
                <c:ptCount val="1"/>
                <c:pt idx="0">
                  <c:v>linear</c:v>
                </c:pt>
              </c:strCache>
            </c:strRef>
          </c:tx>
          <c:cat>
            <c:strRef>
              <c:f>Folha1!$L$417:$N$417</c:f>
              <c:strCache>
                <c:ptCount val="3"/>
                <c:pt idx="0">
                  <c:v>PT2</c:v>
                </c:pt>
                <c:pt idx="1">
                  <c:v>Az</c:v>
                </c:pt>
                <c:pt idx="2">
                  <c:v>TPM</c:v>
                </c:pt>
              </c:strCache>
            </c:strRef>
          </c:cat>
          <c:val>
            <c:numRef>
              <c:f>Folha1!$L$421:$N$421</c:f>
              <c:numCache>
                <c:formatCode>General</c:formatCode>
                <c:ptCount val="3"/>
                <c:pt idx="0">
                  <c:v>9</c:v>
                </c:pt>
                <c:pt idx="1">
                  <c:v>3</c:v>
                </c:pt>
                <c:pt idx="2">
                  <c:v>5</c:v>
                </c:pt>
              </c:numCache>
            </c:numRef>
          </c:val>
        </c:ser>
        <c:ser>
          <c:idx val="4"/>
          <c:order val="4"/>
          <c:tx>
            <c:strRef>
              <c:f>Folha1!$K$422</c:f>
              <c:strCache>
                <c:ptCount val="1"/>
                <c:pt idx="0">
                  <c:v>ponto </c:v>
                </c:pt>
              </c:strCache>
            </c:strRef>
          </c:tx>
          <c:cat>
            <c:strRef>
              <c:f>Folha1!$L$417:$N$417</c:f>
              <c:strCache>
                <c:ptCount val="3"/>
                <c:pt idx="0">
                  <c:v>PT2</c:v>
                </c:pt>
                <c:pt idx="1">
                  <c:v>Az</c:v>
                </c:pt>
                <c:pt idx="2">
                  <c:v>TPM</c:v>
                </c:pt>
              </c:strCache>
            </c:strRef>
          </c:cat>
          <c:val>
            <c:numRef>
              <c:f>Folha1!$L$422:$N$422</c:f>
              <c:numCache>
                <c:formatCode>General</c:formatCode>
                <c:ptCount val="3"/>
                <c:pt idx="0">
                  <c:v>5</c:v>
                </c:pt>
                <c:pt idx="1">
                  <c:v>2</c:v>
                </c:pt>
                <c:pt idx="2">
                  <c:v>0</c:v>
                </c:pt>
              </c:numCache>
            </c:numRef>
          </c:val>
        </c:ser>
        <c:ser>
          <c:idx val="5"/>
          <c:order val="5"/>
          <c:tx>
            <c:strRef>
              <c:f>Folha1!$K$423</c:f>
              <c:strCache>
                <c:ptCount val="1"/>
                <c:pt idx="0">
                  <c:v>facetado</c:v>
                </c:pt>
              </c:strCache>
            </c:strRef>
          </c:tx>
          <c:cat>
            <c:strRef>
              <c:f>Folha1!$L$417:$N$417</c:f>
              <c:strCache>
                <c:ptCount val="3"/>
                <c:pt idx="0">
                  <c:v>PT2</c:v>
                </c:pt>
                <c:pt idx="1">
                  <c:v>Az</c:v>
                </c:pt>
                <c:pt idx="2">
                  <c:v>TPM</c:v>
                </c:pt>
              </c:strCache>
            </c:strRef>
          </c:cat>
          <c:val>
            <c:numRef>
              <c:f>Folha1!$L$423:$N$423</c:f>
              <c:numCache>
                <c:formatCode>General</c:formatCode>
                <c:ptCount val="3"/>
                <c:pt idx="0">
                  <c:v>5</c:v>
                </c:pt>
                <c:pt idx="1">
                  <c:v>6</c:v>
                </c:pt>
                <c:pt idx="2">
                  <c:v>0</c:v>
                </c:pt>
              </c:numCache>
            </c:numRef>
          </c:val>
        </c:ser>
        <c:gapWidth val="55"/>
        <c:overlap val="100"/>
        <c:axId val="71687552"/>
        <c:axId val="71787648"/>
      </c:barChart>
      <c:catAx>
        <c:axId val="71687552"/>
        <c:scaling>
          <c:orientation val="minMax"/>
        </c:scaling>
        <c:axPos val="b"/>
        <c:majorTickMark val="none"/>
        <c:tickLblPos val="nextTo"/>
        <c:crossAx val="71787648"/>
        <c:crosses val="autoZero"/>
        <c:auto val="1"/>
        <c:lblAlgn val="ctr"/>
        <c:lblOffset val="100"/>
      </c:catAx>
      <c:valAx>
        <c:axId val="71787648"/>
        <c:scaling>
          <c:orientation val="minMax"/>
        </c:scaling>
        <c:axPos val="l"/>
        <c:majorGridlines/>
        <c:numFmt formatCode="0%" sourceLinked="1"/>
        <c:majorTickMark val="none"/>
        <c:tickLblPos val="nextTo"/>
        <c:crossAx val="71687552"/>
        <c:crosses val="autoZero"/>
        <c:crossBetween val="between"/>
      </c:valAx>
    </c:plotArea>
    <c:legend>
      <c:legendPos val="r"/>
      <c:layout/>
    </c:legend>
    <c:plotVisOnly val="1"/>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pt-PT"/>
  <c:chart>
    <c:autoTitleDeleted val="1"/>
    <c:plotArea>
      <c:layout/>
      <c:barChart>
        <c:barDir val="col"/>
        <c:grouping val="percentStacked"/>
        <c:ser>
          <c:idx val="0"/>
          <c:order val="0"/>
          <c:tx>
            <c:strRef>
              <c:f>Folha1!$K$436</c:f>
              <c:strCache>
                <c:ptCount val="1"/>
                <c:pt idx="0">
                  <c:v>Não</c:v>
                </c:pt>
              </c:strCache>
            </c:strRef>
          </c:tx>
          <c:cat>
            <c:strRef>
              <c:f>Folha1!$L$435:$N$435</c:f>
              <c:strCache>
                <c:ptCount val="3"/>
                <c:pt idx="0">
                  <c:v>PT2</c:v>
                </c:pt>
                <c:pt idx="1">
                  <c:v>Az</c:v>
                </c:pt>
                <c:pt idx="2">
                  <c:v>TPM</c:v>
                </c:pt>
              </c:strCache>
            </c:strRef>
          </c:cat>
          <c:val>
            <c:numRef>
              <c:f>Folha1!$L$436:$N$436</c:f>
              <c:numCache>
                <c:formatCode>General</c:formatCode>
                <c:ptCount val="3"/>
                <c:pt idx="0">
                  <c:v>23</c:v>
                </c:pt>
                <c:pt idx="1">
                  <c:v>46</c:v>
                </c:pt>
                <c:pt idx="2">
                  <c:v>61</c:v>
                </c:pt>
              </c:numCache>
            </c:numRef>
          </c:val>
        </c:ser>
        <c:ser>
          <c:idx val="1"/>
          <c:order val="1"/>
          <c:tx>
            <c:strRef>
              <c:f>Folha1!$K$437</c:f>
              <c:strCache>
                <c:ptCount val="1"/>
                <c:pt idx="0">
                  <c:v>sim </c:v>
                </c:pt>
              </c:strCache>
            </c:strRef>
          </c:tx>
          <c:cat>
            <c:strRef>
              <c:f>Folha1!$L$435:$N$435</c:f>
              <c:strCache>
                <c:ptCount val="3"/>
                <c:pt idx="0">
                  <c:v>PT2</c:v>
                </c:pt>
                <c:pt idx="1">
                  <c:v>Az</c:v>
                </c:pt>
                <c:pt idx="2">
                  <c:v>TPM</c:v>
                </c:pt>
              </c:strCache>
            </c:strRef>
          </c:cat>
          <c:val>
            <c:numRef>
              <c:f>Folha1!$L$437:$N$437</c:f>
              <c:numCache>
                <c:formatCode>General</c:formatCode>
                <c:ptCount val="3"/>
                <c:pt idx="0">
                  <c:v>77</c:v>
                </c:pt>
                <c:pt idx="1">
                  <c:v>54</c:v>
                </c:pt>
                <c:pt idx="2">
                  <c:v>39</c:v>
                </c:pt>
              </c:numCache>
            </c:numRef>
          </c:val>
        </c:ser>
        <c:gapWidth val="55"/>
        <c:overlap val="100"/>
        <c:axId val="71812224"/>
        <c:axId val="71813760"/>
      </c:barChart>
      <c:catAx>
        <c:axId val="71812224"/>
        <c:scaling>
          <c:orientation val="minMax"/>
        </c:scaling>
        <c:axPos val="b"/>
        <c:majorTickMark val="none"/>
        <c:tickLblPos val="nextTo"/>
        <c:crossAx val="71813760"/>
        <c:crosses val="autoZero"/>
        <c:auto val="1"/>
        <c:lblAlgn val="ctr"/>
        <c:lblOffset val="100"/>
      </c:catAx>
      <c:valAx>
        <c:axId val="71813760"/>
        <c:scaling>
          <c:orientation val="minMax"/>
        </c:scaling>
        <c:axPos val="l"/>
        <c:majorGridlines/>
        <c:numFmt formatCode="0%" sourceLinked="1"/>
        <c:majorTickMark val="none"/>
        <c:tickLblPos val="nextTo"/>
        <c:crossAx val="71812224"/>
        <c:crosses val="autoZero"/>
        <c:crossBetween val="between"/>
      </c:valAx>
    </c:plotArea>
    <c:legend>
      <c:legendPos val="r"/>
      <c:layout/>
    </c:legend>
    <c:plotVisOnly val="1"/>
  </c:chart>
  <c:spPr>
    <a:ln>
      <a:no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pt-PT"/>
  <c:chart>
    <c:autoTitleDeleted val="1"/>
    <c:plotArea>
      <c:layout/>
      <c:scatterChart>
        <c:scatterStyle val="lineMarker"/>
        <c:ser>
          <c:idx val="0"/>
          <c:order val="0"/>
          <c:tx>
            <c:v>Azinhal</c:v>
          </c:tx>
          <c:spPr>
            <a:ln w="28575">
              <a:noFill/>
            </a:ln>
          </c:spPr>
          <c:trendline>
            <c:trendlineType val="linear"/>
          </c:trendline>
          <c:xVal>
            <c:numRef>
              <c:f>Folha1!$N$7:$N$26</c:f>
              <c:numCache>
                <c:formatCode>General</c:formatCode>
                <c:ptCount val="20"/>
                <c:pt idx="0">
                  <c:v>27.09</c:v>
                </c:pt>
                <c:pt idx="1">
                  <c:v>35.130000000000003</c:v>
                </c:pt>
                <c:pt idx="2">
                  <c:v>28.84</c:v>
                </c:pt>
                <c:pt idx="3">
                  <c:v>42.02</c:v>
                </c:pt>
                <c:pt idx="4">
                  <c:v>41.190000000000012</c:v>
                </c:pt>
                <c:pt idx="5">
                  <c:v>47.89</c:v>
                </c:pt>
                <c:pt idx="6">
                  <c:v>30.82</c:v>
                </c:pt>
                <c:pt idx="7">
                  <c:v>58.24</c:v>
                </c:pt>
                <c:pt idx="8">
                  <c:v>33.620000000000012</c:v>
                </c:pt>
                <c:pt idx="9">
                  <c:v>105.24000000000002</c:v>
                </c:pt>
                <c:pt idx="10">
                  <c:v>28.84</c:v>
                </c:pt>
                <c:pt idx="11">
                  <c:v>37.04</c:v>
                </c:pt>
                <c:pt idx="12">
                  <c:v>54.46</c:v>
                </c:pt>
                <c:pt idx="13">
                  <c:v>32.380000000000003</c:v>
                </c:pt>
                <c:pt idx="14">
                  <c:v>30.459999999999987</c:v>
                </c:pt>
                <c:pt idx="15">
                  <c:v>101.98</c:v>
                </c:pt>
                <c:pt idx="16">
                  <c:v>41.89</c:v>
                </c:pt>
                <c:pt idx="17">
                  <c:v>153.25</c:v>
                </c:pt>
                <c:pt idx="18">
                  <c:v>87.36999999999999</c:v>
                </c:pt>
                <c:pt idx="19">
                  <c:v>37.800000000000004</c:v>
                </c:pt>
              </c:numCache>
            </c:numRef>
          </c:xVal>
          <c:yVal>
            <c:numRef>
              <c:f>Folha1!$O$7:$O$26</c:f>
              <c:numCache>
                <c:formatCode>General</c:formatCode>
                <c:ptCount val="20"/>
                <c:pt idx="0">
                  <c:v>20.55</c:v>
                </c:pt>
                <c:pt idx="1">
                  <c:v>23.38</c:v>
                </c:pt>
                <c:pt idx="2">
                  <c:v>28.630000000000027</c:v>
                </c:pt>
                <c:pt idx="3">
                  <c:v>29.45</c:v>
                </c:pt>
                <c:pt idx="4">
                  <c:v>22.36</c:v>
                </c:pt>
                <c:pt idx="5">
                  <c:v>38.47</c:v>
                </c:pt>
                <c:pt idx="6">
                  <c:v>24.73</c:v>
                </c:pt>
                <c:pt idx="7">
                  <c:v>26.830000000000005</c:v>
                </c:pt>
                <c:pt idx="8">
                  <c:v>24.64</c:v>
                </c:pt>
                <c:pt idx="9">
                  <c:v>56.91</c:v>
                </c:pt>
                <c:pt idx="10">
                  <c:v>23.45</c:v>
                </c:pt>
                <c:pt idx="11">
                  <c:v>28.8</c:v>
                </c:pt>
                <c:pt idx="12">
                  <c:v>32.28</c:v>
                </c:pt>
                <c:pt idx="13">
                  <c:v>15.66</c:v>
                </c:pt>
                <c:pt idx="14">
                  <c:v>27.95</c:v>
                </c:pt>
                <c:pt idx="15">
                  <c:v>75.19</c:v>
                </c:pt>
                <c:pt idx="16">
                  <c:v>34.99</c:v>
                </c:pt>
                <c:pt idx="17">
                  <c:v>89.32</c:v>
                </c:pt>
                <c:pt idx="18">
                  <c:v>61.49</c:v>
                </c:pt>
                <c:pt idx="19">
                  <c:v>23.959999999999987</c:v>
                </c:pt>
              </c:numCache>
            </c:numRef>
          </c:yVal>
        </c:ser>
        <c:ser>
          <c:idx val="1"/>
          <c:order val="1"/>
          <c:tx>
            <c:v>TPM</c:v>
          </c:tx>
          <c:spPr>
            <a:ln w="28575">
              <a:noFill/>
            </a:ln>
          </c:spPr>
          <c:trendline>
            <c:trendlineType val="linear"/>
          </c:trendline>
          <c:xVal>
            <c:numRef>
              <c:f>Folha1!$P$7:$P$24</c:f>
              <c:numCache>
                <c:formatCode>General</c:formatCode>
                <c:ptCount val="18"/>
                <c:pt idx="0">
                  <c:v>38.31</c:v>
                </c:pt>
                <c:pt idx="1">
                  <c:v>59.07</c:v>
                </c:pt>
                <c:pt idx="2">
                  <c:v>54.28</c:v>
                </c:pt>
                <c:pt idx="3">
                  <c:v>65.010000000000005</c:v>
                </c:pt>
                <c:pt idx="4">
                  <c:v>60.52</c:v>
                </c:pt>
                <c:pt idx="5">
                  <c:v>42.93</c:v>
                </c:pt>
                <c:pt idx="6">
                  <c:v>65.33</c:v>
                </c:pt>
                <c:pt idx="7">
                  <c:v>29.68</c:v>
                </c:pt>
                <c:pt idx="8">
                  <c:v>84.82</c:v>
                </c:pt>
                <c:pt idx="9">
                  <c:v>31.53</c:v>
                </c:pt>
                <c:pt idx="10">
                  <c:v>32.04</c:v>
                </c:pt>
                <c:pt idx="11">
                  <c:v>73.179999999999978</c:v>
                </c:pt>
                <c:pt idx="12">
                  <c:v>59.57</c:v>
                </c:pt>
                <c:pt idx="13">
                  <c:v>44.82</c:v>
                </c:pt>
                <c:pt idx="14">
                  <c:v>73.5</c:v>
                </c:pt>
                <c:pt idx="15">
                  <c:v>45.07</c:v>
                </c:pt>
                <c:pt idx="16">
                  <c:v>49.34</c:v>
                </c:pt>
                <c:pt idx="17">
                  <c:v>47.91</c:v>
                </c:pt>
              </c:numCache>
            </c:numRef>
          </c:xVal>
          <c:yVal>
            <c:numRef>
              <c:f>Folha1!$Q$7:$Q$24</c:f>
              <c:numCache>
                <c:formatCode>General</c:formatCode>
                <c:ptCount val="18"/>
                <c:pt idx="0">
                  <c:v>35.090000000000003</c:v>
                </c:pt>
                <c:pt idx="1">
                  <c:v>48.63</c:v>
                </c:pt>
                <c:pt idx="2">
                  <c:v>34.31</c:v>
                </c:pt>
                <c:pt idx="3">
                  <c:v>36.33</c:v>
                </c:pt>
                <c:pt idx="4">
                  <c:v>41.87</c:v>
                </c:pt>
                <c:pt idx="5">
                  <c:v>26.27</c:v>
                </c:pt>
                <c:pt idx="6">
                  <c:v>47.68</c:v>
                </c:pt>
                <c:pt idx="7">
                  <c:v>23.7</c:v>
                </c:pt>
                <c:pt idx="8">
                  <c:v>50.2</c:v>
                </c:pt>
                <c:pt idx="9">
                  <c:v>19.420000000000002</c:v>
                </c:pt>
                <c:pt idx="10">
                  <c:v>30.58</c:v>
                </c:pt>
                <c:pt idx="11">
                  <c:v>45.41</c:v>
                </c:pt>
                <c:pt idx="12">
                  <c:v>39.160000000000011</c:v>
                </c:pt>
                <c:pt idx="13">
                  <c:v>40.760000000000012</c:v>
                </c:pt>
                <c:pt idx="14">
                  <c:v>61.31</c:v>
                </c:pt>
                <c:pt idx="15">
                  <c:v>40.160000000000011</c:v>
                </c:pt>
                <c:pt idx="16">
                  <c:v>46.48</c:v>
                </c:pt>
                <c:pt idx="17">
                  <c:v>45.91</c:v>
                </c:pt>
              </c:numCache>
            </c:numRef>
          </c:yVal>
        </c:ser>
        <c:ser>
          <c:idx val="2"/>
          <c:order val="2"/>
          <c:tx>
            <c:v>PT2</c:v>
          </c:tx>
          <c:spPr>
            <a:ln w="28575">
              <a:noFill/>
            </a:ln>
          </c:spPr>
          <c:trendline>
            <c:trendlineType val="linear"/>
          </c:trendline>
          <c:xVal>
            <c:numRef>
              <c:f>Folha1!$R$7:$R$40</c:f>
              <c:numCache>
                <c:formatCode>General</c:formatCode>
                <c:ptCount val="34"/>
                <c:pt idx="0">
                  <c:v>97.460000000000022</c:v>
                </c:pt>
                <c:pt idx="1">
                  <c:v>28.330000000000005</c:v>
                </c:pt>
                <c:pt idx="2">
                  <c:v>51.47</c:v>
                </c:pt>
                <c:pt idx="3">
                  <c:v>69.900000000000006</c:v>
                </c:pt>
                <c:pt idx="4">
                  <c:v>60.120000000000012</c:v>
                </c:pt>
                <c:pt idx="5">
                  <c:v>37.910000000000004</c:v>
                </c:pt>
                <c:pt idx="6">
                  <c:v>40.51</c:v>
                </c:pt>
                <c:pt idx="7">
                  <c:v>69.11</c:v>
                </c:pt>
                <c:pt idx="8">
                  <c:v>116.76</c:v>
                </c:pt>
                <c:pt idx="9">
                  <c:v>34.15</c:v>
                </c:pt>
                <c:pt idx="10">
                  <c:v>33.43</c:v>
                </c:pt>
                <c:pt idx="11">
                  <c:v>38.25</c:v>
                </c:pt>
                <c:pt idx="12">
                  <c:v>68.5</c:v>
                </c:pt>
                <c:pt idx="13">
                  <c:v>40.51</c:v>
                </c:pt>
                <c:pt idx="14">
                  <c:v>27.03</c:v>
                </c:pt>
                <c:pt idx="15">
                  <c:v>31.08</c:v>
                </c:pt>
                <c:pt idx="16">
                  <c:v>59.63</c:v>
                </c:pt>
                <c:pt idx="17">
                  <c:v>43.55</c:v>
                </c:pt>
                <c:pt idx="18">
                  <c:v>44.87</c:v>
                </c:pt>
                <c:pt idx="19">
                  <c:v>49.28</c:v>
                </c:pt>
                <c:pt idx="20">
                  <c:v>36.380000000000003</c:v>
                </c:pt>
                <c:pt idx="21">
                  <c:v>71.06</c:v>
                </c:pt>
                <c:pt idx="22">
                  <c:v>77.47</c:v>
                </c:pt>
                <c:pt idx="23">
                  <c:v>36.08</c:v>
                </c:pt>
                <c:pt idx="24">
                  <c:v>83.25</c:v>
                </c:pt>
                <c:pt idx="25">
                  <c:v>72.900000000000006</c:v>
                </c:pt>
                <c:pt idx="26">
                  <c:v>44.190000000000012</c:v>
                </c:pt>
                <c:pt idx="27">
                  <c:v>92.5</c:v>
                </c:pt>
                <c:pt idx="28">
                  <c:v>63.47</c:v>
                </c:pt>
                <c:pt idx="29">
                  <c:v>50.21</c:v>
                </c:pt>
                <c:pt idx="30">
                  <c:v>42.74</c:v>
                </c:pt>
                <c:pt idx="31">
                  <c:v>80.209999999999994</c:v>
                </c:pt>
                <c:pt idx="32">
                  <c:v>76.25</c:v>
                </c:pt>
                <c:pt idx="33">
                  <c:v>37.290000000000013</c:v>
                </c:pt>
              </c:numCache>
            </c:numRef>
          </c:xVal>
          <c:yVal>
            <c:numRef>
              <c:f>Folha1!$S$7:$S$40</c:f>
              <c:numCache>
                <c:formatCode>General</c:formatCode>
                <c:ptCount val="34"/>
                <c:pt idx="0">
                  <c:v>60.59</c:v>
                </c:pt>
                <c:pt idx="1">
                  <c:v>29.93</c:v>
                </c:pt>
                <c:pt idx="2">
                  <c:v>35.33</c:v>
                </c:pt>
                <c:pt idx="3">
                  <c:v>62.53</c:v>
                </c:pt>
                <c:pt idx="4">
                  <c:v>59.7</c:v>
                </c:pt>
                <c:pt idx="5">
                  <c:v>40.15</c:v>
                </c:pt>
                <c:pt idx="6">
                  <c:v>38.18</c:v>
                </c:pt>
                <c:pt idx="7">
                  <c:v>39.950000000000003</c:v>
                </c:pt>
                <c:pt idx="8">
                  <c:v>83.35</c:v>
                </c:pt>
                <c:pt idx="9">
                  <c:v>31.02</c:v>
                </c:pt>
                <c:pt idx="10">
                  <c:v>28.75</c:v>
                </c:pt>
                <c:pt idx="11">
                  <c:v>25.85</c:v>
                </c:pt>
                <c:pt idx="12">
                  <c:v>53.15</c:v>
                </c:pt>
                <c:pt idx="13">
                  <c:v>23.79</c:v>
                </c:pt>
                <c:pt idx="14">
                  <c:v>25.57</c:v>
                </c:pt>
                <c:pt idx="15">
                  <c:v>13.22</c:v>
                </c:pt>
                <c:pt idx="16">
                  <c:v>31.82</c:v>
                </c:pt>
                <c:pt idx="17">
                  <c:v>28.51</c:v>
                </c:pt>
                <c:pt idx="18">
                  <c:v>33.11</c:v>
                </c:pt>
                <c:pt idx="19">
                  <c:v>24.5</c:v>
                </c:pt>
                <c:pt idx="20">
                  <c:v>21.23</c:v>
                </c:pt>
                <c:pt idx="21">
                  <c:v>54.46</c:v>
                </c:pt>
                <c:pt idx="22">
                  <c:v>82.08</c:v>
                </c:pt>
                <c:pt idx="23">
                  <c:v>37.300000000000004</c:v>
                </c:pt>
                <c:pt idx="24">
                  <c:v>55.61</c:v>
                </c:pt>
                <c:pt idx="25">
                  <c:v>44.53</c:v>
                </c:pt>
                <c:pt idx="26">
                  <c:v>36.35</c:v>
                </c:pt>
                <c:pt idx="27">
                  <c:v>67.849999999999994</c:v>
                </c:pt>
                <c:pt idx="28">
                  <c:v>50.44</c:v>
                </c:pt>
                <c:pt idx="29">
                  <c:v>34.44</c:v>
                </c:pt>
                <c:pt idx="30">
                  <c:v>39.44</c:v>
                </c:pt>
                <c:pt idx="31">
                  <c:v>51.55</c:v>
                </c:pt>
                <c:pt idx="32">
                  <c:v>62.5</c:v>
                </c:pt>
                <c:pt idx="33">
                  <c:v>32.65</c:v>
                </c:pt>
              </c:numCache>
            </c:numRef>
          </c:yVal>
        </c:ser>
        <c:axId val="71923584"/>
        <c:axId val="71942144"/>
      </c:scatterChart>
      <c:valAx>
        <c:axId val="71923584"/>
        <c:scaling>
          <c:orientation val="minMax"/>
        </c:scaling>
        <c:axPos val="b"/>
        <c:majorGridlines/>
        <c:minorGridlines/>
        <c:title>
          <c:tx>
            <c:rich>
              <a:bodyPr/>
              <a:lstStyle/>
              <a:p>
                <a:pPr>
                  <a:defRPr/>
                </a:pPr>
                <a:r>
                  <a:rPr lang="en-US"/>
                  <a:t>Comprimento</a:t>
                </a:r>
              </a:p>
            </c:rich>
          </c:tx>
          <c:layout/>
        </c:title>
        <c:numFmt formatCode="General" sourceLinked="1"/>
        <c:tickLblPos val="nextTo"/>
        <c:crossAx val="71942144"/>
        <c:crosses val="autoZero"/>
        <c:crossBetween val="midCat"/>
      </c:valAx>
      <c:valAx>
        <c:axId val="71942144"/>
        <c:scaling>
          <c:orientation val="minMax"/>
        </c:scaling>
        <c:axPos val="l"/>
        <c:majorGridlines/>
        <c:minorGridlines/>
        <c:title>
          <c:tx>
            <c:rich>
              <a:bodyPr/>
              <a:lstStyle/>
              <a:p>
                <a:pPr>
                  <a:defRPr/>
                </a:pPr>
                <a:r>
                  <a:rPr lang="en-US"/>
                  <a:t>Largura</a:t>
                </a:r>
              </a:p>
            </c:rich>
          </c:tx>
          <c:layout/>
        </c:title>
        <c:numFmt formatCode="General" sourceLinked="1"/>
        <c:tickLblPos val="nextTo"/>
        <c:crossAx val="71923584"/>
        <c:crosses val="autoZero"/>
        <c:crossBetween val="midCat"/>
      </c:valAx>
    </c:plotArea>
    <c:legend>
      <c:legendPos val="r"/>
      <c:layout/>
    </c:legend>
    <c:plotVisOnly val="1"/>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lang val="pt-PT"/>
  <c:chart>
    <c:autoTitleDeleted val="1"/>
    <c:plotArea>
      <c:layout/>
      <c:barChart>
        <c:barDir val="col"/>
        <c:grouping val="clustered"/>
        <c:ser>
          <c:idx val="0"/>
          <c:order val="0"/>
          <c:tx>
            <c:strRef>
              <c:f>Folha1!$F$332</c:f>
              <c:strCache>
                <c:ptCount val="1"/>
                <c:pt idx="0">
                  <c:v>PT2</c:v>
                </c:pt>
              </c:strCache>
            </c:strRef>
          </c:tx>
          <c:cat>
            <c:strRef>
              <c:f>Folha1!$E$333:$E$343</c:f>
              <c:strCache>
                <c:ptCount val="11"/>
                <c:pt idx="0">
                  <c:v>três</c:v>
                </c:pt>
                <c:pt idx="1">
                  <c:v>quatro</c:v>
                </c:pt>
                <c:pt idx="2">
                  <c:v>cinco</c:v>
                </c:pt>
                <c:pt idx="3">
                  <c:v>seis</c:v>
                </c:pt>
                <c:pt idx="4">
                  <c:v>sete</c:v>
                </c:pt>
                <c:pt idx="5">
                  <c:v>oito</c:v>
                </c:pt>
                <c:pt idx="6">
                  <c:v>nove</c:v>
                </c:pt>
                <c:pt idx="7">
                  <c:v>dez</c:v>
                </c:pt>
                <c:pt idx="8">
                  <c:v>onze</c:v>
                </c:pt>
                <c:pt idx="9">
                  <c:v>doze</c:v>
                </c:pt>
                <c:pt idx="10">
                  <c:v>dezasseis</c:v>
                </c:pt>
              </c:strCache>
            </c:strRef>
          </c:cat>
          <c:val>
            <c:numRef>
              <c:f>Folha1!$F$333:$F$343</c:f>
              <c:numCache>
                <c:formatCode>General</c:formatCode>
                <c:ptCount val="11"/>
                <c:pt idx="0">
                  <c:v>6</c:v>
                </c:pt>
                <c:pt idx="1">
                  <c:v>14</c:v>
                </c:pt>
                <c:pt idx="2">
                  <c:v>8</c:v>
                </c:pt>
                <c:pt idx="3">
                  <c:v>2</c:v>
                </c:pt>
                <c:pt idx="4">
                  <c:v>2</c:v>
                </c:pt>
                <c:pt idx="5">
                  <c:v>0</c:v>
                </c:pt>
                <c:pt idx="6">
                  <c:v>1</c:v>
                </c:pt>
                <c:pt idx="7">
                  <c:v>1</c:v>
                </c:pt>
                <c:pt idx="8">
                  <c:v>0</c:v>
                </c:pt>
                <c:pt idx="9">
                  <c:v>0</c:v>
                </c:pt>
                <c:pt idx="10">
                  <c:v>0</c:v>
                </c:pt>
              </c:numCache>
            </c:numRef>
          </c:val>
        </c:ser>
        <c:ser>
          <c:idx val="1"/>
          <c:order val="1"/>
          <c:tx>
            <c:strRef>
              <c:f>Folha1!$G$332</c:f>
              <c:strCache>
                <c:ptCount val="1"/>
                <c:pt idx="0">
                  <c:v>Az</c:v>
                </c:pt>
              </c:strCache>
            </c:strRef>
          </c:tx>
          <c:cat>
            <c:strRef>
              <c:f>Folha1!$E$333:$E$343</c:f>
              <c:strCache>
                <c:ptCount val="11"/>
                <c:pt idx="0">
                  <c:v>três</c:v>
                </c:pt>
                <c:pt idx="1">
                  <c:v>quatro</c:v>
                </c:pt>
                <c:pt idx="2">
                  <c:v>cinco</c:v>
                </c:pt>
                <c:pt idx="3">
                  <c:v>seis</c:v>
                </c:pt>
                <c:pt idx="4">
                  <c:v>sete</c:v>
                </c:pt>
                <c:pt idx="5">
                  <c:v>oito</c:v>
                </c:pt>
                <c:pt idx="6">
                  <c:v>nove</c:v>
                </c:pt>
                <c:pt idx="7">
                  <c:v>dez</c:v>
                </c:pt>
                <c:pt idx="8">
                  <c:v>onze</c:v>
                </c:pt>
                <c:pt idx="9">
                  <c:v>doze</c:v>
                </c:pt>
                <c:pt idx="10">
                  <c:v>dezasseis</c:v>
                </c:pt>
              </c:strCache>
            </c:strRef>
          </c:cat>
          <c:val>
            <c:numRef>
              <c:f>Folha1!$G$333:$G$343</c:f>
              <c:numCache>
                <c:formatCode>General</c:formatCode>
                <c:ptCount val="11"/>
                <c:pt idx="0">
                  <c:v>2</c:v>
                </c:pt>
                <c:pt idx="1">
                  <c:v>5</c:v>
                </c:pt>
                <c:pt idx="2">
                  <c:v>2</c:v>
                </c:pt>
                <c:pt idx="3">
                  <c:v>6</c:v>
                </c:pt>
                <c:pt idx="4">
                  <c:v>6</c:v>
                </c:pt>
                <c:pt idx="5">
                  <c:v>6</c:v>
                </c:pt>
                <c:pt idx="6">
                  <c:v>0</c:v>
                </c:pt>
                <c:pt idx="7">
                  <c:v>1</c:v>
                </c:pt>
                <c:pt idx="8">
                  <c:v>1</c:v>
                </c:pt>
                <c:pt idx="9">
                  <c:v>0</c:v>
                </c:pt>
                <c:pt idx="10">
                  <c:v>0</c:v>
                </c:pt>
              </c:numCache>
            </c:numRef>
          </c:val>
        </c:ser>
        <c:ser>
          <c:idx val="2"/>
          <c:order val="2"/>
          <c:tx>
            <c:strRef>
              <c:f>Folha1!$H$332</c:f>
              <c:strCache>
                <c:ptCount val="1"/>
                <c:pt idx="0">
                  <c:v>TPM</c:v>
                </c:pt>
              </c:strCache>
            </c:strRef>
          </c:tx>
          <c:cat>
            <c:strRef>
              <c:f>Folha1!$E$333:$E$343</c:f>
              <c:strCache>
                <c:ptCount val="11"/>
                <c:pt idx="0">
                  <c:v>três</c:v>
                </c:pt>
                <c:pt idx="1">
                  <c:v>quatro</c:v>
                </c:pt>
                <c:pt idx="2">
                  <c:v>cinco</c:v>
                </c:pt>
                <c:pt idx="3">
                  <c:v>seis</c:v>
                </c:pt>
                <c:pt idx="4">
                  <c:v>sete</c:v>
                </c:pt>
                <c:pt idx="5">
                  <c:v>oito</c:v>
                </c:pt>
                <c:pt idx="6">
                  <c:v>nove</c:v>
                </c:pt>
                <c:pt idx="7">
                  <c:v>dez</c:v>
                </c:pt>
                <c:pt idx="8">
                  <c:v>onze</c:v>
                </c:pt>
                <c:pt idx="9">
                  <c:v>doze</c:v>
                </c:pt>
                <c:pt idx="10">
                  <c:v>dezasseis</c:v>
                </c:pt>
              </c:strCache>
            </c:strRef>
          </c:cat>
          <c:val>
            <c:numRef>
              <c:f>Folha1!$H$333:$H$343</c:f>
              <c:numCache>
                <c:formatCode>General</c:formatCode>
                <c:ptCount val="11"/>
                <c:pt idx="0">
                  <c:v>4</c:v>
                </c:pt>
                <c:pt idx="1">
                  <c:v>3</c:v>
                </c:pt>
                <c:pt idx="2">
                  <c:v>5</c:v>
                </c:pt>
                <c:pt idx="3">
                  <c:v>1</c:v>
                </c:pt>
                <c:pt idx="4">
                  <c:v>1</c:v>
                </c:pt>
                <c:pt idx="5">
                  <c:v>2</c:v>
                </c:pt>
                <c:pt idx="6">
                  <c:v>0</c:v>
                </c:pt>
                <c:pt idx="7">
                  <c:v>0</c:v>
                </c:pt>
                <c:pt idx="8">
                  <c:v>0</c:v>
                </c:pt>
                <c:pt idx="9">
                  <c:v>1</c:v>
                </c:pt>
                <c:pt idx="10">
                  <c:v>1</c:v>
                </c:pt>
              </c:numCache>
            </c:numRef>
          </c:val>
        </c:ser>
        <c:axId val="71840896"/>
        <c:axId val="71842432"/>
      </c:barChart>
      <c:catAx>
        <c:axId val="71840896"/>
        <c:scaling>
          <c:orientation val="minMax"/>
        </c:scaling>
        <c:axPos val="b"/>
        <c:majorTickMark val="none"/>
        <c:tickLblPos val="nextTo"/>
        <c:crossAx val="71842432"/>
        <c:crosses val="autoZero"/>
        <c:auto val="1"/>
        <c:lblAlgn val="ctr"/>
        <c:lblOffset val="100"/>
      </c:catAx>
      <c:valAx>
        <c:axId val="71842432"/>
        <c:scaling>
          <c:orientation val="minMax"/>
        </c:scaling>
        <c:axPos val="l"/>
        <c:majorGridlines/>
        <c:numFmt formatCode="General" sourceLinked="1"/>
        <c:majorTickMark val="none"/>
        <c:tickLblPos val="nextTo"/>
        <c:crossAx val="71840896"/>
        <c:crosses val="autoZero"/>
        <c:crossBetween val="between"/>
      </c:valAx>
    </c:plotArea>
    <c:legend>
      <c:legendPos val="t"/>
      <c:layout/>
    </c:legend>
    <c:plotVisOnly val="1"/>
  </c:chart>
  <c:spPr>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pt-PT"/>
  <c:chart>
    <c:plotArea>
      <c:layout/>
      <c:barChart>
        <c:barDir val="col"/>
        <c:grouping val="percentStacked"/>
        <c:ser>
          <c:idx val="1"/>
          <c:order val="0"/>
          <c:tx>
            <c:v>retoque</c:v>
          </c:tx>
          <c:cat>
            <c:strRef>
              <c:f>Folha1!$M$460:$O$460</c:f>
              <c:strCache>
                <c:ptCount val="3"/>
                <c:pt idx="0">
                  <c:v>PT2</c:v>
                </c:pt>
                <c:pt idx="1">
                  <c:v>Az</c:v>
                </c:pt>
                <c:pt idx="2">
                  <c:v>TPM</c:v>
                </c:pt>
              </c:strCache>
            </c:strRef>
          </c:cat>
          <c:val>
            <c:numRef>
              <c:f>Folha1!$M$462:$O$462</c:f>
              <c:numCache>
                <c:formatCode>General</c:formatCode>
                <c:ptCount val="3"/>
                <c:pt idx="0">
                  <c:v>30</c:v>
                </c:pt>
                <c:pt idx="1">
                  <c:v>10</c:v>
                </c:pt>
                <c:pt idx="2">
                  <c:v>19</c:v>
                </c:pt>
              </c:numCache>
            </c:numRef>
          </c:val>
        </c:ser>
        <c:ser>
          <c:idx val="2"/>
          <c:order val="1"/>
          <c:tx>
            <c:v>entalhe</c:v>
          </c:tx>
          <c:cat>
            <c:strRef>
              <c:f>Folha1!$M$460:$O$460</c:f>
              <c:strCache>
                <c:ptCount val="3"/>
                <c:pt idx="0">
                  <c:v>PT2</c:v>
                </c:pt>
                <c:pt idx="1">
                  <c:v>Az</c:v>
                </c:pt>
                <c:pt idx="2">
                  <c:v>TPM</c:v>
                </c:pt>
              </c:strCache>
            </c:strRef>
          </c:cat>
          <c:val>
            <c:numRef>
              <c:f>Folha1!$M$463:$O$463</c:f>
              <c:numCache>
                <c:formatCode>General</c:formatCode>
                <c:ptCount val="3"/>
                <c:pt idx="0">
                  <c:v>87</c:v>
                </c:pt>
                <c:pt idx="1">
                  <c:v>8</c:v>
                </c:pt>
                <c:pt idx="2">
                  <c:v>7</c:v>
                </c:pt>
              </c:numCache>
            </c:numRef>
          </c:val>
        </c:ser>
        <c:ser>
          <c:idx val="3"/>
          <c:order val="2"/>
          <c:tx>
            <c:v>denticulado</c:v>
          </c:tx>
          <c:cat>
            <c:strRef>
              <c:f>Folha1!$M$460:$O$460</c:f>
              <c:strCache>
                <c:ptCount val="3"/>
                <c:pt idx="0">
                  <c:v>PT2</c:v>
                </c:pt>
                <c:pt idx="1">
                  <c:v>Az</c:v>
                </c:pt>
                <c:pt idx="2">
                  <c:v>TPM</c:v>
                </c:pt>
              </c:strCache>
            </c:strRef>
          </c:cat>
          <c:val>
            <c:numRef>
              <c:f>Folha1!$M$464:$O$464</c:f>
              <c:numCache>
                <c:formatCode>General</c:formatCode>
                <c:ptCount val="3"/>
                <c:pt idx="0">
                  <c:v>17</c:v>
                </c:pt>
                <c:pt idx="1">
                  <c:v>5</c:v>
                </c:pt>
                <c:pt idx="2">
                  <c:v>1</c:v>
                </c:pt>
              </c:numCache>
            </c:numRef>
          </c:val>
        </c:ser>
        <c:ser>
          <c:idx val="4"/>
          <c:order val="3"/>
          <c:tx>
            <c:v>lascas "em bruto"</c:v>
          </c:tx>
          <c:cat>
            <c:strRef>
              <c:f>Folha1!$M$460:$O$460</c:f>
              <c:strCache>
                <c:ptCount val="3"/>
                <c:pt idx="0">
                  <c:v>PT2</c:v>
                </c:pt>
                <c:pt idx="1">
                  <c:v>Az</c:v>
                </c:pt>
                <c:pt idx="2">
                  <c:v>TPM</c:v>
                </c:pt>
              </c:strCache>
            </c:strRef>
          </c:cat>
          <c:val>
            <c:numRef>
              <c:f>Folha1!$M$465:$O$465</c:f>
              <c:numCache>
                <c:formatCode>General</c:formatCode>
                <c:ptCount val="3"/>
                <c:pt idx="0">
                  <c:v>91</c:v>
                </c:pt>
                <c:pt idx="1">
                  <c:v>134</c:v>
                </c:pt>
                <c:pt idx="2">
                  <c:v>231</c:v>
                </c:pt>
              </c:numCache>
            </c:numRef>
          </c:val>
        </c:ser>
        <c:overlap val="100"/>
        <c:axId val="71876992"/>
        <c:axId val="71878528"/>
      </c:barChart>
      <c:catAx>
        <c:axId val="71876992"/>
        <c:scaling>
          <c:orientation val="minMax"/>
        </c:scaling>
        <c:axPos val="b"/>
        <c:tickLblPos val="nextTo"/>
        <c:crossAx val="71878528"/>
        <c:crosses val="autoZero"/>
        <c:auto val="1"/>
        <c:lblAlgn val="ctr"/>
        <c:lblOffset val="100"/>
      </c:catAx>
      <c:valAx>
        <c:axId val="71878528"/>
        <c:scaling>
          <c:orientation val="minMax"/>
        </c:scaling>
        <c:axPos val="l"/>
        <c:majorGridlines/>
        <c:numFmt formatCode="0%" sourceLinked="1"/>
        <c:tickLblPos val="nextTo"/>
        <c:crossAx val="71876992"/>
        <c:crosses val="autoZero"/>
        <c:crossBetween val="between"/>
      </c:valAx>
    </c:plotArea>
    <c:legend>
      <c:legendPos val="r"/>
      <c:layout/>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lascas</c:v>
          </c:tx>
          <c:spPr>
            <a:ln w="28575">
              <a:noFill/>
            </a:ln>
          </c:spPr>
          <c:trendline>
            <c:trendlineType val="linear"/>
            <c:dispRSqr val="1"/>
            <c:dispEq val="1"/>
            <c:trendlineLbl>
              <c:layout/>
              <c:numFmt formatCode="General" sourceLinked="0"/>
            </c:trendlineLbl>
          </c:trendline>
          <c:xVal>
            <c:numRef>
              <c:f>Folha1!$D$64:$D$100</c:f>
              <c:numCache>
                <c:formatCode>General</c:formatCode>
                <c:ptCount val="37"/>
                <c:pt idx="0">
                  <c:v>72.02</c:v>
                </c:pt>
                <c:pt idx="1">
                  <c:v>57.67</c:v>
                </c:pt>
                <c:pt idx="2">
                  <c:v>66.569999999999993</c:v>
                </c:pt>
                <c:pt idx="3">
                  <c:v>47.2</c:v>
                </c:pt>
                <c:pt idx="4">
                  <c:v>61.2</c:v>
                </c:pt>
                <c:pt idx="5">
                  <c:v>52.68</c:v>
                </c:pt>
                <c:pt idx="6">
                  <c:v>60.120000000000012</c:v>
                </c:pt>
                <c:pt idx="7">
                  <c:v>52.11</c:v>
                </c:pt>
                <c:pt idx="8">
                  <c:v>48.11</c:v>
                </c:pt>
                <c:pt idx="9">
                  <c:v>65.739999999999995</c:v>
                </c:pt>
                <c:pt idx="10">
                  <c:v>34.33</c:v>
                </c:pt>
                <c:pt idx="11">
                  <c:v>31.66</c:v>
                </c:pt>
                <c:pt idx="12">
                  <c:v>25.43</c:v>
                </c:pt>
                <c:pt idx="13">
                  <c:v>22.55</c:v>
                </c:pt>
                <c:pt idx="14">
                  <c:v>68.430000000000007</c:v>
                </c:pt>
                <c:pt idx="15">
                  <c:v>48.27</c:v>
                </c:pt>
                <c:pt idx="16">
                  <c:v>64.709999999999994</c:v>
                </c:pt>
                <c:pt idx="17">
                  <c:v>60.35</c:v>
                </c:pt>
                <c:pt idx="18">
                  <c:v>42.3</c:v>
                </c:pt>
                <c:pt idx="19">
                  <c:v>56.84</c:v>
                </c:pt>
                <c:pt idx="20">
                  <c:v>43.45</c:v>
                </c:pt>
                <c:pt idx="21">
                  <c:v>33.94</c:v>
                </c:pt>
                <c:pt idx="22">
                  <c:v>45.25</c:v>
                </c:pt>
                <c:pt idx="23">
                  <c:v>53.25</c:v>
                </c:pt>
                <c:pt idx="24">
                  <c:v>44.06</c:v>
                </c:pt>
                <c:pt idx="25">
                  <c:v>23.03</c:v>
                </c:pt>
                <c:pt idx="26">
                  <c:v>23.3</c:v>
                </c:pt>
                <c:pt idx="27">
                  <c:v>26.02</c:v>
                </c:pt>
                <c:pt idx="28">
                  <c:v>35.06</c:v>
                </c:pt>
                <c:pt idx="29">
                  <c:v>29.8</c:v>
                </c:pt>
                <c:pt idx="30">
                  <c:v>34.31</c:v>
                </c:pt>
                <c:pt idx="31">
                  <c:v>34.380000000000003</c:v>
                </c:pt>
                <c:pt idx="32">
                  <c:v>52.82</c:v>
                </c:pt>
                <c:pt idx="33">
                  <c:v>52</c:v>
                </c:pt>
                <c:pt idx="34">
                  <c:v>27.59</c:v>
                </c:pt>
                <c:pt idx="35">
                  <c:v>19</c:v>
                </c:pt>
                <c:pt idx="36">
                  <c:v>24.14</c:v>
                </c:pt>
              </c:numCache>
            </c:numRef>
          </c:xVal>
          <c:yVal>
            <c:numRef>
              <c:f>Folha1!$E$64:$E$100</c:f>
              <c:numCache>
                <c:formatCode>General</c:formatCode>
                <c:ptCount val="37"/>
                <c:pt idx="0">
                  <c:v>27.41</c:v>
                </c:pt>
                <c:pt idx="1">
                  <c:v>20.190000000000001</c:v>
                </c:pt>
                <c:pt idx="2">
                  <c:v>26.2</c:v>
                </c:pt>
                <c:pt idx="3">
                  <c:v>14.08</c:v>
                </c:pt>
                <c:pt idx="4">
                  <c:v>25.06</c:v>
                </c:pt>
                <c:pt idx="5">
                  <c:v>21.29</c:v>
                </c:pt>
                <c:pt idx="6">
                  <c:v>13.98</c:v>
                </c:pt>
                <c:pt idx="7">
                  <c:v>13.7</c:v>
                </c:pt>
                <c:pt idx="8">
                  <c:v>8.08</c:v>
                </c:pt>
                <c:pt idx="9">
                  <c:v>16.899999999999999</c:v>
                </c:pt>
                <c:pt idx="10">
                  <c:v>10.78</c:v>
                </c:pt>
                <c:pt idx="11">
                  <c:v>12.09</c:v>
                </c:pt>
                <c:pt idx="12">
                  <c:v>8.24</c:v>
                </c:pt>
                <c:pt idx="13">
                  <c:v>8.92</c:v>
                </c:pt>
                <c:pt idx="14">
                  <c:v>16.53</c:v>
                </c:pt>
                <c:pt idx="15">
                  <c:v>15.47</c:v>
                </c:pt>
                <c:pt idx="16">
                  <c:v>15.48</c:v>
                </c:pt>
                <c:pt idx="17">
                  <c:v>16.760000000000002</c:v>
                </c:pt>
                <c:pt idx="18">
                  <c:v>18.779999999999987</c:v>
                </c:pt>
                <c:pt idx="19">
                  <c:v>17.43</c:v>
                </c:pt>
                <c:pt idx="20">
                  <c:v>15.73</c:v>
                </c:pt>
                <c:pt idx="21">
                  <c:v>12.09</c:v>
                </c:pt>
                <c:pt idx="22">
                  <c:v>20.57</c:v>
                </c:pt>
                <c:pt idx="23">
                  <c:v>16.170000000000005</c:v>
                </c:pt>
                <c:pt idx="24">
                  <c:v>11.12</c:v>
                </c:pt>
                <c:pt idx="25">
                  <c:v>7.71</c:v>
                </c:pt>
                <c:pt idx="26">
                  <c:v>9.64</c:v>
                </c:pt>
                <c:pt idx="27">
                  <c:v>7.1499999999999995</c:v>
                </c:pt>
                <c:pt idx="28">
                  <c:v>16.510000000000005</c:v>
                </c:pt>
                <c:pt idx="29">
                  <c:v>13.54</c:v>
                </c:pt>
                <c:pt idx="30">
                  <c:v>13.08</c:v>
                </c:pt>
                <c:pt idx="31">
                  <c:v>14.12</c:v>
                </c:pt>
                <c:pt idx="32">
                  <c:v>28.47</c:v>
                </c:pt>
                <c:pt idx="33">
                  <c:v>13.81</c:v>
                </c:pt>
                <c:pt idx="34">
                  <c:v>8.8800000000000008</c:v>
                </c:pt>
                <c:pt idx="35">
                  <c:v>6.41</c:v>
                </c:pt>
                <c:pt idx="36">
                  <c:v>6.84</c:v>
                </c:pt>
              </c:numCache>
            </c:numRef>
          </c:yVal>
        </c:ser>
        <c:axId val="69540096"/>
        <c:axId val="69558656"/>
      </c:scatterChart>
      <c:valAx>
        <c:axId val="69540096"/>
        <c:scaling>
          <c:orientation val="minMax"/>
        </c:scaling>
        <c:axPos val="b"/>
        <c:title>
          <c:tx>
            <c:rich>
              <a:bodyPr/>
              <a:lstStyle/>
              <a:p>
                <a:pPr>
                  <a:defRPr sz="1000" b="1" i="0" u="none" strike="noStrike" baseline="0">
                    <a:solidFill>
                      <a:srgbClr val="000000"/>
                    </a:solidFill>
                    <a:latin typeface="Calibri"/>
                    <a:ea typeface="Calibri"/>
                    <a:cs typeface="Calibri"/>
                  </a:defRPr>
                </a:pPr>
                <a:r>
                  <a:rPr lang="pt-PT"/>
                  <a:t>Comprimento</a:t>
                </a:r>
              </a:p>
            </c:rich>
          </c:tx>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t-PT"/>
          </a:p>
        </c:txPr>
        <c:crossAx val="69558656"/>
        <c:crosses val="autoZero"/>
        <c:crossBetween val="midCat"/>
      </c:valAx>
      <c:valAx>
        <c:axId val="69558656"/>
        <c:scaling>
          <c:orientation val="minMax"/>
        </c:scaling>
        <c:axPos val="l"/>
        <c:majorGridlines/>
        <c:minorGridlines/>
        <c:title>
          <c:tx>
            <c:rich>
              <a:bodyPr/>
              <a:lstStyle/>
              <a:p>
                <a:pPr>
                  <a:defRPr sz="1000" b="1" i="0" u="none" strike="noStrike" baseline="0">
                    <a:solidFill>
                      <a:srgbClr val="000000"/>
                    </a:solidFill>
                    <a:latin typeface="Calibri"/>
                    <a:ea typeface="Calibri"/>
                    <a:cs typeface="Calibri"/>
                  </a:defRPr>
                </a:pPr>
                <a:r>
                  <a:rPr lang="pt-PT"/>
                  <a:t>Largura</a:t>
                </a:r>
              </a:p>
            </c:rich>
          </c:tx>
          <c:layout/>
        </c:title>
        <c:numFmt formatCode="General" sourceLinked="1"/>
        <c:tickLblPos val="nextTo"/>
        <c:crossAx val="69540096"/>
        <c:crosses val="autoZero"/>
        <c:crossBetween val="midCat"/>
      </c:valAx>
    </c:plotArea>
    <c:legend>
      <c:legendPos val="r"/>
      <c:layout/>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lascas</c:v>
          </c:tx>
          <c:spPr>
            <a:ln w="28575">
              <a:noFill/>
            </a:ln>
          </c:spPr>
          <c:trendline>
            <c:trendlineType val="linear"/>
            <c:dispRSqr val="1"/>
            <c:dispEq val="1"/>
            <c:trendlineLbl>
              <c:layout/>
              <c:numFmt formatCode="General" sourceLinked="0"/>
            </c:trendlineLbl>
          </c:trendline>
          <c:xVal>
            <c:numRef>
              <c:f>Folha1!$E$64:$E$100</c:f>
              <c:numCache>
                <c:formatCode>General</c:formatCode>
                <c:ptCount val="37"/>
                <c:pt idx="0">
                  <c:v>27.41</c:v>
                </c:pt>
                <c:pt idx="1">
                  <c:v>20.190000000000001</c:v>
                </c:pt>
                <c:pt idx="2">
                  <c:v>26.2</c:v>
                </c:pt>
                <c:pt idx="3">
                  <c:v>14.08</c:v>
                </c:pt>
                <c:pt idx="4">
                  <c:v>25.06</c:v>
                </c:pt>
                <c:pt idx="5">
                  <c:v>21.29</c:v>
                </c:pt>
                <c:pt idx="6">
                  <c:v>13.98</c:v>
                </c:pt>
                <c:pt idx="7">
                  <c:v>13.7</c:v>
                </c:pt>
                <c:pt idx="8">
                  <c:v>8.08</c:v>
                </c:pt>
                <c:pt idx="9">
                  <c:v>16.899999999999999</c:v>
                </c:pt>
                <c:pt idx="10">
                  <c:v>10.78</c:v>
                </c:pt>
                <c:pt idx="11">
                  <c:v>12.09</c:v>
                </c:pt>
                <c:pt idx="12">
                  <c:v>8.24</c:v>
                </c:pt>
                <c:pt idx="13">
                  <c:v>8.92</c:v>
                </c:pt>
                <c:pt idx="14">
                  <c:v>16.53</c:v>
                </c:pt>
                <c:pt idx="15">
                  <c:v>15.47</c:v>
                </c:pt>
                <c:pt idx="16">
                  <c:v>15.48</c:v>
                </c:pt>
                <c:pt idx="17">
                  <c:v>16.760000000000002</c:v>
                </c:pt>
                <c:pt idx="18">
                  <c:v>18.779999999999987</c:v>
                </c:pt>
                <c:pt idx="19">
                  <c:v>17.43</c:v>
                </c:pt>
                <c:pt idx="20">
                  <c:v>15.73</c:v>
                </c:pt>
                <c:pt idx="21">
                  <c:v>12.09</c:v>
                </c:pt>
                <c:pt idx="22">
                  <c:v>20.57</c:v>
                </c:pt>
                <c:pt idx="23">
                  <c:v>16.170000000000005</c:v>
                </c:pt>
                <c:pt idx="24">
                  <c:v>11.12</c:v>
                </c:pt>
                <c:pt idx="25">
                  <c:v>7.71</c:v>
                </c:pt>
                <c:pt idx="26">
                  <c:v>9.64</c:v>
                </c:pt>
                <c:pt idx="27">
                  <c:v>7.1499999999999995</c:v>
                </c:pt>
                <c:pt idx="28">
                  <c:v>16.510000000000005</c:v>
                </c:pt>
                <c:pt idx="29">
                  <c:v>13.54</c:v>
                </c:pt>
                <c:pt idx="30">
                  <c:v>13.08</c:v>
                </c:pt>
                <c:pt idx="31">
                  <c:v>14.12</c:v>
                </c:pt>
                <c:pt idx="32">
                  <c:v>28.47</c:v>
                </c:pt>
                <c:pt idx="33">
                  <c:v>13.81</c:v>
                </c:pt>
                <c:pt idx="34">
                  <c:v>8.8800000000000008</c:v>
                </c:pt>
                <c:pt idx="35">
                  <c:v>6.41</c:v>
                </c:pt>
                <c:pt idx="36">
                  <c:v>6.84</c:v>
                </c:pt>
              </c:numCache>
            </c:numRef>
          </c:xVal>
          <c:yVal>
            <c:numRef>
              <c:f>Folha1!$F$64:$F$100</c:f>
              <c:numCache>
                <c:formatCode>General</c:formatCode>
                <c:ptCount val="37"/>
                <c:pt idx="0">
                  <c:v>74.81</c:v>
                </c:pt>
                <c:pt idx="1">
                  <c:v>57.64</c:v>
                </c:pt>
                <c:pt idx="2">
                  <c:v>66.400000000000006</c:v>
                </c:pt>
                <c:pt idx="3">
                  <c:v>22.8</c:v>
                </c:pt>
                <c:pt idx="4">
                  <c:v>45.39</c:v>
                </c:pt>
                <c:pt idx="5">
                  <c:v>57.03</c:v>
                </c:pt>
                <c:pt idx="6">
                  <c:v>47.47</c:v>
                </c:pt>
                <c:pt idx="7">
                  <c:v>39.700000000000003</c:v>
                </c:pt>
                <c:pt idx="8">
                  <c:v>21.4</c:v>
                </c:pt>
                <c:pt idx="9">
                  <c:v>53.41</c:v>
                </c:pt>
                <c:pt idx="10">
                  <c:v>37.96</c:v>
                </c:pt>
                <c:pt idx="11">
                  <c:v>30</c:v>
                </c:pt>
                <c:pt idx="12">
                  <c:v>23.610000000000031</c:v>
                </c:pt>
                <c:pt idx="13">
                  <c:v>21.1</c:v>
                </c:pt>
                <c:pt idx="14">
                  <c:v>48.95</c:v>
                </c:pt>
                <c:pt idx="15">
                  <c:v>41.65</c:v>
                </c:pt>
                <c:pt idx="16">
                  <c:v>61.78</c:v>
                </c:pt>
                <c:pt idx="17">
                  <c:v>32.07</c:v>
                </c:pt>
                <c:pt idx="18">
                  <c:v>45.07</c:v>
                </c:pt>
                <c:pt idx="19">
                  <c:v>56.94</c:v>
                </c:pt>
                <c:pt idx="20">
                  <c:v>28.53</c:v>
                </c:pt>
                <c:pt idx="21">
                  <c:v>48.230000000000011</c:v>
                </c:pt>
                <c:pt idx="22">
                  <c:v>60.660000000000011</c:v>
                </c:pt>
                <c:pt idx="23">
                  <c:v>66.14</c:v>
                </c:pt>
                <c:pt idx="24">
                  <c:v>43.11</c:v>
                </c:pt>
                <c:pt idx="25">
                  <c:v>27.759999999999987</c:v>
                </c:pt>
                <c:pt idx="26">
                  <c:v>18.920000000000002</c:v>
                </c:pt>
                <c:pt idx="27">
                  <c:v>25.35</c:v>
                </c:pt>
                <c:pt idx="28">
                  <c:v>53.42</c:v>
                </c:pt>
                <c:pt idx="29">
                  <c:v>43.13</c:v>
                </c:pt>
                <c:pt idx="30">
                  <c:v>51.86</c:v>
                </c:pt>
                <c:pt idx="31">
                  <c:v>36.300000000000004</c:v>
                </c:pt>
                <c:pt idx="32">
                  <c:v>65.47</c:v>
                </c:pt>
                <c:pt idx="33">
                  <c:v>25.56</c:v>
                </c:pt>
                <c:pt idx="34">
                  <c:v>18.84</c:v>
                </c:pt>
                <c:pt idx="35">
                  <c:v>19.57</c:v>
                </c:pt>
                <c:pt idx="36">
                  <c:v>21.459999999999987</c:v>
                </c:pt>
              </c:numCache>
            </c:numRef>
          </c:yVal>
        </c:ser>
        <c:axId val="75166464"/>
        <c:axId val="75168384"/>
      </c:scatterChart>
      <c:valAx>
        <c:axId val="75166464"/>
        <c:scaling>
          <c:orientation val="minMax"/>
        </c:scaling>
        <c:axPos val="b"/>
        <c:title>
          <c:tx>
            <c:rich>
              <a:bodyPr/>
              <a:lstStyle/>
              <a:p>
                <a:pPr>
                  <a:defRPr sz="1000" b="1" i="0" u="none" strike="noStrike" baseline="0">
                    <a:solidFill>
                      <a:srgbClr val="000000"/>
                    </a:solidFill>
                    <a:latin typeface="Calibri"/>
                    <a:ea typeface="Calibri"/>
                    <a:cs typeface="Calibri"/>
                  </a:defRPr>
                </a:pPr>
                <a:r>
                  <a:rPr lang="pt-PT"/>
                  <a:t>Largura</a:t>
                </a:r>
              </a:p>
            </c:rich>
          </c:tx>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t-PT"/>
          </a:p>
        </c:txPr>
        <c:crossAx val="75168384"/>
        <c:crosses val="autoZero"/>
        <c:crossBetween val="midCat"/>
      </c:valAx>
      <c:valAx>
        <c:axId val="75168384"/>
        <c:scaling>
          <c:orientation val="minMax"/>
        </c:scaling>
        <c:axPos val="l"/>
        <c:majorGridlines/>
        <c:minorGridlines/>
        <c:title>
          <c:tx>
            <c:rich>
              <a:bodyPr/>
              <a:lstStyle/>
              <a:p>
                <a:pPr>
                  <a:defRPr sz="1000" b="1" i="0" u="none" strike="noStrike" baseline="0">
                    <a:solidFill>
                      <a:srgbClr val="000000"/>
                    </a:solidFill>
                    <a:latin typeface="Calibri"/>
                    <a:ea typeface="Calibri"/>
                    <a:cs typeface="Calibri"/>
                  </a:defRPr>
                </a:pPr>
                <a:r>
                  <a:rPr lang="pt-PT"/>
                  <a:t>Espessura</a:t>
                </a:r>
              </a:p>
            </c:rich>
          </c:tx>
          <c:layout/>
        </c:title>
        <c:numFmt formatCode="General" sourceLinked="1"/>
        <c:tickLblPos val="nextTo"/>
        <c:crossAx val="75166464"/>
        <c:crosses val="autoZero"/>
        <c:crossBetween val="midCat"/>
      </c:valAx>
    </c:plotArea>
    <c:legend>
      <c:legendPos val="r"/>
      <c:layout/>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scatterChart>
        <c:scatterStyle val="lineMarker"/>
        <c:ser>
          <c:idx val="0"/>
          <c:order val="0"/>
          <c:tx>
            <c:v>lascas</c:v>
          </c:tx>
          <c:spPr>
            <a:ln w="28575">
              <a:noFill/>
            </a:ln>
          </c:spPr>
          <c:trendline>
            <c:trendlineType val="linear"/>
            <c:dispRSqr val="1"/>
            <c:dispEq val="1"/>
            <c:trendlineLbl>
              <c:layout/>
              <c:numFmt formatCode="General" sourceLinked="0"/>
            </c:trendlineLbl>
          </c:trendline>
          <c:xVal>
            <c:numRef>
              <c:f>Folha1!$D$64:$D$100</c:f>
              <c:numCache>
                <c:formatCode>General</c:formatCode>
                <c:ptCount val="37"/>
                <c:pt idx="0">
                  <c:v>72.02</c:v>
                </c:pt>
                <c:pt idx="1">
                  <c:v>57.67</c:v>
                </c:pt>
                <c:pt idx="2">
                  <c:v>66.569999999999993</c:v>
                </c:pt>
                <c:pt idx="3">
                  <c:v>47.2</c:v>
                </c:pt>
                <c:pt idx="4">
                  <c:v>61.2</c:v>
                </c:pt>
                <c:pt idx="5">
                  <c:v>52.68</c:v>
                </c:pt>
                <c:pt idx="6">
                  <c:v>60.120000000000012</c:v>
                </c:pt>
                <c:pt idx="7">
                  <c:v>52.11</c:v>
                </c:pt>
                <c:pt idx="8">
                  <c:v>48.11</c:v>
                </c:pt>
                <c:pt idx="9">
                  <c:v>65.739999999999995</c:v>
                </c:pt>
                <c:pt idx="10">
                  <c:v>34.33</c:v>
                </c:pt>
                <c:pt idx="11">
                  <c:v>31.66</c:v>
                </c:pt>
                <c:pt idx="12">
                  <c:v>25.43</c:v>
                </c:pt>
                <c:pt idx="13">
                  <c:v>22.55</c:v>
                </c:pt>
                <c:pt idx="14">
                  <c:v>68.430000000000007</c:v>
                </c:pt>
                <c:pt idx="15">
                  <c:v>48.27</c:v>
                </c:pt>
                <c:pt idx="16">
                  <c:v>64.709999999999994</c:v>
                </c:pt>
                <c:pt idx="17">
                  <c:v>60.35</c:v>
                </c:pt>
                <c:pt idx="18">
                  <c:v>42.3</c:v>
                </c:pt>
                <c:pt idx="19">
                  <c:v>56.84</c:v>
                </c:pt>
                <c:pt idx="20">
                  <c:v>43.45</c:v>
                </c:pt>
                <c:pt idx="21">
                  <c:v>33.94</c:v>
                </c:pt>
                <c:pt idx="22">
                  <c:v>45.25</c:v>
                </c:pt>
                <c:pt idx="23">
                  <c:v>53.25</c:v>
                </c:pt>
                <c:pt idx="24">
                  <c:v>44.06</c:v>
                </c:pt>
                <c:pt idx="25">
                  <c:v>23.03</c:v>
                </c:pt>
                <c:pt idx="26">
                  <c:v>23.3</c:v>
                </c:pt>
                <c:pt idx="27">
                  <c:v>26.02</c:v>
                </c:pt>
                <c:pt idx="28">
                  <c:v>35.06</c:v>
                </c:pt>
                <c:pt idx="29">
                  <c:v>29.8</c:v>
                </c:pt>
                <c:pt idx="30">
                  <c:v>34.31</c:v>
                </c:pt>
                <c:pt idx="31">
                  <c:v>34.380000000000003</c:v>
                </c:pt>
                <c:pt idx="32">
                  <c:v>52.82</c:v>
                </c:pt>
                <c:pt idx="33">
                  <c:v>52</c:v>
                </c:pt>
                <c:pt idx="34">
                  <c:v>27.59</c:v>
                </c:pt>
                <c:pt idx="35">
                  <c:v>19</c:v>
                </c:pt>
                <c:pt idx="36">
                  <c:v>24.14</c:v>
                </c:pt>
              </c:numCache>
            </c:numRef>
          </c:xVal>
          <c:yVal>
            <c:numRef>
              <c:f>Folha1!$F$64:$F$100</c:f>
              <c:numCache>
                <c:formatCode>General</c:formatCode>
                <c:ptCount val="37"/>
                <c:pt idx="0">
                  <c:v>74.81</c:v>
                </c:pt>
                <c:pt idx="1">
                  <c:v>57.64</c:v>
                </c:pt>
                <c:pt idx="2">
                  <c:v>66.400000000000006</c:v>
                </c:pt>
                <c:pt idx="3">
                  <c:v>22.8</c:v>
                </c:pt>
                <c:pt idx="4">
                  <c:v>45.39</c:v>
                </c:pt>
                <c:pt idx="5">
                  <c:v>57.03</c:v>
                </c:pt>
                <c:pt idx="6">
                  <c:v>47.47</c:v>
                </c:pt>
                <c:pt idx="7">
                  <c:v>39.700000000000003</c:v>
                </c:pt>
                <c:pt idx="8">
                  <c:v>21.4</c:v>
                </c:pt>
                <c:pt idx="9">
                  <c:v>53.41</c:v>
                </c:pt>
                <c:pt idx="10">
                  <c:v>37.96</c:v>
                </c:pt>
                <c:pt idx="11">
                  <c:v>30</c:v>
                </c:pt>
                <c:pt idx="12">
                  <c:v>23.610000000000031</c:v>
                </c:pt>
                <c:pt idx="13">
                  <c:v>21.1</c:v>
                </c:pt>
                <c:pt idx="14">
                  <c:v>48.95</c:v>
                </c:pt>
                <c:pt idx="15">
                  <c:v>41.65</c:v>
                </c:pt>
                <c:pt idx="16">
                  <c:v>61.78</c:v>
                </c:pt>
                <c:pt idx="17">
                  <c:v>32.07</c:v>
                </c:pt>
                <c:pt idx="18">
                  <c:v>45.07</c:v>
                </c:pt>
                <c:pt idx="19">
                  <c:v>56.94</c:v>
                </c:pt>
                <c:pt idx="20">
                  <c:v>28.53</c:v>
                </c:pt>
                <c:pt idx="21">
                  <c:v>48.230000000000011</c:v>
                </c:pt>
                <c:pt idx="22">
                  <c:v>60.660000000000011</c:v>
                </c:pt>
                <c:pt idx="23">
                  <c:v>66.14</c:v>
                </c:pt>
                <c:pt idx="24">
                  <c:v>43.11</c:v>
                </c:pt>
                <c:pt idx="25">
                  <c:v>27.759999999999987</c:v>
                </c:pt>
                <c:pt idx="26">
                  <c:v>18.920000000000002</c:v>
                </c:pt>
                <c:pt idx="27">
                  <c:v>25.35</c:v>
                </c:pt>
                <c:pt idx="28">
                  <c:v>53.42</c:v>
                </c:pt>
                <c:pt idx="29">
                  <c:v>43.13</c:v>
                </c:pt>
                <c:pt idx="30">
                  <c:v>51.86</c:v>
                </c:pt>
                <c:pt idx="31">
                  <c:v>36.300000000000004</c:v>
                </c:pt>
                <c:pt idx="32">
                  <c:v>65.47</c:v>
                </c:pt>
                <c:pt idx="33">
                  <c:v>25.56</c:v>
                </c:pt>
                <c:pt idx="34">
                  <c:v>18.84</c:v>
                </c:pt>
                <c:pt idx="35">
                  <c:v>19.57</c:v>
                </c:pt>
                <c:pt idx="36">
                  <c:v>21.459999999999987</c:v>
                </c:pt>
              </c:numCache>
            </c:numRef>
          </c:yVal>
        </c:ser>
        <c:axId val="69663744"/>
        <c:axId val="75236480"/>
      </c:scatterChart>
      <c:valAx>
        <c:axId val="69663744"/>
        <c:scaling>
          <c:orientation val="minMax"/>
        </c:scaling>
        <c:axPos val="b"/>
        <c:title>
          <c:tx>
            <c:rich>
              <a:bodyPr/>
              <a:lstStyle/>
              <a:p>
                <a:pPr>
                  <a:defRPr sz="1000" b="1" i="0" u="none" strike="noStrike" baseline="0">
                    <a:solidFill>
                      <a:srgbClr val="000000"/>
                    </a:solidFill>
                    <a:latin typeface="Calibri"/>
                    <a:ea typeface="Calibri"/>
                    <a:cs typeface="Calibri"/>
                  </a:defRPr>
                </a:pPr>
                <a:r>
                  <a:rPr lang="pt-PT"/>
                  <a:t>Comprimento</a:t>
                </a:r>
              </a:p>
            </c:rich>
          </c:tx>
          <c:layout/>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pt-PT"/>
          </a:p>
        </c:txPr>
        <c:crossAx val="75236480"/>
        <c:crosses val="autoZero"/>
        <c:crossBetween val="midCat"/>
      </c:valAx>
      <c:valAx>
        <c:axId val="75236480"/>
        <c:scaling>
          <c:orientation val="minMax"/>
        </c:scaling>
        <c:axPos val="l"/>
        <c:majorGridlines/>
        <c:minorGridlines/>
        <c:title>
          <c:tx>
            <c:rich>
              <a:bodyPr/>
              <a:lstStyle/>
              <a:p>
                <a:pPr>
                  <a:defRPr sz="1000" b="1" i="0" u="none" strike="noStrike" baseline="0">
                    <a:solidFill>
                      <a:srgbClr val="000000"/>
                    </a:solidFill>
                    <a:latin typeface="Calibri"/>
                    <a:ea typeface="Calibri"/>
                    <a:cs typeface="Calibri"/>
                  </a:defRPr>
                </a:pPr>
                <a:r>
                  <a:rPr lang="pt-PT"/>
                  <a:t>Espessura</a:t>
                </a:r>
              </a:p>
            </c:rich>
          </c:tx>
          <c:layout/>
        </c:title>
        <c:numFmt formatCode="General" sourceLinked="1"/>
        <c:tickLblPos val="nextTo"/>
        <c:crossAx val="69663744"/>
        <c:crosses val="autoZero"/>
        <c:crossBetween val="midCat"/>
      </c:valAx>
    </c:plotArea>
    <c:legend>
      <c:legendPos val="r"/>
      <c:layout/>
    </c:legend>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dLbls>
            <c:dLbl>
              <c:idx val="0"/>
              <c:layout/>
              <c:tx>
                <c:rich>
                  <a:bodyPr/>
                  <a:lstStyle/>
                  <a:p>
                    <a:pPr>
                      <a:defRPr/>
                    </a:pPr>
                    <a:r>
                      <a:rPr lang="en-US"/>
                      <a:t>0
3%</a:t>
                    </a:r>
                  </a:p>
                </c:rich>
              </c:tx>
              <c:spPr/>
              <c:dLblPos val="bestFit"/>
            </c:dLbl>
            <c:dLbl>
              <c:idx val="1"/>
              <c:layout/>
              <c:tx>
                <c:rich>
                  <a:bodyPr/>
                  <a:lstStyle/>
                  <a:p>
                    <a:pPr>
                      <a:defRPr/>
                    </a:pPr>
                    <a:r>
                      <a:rPr lang="en-US"/>
                      <a:t>1
20%</a:t>
                    </a:r>
                  </a:p>
                </c:rich>
              </c:tx>
              <c:spPr/>
              <c:dLblPos val="bestFit"/>
            </c:dLbl>
            <c:dLbl>
              <c:idx val="2"/>
              <c:layout/>
              <c:tx>
                <c:rich>
                  <a:bodyPr/>
                  <a:lstStyle/>
                  <a:p>
                    <a:pPr>
                      <a:defRPr/>
                    </a:pPr>
                    <a:r>
                      <a:rPr lang="en-US"/>
                      <a:t>2
32%</a:t>
                    </a:r>
                  </a:p>
                </c:rich>
              </c:tx>
              <c:spPr/>
              <c:dLblPos val="bestFit"/>
            </c:dLbl>
            <c:dLbl>
              <c:idx val="3"/>
              <c:layout/>
              <c:tx>
                <c:rich>
                  <a:bodyPr/>
                  <a:lstStyle/>
                  <a:p>
                    <a:pPr>
                      <a:defRPr/>
                    </a:pPr>
                    <a:r>
                      <a:rPr lang="en-US"/>
                      <a:t>3
29%</a:t>
                    </a:r>
                  </a:p>
                </c:rich>
              </c:tx>
              <c:spPr/>
              <c:dLblPos val="bestFit"/>
            </c:dLbl>
            <c:dLbl>
              <c:idx val="4"/>
              <c:layout/>
              <c:tx>
                <c:rich>
                  <a:bodyPr/>
                  <a:lstStyle/>
                  <a:p>
                    <a:pPr>
                      <a:defRPr/>
                    </a:pPr>
                    <a:r>
                      <a:rPr lang="en-US"/>
                      <a:t>4
13%</a:t>
                    </a:r>
                  </a:p>
                </c:rich>
              </c:tx>
              <c:spPr/>
              <c:dLblPos val="bestFit"/>
            </c:dLbl>
            <c:dLbl>
              <c:idx val="5"/>
              <c:layout/>
              <c:tx>
                <c:rich>
                  <a:bodyPr/>
                  <a:lstStyle/>
                  <a:p>
                    <a:pPr>
                      <a:defRPr/>
                    </a:pPr>
                    <a:r>
                      <a:rPr lang="en-US"/>
                      <a:t>5
3%</a:t>
                    </a:r>
                  </a:p>
                </c:rich>
              </c:tx>
              <c:spPr/>
              <c:dLblPos val="bestFit"/>
            </c:dLbl>
            <c:showCatName val="1"/>
            <c:showPercent val="1"/>
            <c:showLeaderLines val="1"/>
          </c:dLbls>
          <c:val>
            <c:numRef>
              <c:f>Folha1!$E$139:$E$144</c:f>
              <c:numCache>
                <c:formatCode>General</c:formatCode>
                <c:ptCount val="6"/>
                <c:pt idx="0">
                  <c:v>1</c:v>
                </c:pt>
                <c:pt idx="1">
                  <c:v>6</c:v>
                </c:pt>
                <c:pt idx="2">
                  <c:v>10</c:v>
                </c:pt>
                <c:pt idx="3">
                  <c:v>9</c:v>
                </c:pt>
                <c:pt idx="4">
                  <c:v>4</c:v>
                </c:pt>
                <c:pt idx="5">
                  <c:v>1</c:v>
                </c:pt>
              </c:numCache>
            </c:numRef>
          </c:val>
        </c:ser>
        <c:dLbls>
          <c:showCatName val="1"/>
          <c:showPercent val="1"/>
        </c:dLbls>
        <c:firstSliceAng val="0"/>
      </c:pieChart>
      <c:spPr>
        <a:noFill/>
        <a:ln w="25400">
          <a:noFill/>
        </a:ln>
      </c:spPr>
    </c:plotArea>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dLbls>
            <c:dLbl>
              <c:idx val="0"/>
              <c:layout/>
              <c:tx>
                <c:rich>
                  <a:bodyPr/>
                  <a:lstStyle/>
                  <a:p>
                    <a:pPr>
                      <a:defRPr/>
                    </a:pPr>
                    <a:r>
                      <a:rPr lang="en-US"/>
                      <a:t>Paralelo
48%</a:t>
                    </a:r>
                  </a:p>
                </c:rich>
              </c:tx>
              <c:spPr/>
              <c:dLblPos val="bestFit"/>
            </c:dLbl>
            <c:dLbl>
              <c:idx val="1"/>
              <c:layout/>
              <c:tx>
                <c:rich>
                  <a:bodyPr/>
                  <a:lstStyle/>
                  <a:p>
                    <a:pPr>
                      <a:defRPr/>
                    </a:pPr>
                    <a:r>
                      <a:rPr lang="en-US"/>
                      <a:t>Centrípeto
52%</a:t>
                    </a:r>
                  </a:p>
                </c:rich>
              </c:tx>
              <c:spPr/>
              <c:dLblPos val="bestFit"/>
            </c:dLbl>
            <c:showCatName val="1"/>
            <c:showPercent val="1"/>
            <c:showLeaderLines val="1"/>
          </c:dLbls>
          <c:val>
            <c:numRef>
              <c:f>Folha1!$E$160:$E$161</c:f>
              <c:numCache>
                <c:formatCode>General</c:formatCode>
                <c:ptCount val="2"/>
                <c:pt idx="0">
                  <c:v>15</c:v>
                </c:pt>
                <c:pt idx="1">
                  <c:v>16</c:v>
                </c:pt>
              </c:numCache>
            </c:numRef>
          </c:val>
        </c:ser>
        <c:dLbls>
          <c:showCatName val="1"/>
          <c:showPercent val="1"/>
        </c:dLbls>
        <c:firstSliceAng val="0"/>
      </c:pieChart>
      <c:spPr>
        <a:noFill/>
        <a:ln w="25867">
          <a:noFill/>
        </a:ln>
      </c:spPr>
    </c:plotArea>
    <c:plotVisOnly val="1"/>
    <c:dispBlanksAs val="zero"/>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dLbls>
            <c:dLbl>
              <c:idx val="0"/>
              <c:layout/>
              <c:tx>
                <c:rich>
                  <a:bodyPr/>
                  <a:lstStyle/>
                  <a:p>
                    <a:pPr>
                      <a:defRPr/>
                    </a:pPr>
                    <a:r>
                      <a:rPr lang="en-US"/>
                      <a:t>Côncavo
22%</a:t>
                    </a:r>
                  </a:p>
                </c:rich>
              </c:tx>
              <c:spPr/>
              <c:dLblPos val="bestFit"/>
            </c:dLbl>
            <c:dLbl>
              <c:idx val="1"/>
              <c:layout/>
              <c:tx>
                <c:rich>
                  <a:bodyPr/>
                  <a:lstStyle/>
                  <a:p>
                    <a:pPr>
                      <a:defRPr/>
                    </a:pPr>
                    <a:r>
                      <a:rPr lang="en-US"/>
                      <a:t>Convexo
27%</a:t>
                    </a:r>
                  </a:p>
                </c:rich>
              </c:tx>
              <c:spPr/>
              <c:dLblPos val="bestFit"/>
            </c:dLbl>
            <c:dLbl>
              <c:idx val="2"/>
              <c:layout/>
              <c:tx>
                <c:rich>
                  <a:bodyPr/>
                  <a:lstStyle/>
                  <a:p>
                    <a:pPr>
                      <a:defRPr/>
                    </a:pPr>
                    <a:r>
                      <a:rPr lang="en-US"/>
                      <a:t>Facetado
22%</a:t>
                    </a:r>
                  </a:p>
                </c:rich>
              </c:tx>
              <c:spPr/>
              <c:dLblPos val="bestFit"/>
            </c:dLbl>
            <c:dLbl>
              <c:idx val="3"/>
              <c:layout/>
              <c:tx>
                <c:rich>
                  <a:bodyPr/>
                  <a:lstStyle/>
                  <a:p>
                    <a:pPr>
                      <a:defRPr/>
                    </a:pPr>
                    <a:r>
                      <a:rPr lang="en-US"/>
                      <a:t>Plano
22%</a:t>
                    </a:r>
                  </a:p>
                </c:rich>
              </c:tx>
              <c:spPr/>
              <c:dLblPos val="bestFit"/>
            </c:dLbl>
            <c:showCatName val="1"/>
            <c:showPercent val="1"/>
            <c:showLeaderLines val="1"/>
          </c:dLbls>
          <c:val>
            <c:numRef>
              <c:f>Folha1!$M$142:$M$145</c:f>
              <c:numCache>
                <c:formatCode>General</c:formatCode>
                <c:ptCount val="4"/>
                <c:pt idx="0">
                  <c:v>9</c:v>
                </c:pt>
                <c:pt idx="1">
                  <c:v>11</c:v>
                </c:pt>
                <c:pt idx="2">
                  <c:v>8</c:v>
                </c:pt>
                <c:pt idx="3">
                  <c:v>8</c:v>
                </c:pt>
              </c:numCache>
            </c:numRef>
          </c:val>
        </c:ser>
        <c:dLbls>
          <c:showCatName val="1"/>
          <c:showPercent val="1"/>
        </c:dLbls>
        <c:firstSliceAng val="0"/>
      </c:pieChart>
      <c:spPr>
        <a:noFill/>
        <a:ln w="26520">
          <a:noFill/>
        </a:ln>
      </c:spPr>
    </c:plotArea>
    <c:plotVisOnly val="1"/>
    <c:dispBlanksAs val="zero"/>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t-PT"/>
  <c:chart>
    <c:plotArea>
      <c:layout/>
      <c:pieChart>
        <c:varyColors val="1"/>
        <c:ser>
          <c:idx val="0"/>
          <c:order val="0"/>
          <c:dLbls>
            <c:dLbl>
              <c:idx val="0"/>
              <c:layout/>
              <c:tx>
                <c:rich>
                  <a:bodyPr/>
                  <a:lstStyle/>
                  <a:p>
                    <a:pPr>
                      <a:defRPr/>
                    </a:pPr>
                    <a:r>
                      <a:rPr lang="en-US"/>
                      <a:t>Hifen
27%</a:t>
                    </a:r>
                  </a:p>
                </c:rich>
              </c:tx>
              <c:spPr/>
              <c:dLblPos val="bestFit"/>
            </c:dLbl>
            <c:dLbl>
              <c:idx val="1"/>
              <c:layout/>
              <c:tx>
                <c:rich>
                  <a:bodyPr/>
                  <a:lstStyle/>
                  <a:p>
                    <a:pPr>
                      <a:defRPr/>
                    </a:pPr>
                    <a:r>
                      <a:rPr lang="en-US"/>
                      <a:t>Trapezoide
49%</a:t>
                    </a:r>
                  </a:p>
                </c:rich>
              </c:tx>
              <c:spPr/>
              <c:dLblPos val="bestFit"/>
            </c:dLbl>
            <c:dLbl>
              <c:idx val="2"/>
              <c:layout/>
              <c:tx>
                <c:rich>
                  <a:bodyPr/>
                  <a:lstStyle/>
                  <a:p>
                    <a:pPr>
                      <a:defRPr/>
                    </a:pPr>
                    <a:r>
                      <a:rPr lang="en-US"/>
                      <a:t>Triangular
19%</a:t>
                    </a:r>
                  </a:p>
                </c:rich>
              </c:tx>
              <c:spPr/>
              <c:dLblPos val="bestFit"/>
            </c:dLbl>
            <c:dLbl>
              <c:idx val="3"/>
              <c:layout/>
              <c:tx>
                <c:rich>
                  <a:bodyPr/>
                  <a:lstStyle/>
                  <a:p>
                    <a:pPr>
                      <a:defRPr/>
                    </a:pPr>
                    <a:r>
                      <a:rPr lang="en-US"/>
                      <a:t>Linear
5%</a:t>
                    </a:r>
                  </a:p>
                </c:rich>
              </c:tx>
              <c:spPr/>
              <c:dLblPos val="bestFit"/>
            </c:dLbl>
            <c:showCatName val="1"/>
            <c:showPercent val="1"/>
            <c:showLeaderLines val="1"/>
          </c:dLbls>
          <c:val>
            <c:numRef>
              <c:f>Folha1!$S$48:$S$51</c:f>
              <c:numCache>
                <c:formatCode>General</c:formatCode>
                <c:ptCount val="4"/>
                <c:pt idx="0">
                  <c:v>10</c:v>
                </c:pt>
                <c:pt idx="1">
                  <c:v>18</c:v>
                </c:pt>
                <c:pt idx="2">
                  <c:v>7</c:v>
                </c:pt>
                <c:pt idx="3">
                  <c:v>2</c:v>
                </c:pt>
              </c:numCache>
            </c:numRef>
          </c:val>
        </c:ser>
        <c:dLbls>
          <c:showCatName val="1"/>
          <c:showPercent val="1"/>
        </c:dLbls>
        <c:firstSliceAng val="0"/>
      </c:pieChart>
      <c:spPr>
        <a:noFill/>
        <a:ln w="25400">
          <a:noFill/>
        </a:ln>
      </c:spPr>
    </c:plotArea>
    <c:plotVisOnly val="1"/>
    <c:dispBlanksAs val="zero"/>
  </c:chart>
  <c:spPr>
    <a:ln>
      <a:noFill/>
    </a:ln>
  </c:spPr>
  <c:externalData r:id="rId1"/>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2F9312D-E261-484E-8C1B-9BA8647DE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TotalTime>
  <Pages>281</Pages>
  <Words>58988</Words>
  <Characters>318538</Characters>
  <Application>Microsoft Office Word</Application>
  <DocSecurity>0</DocSecurity>
  <Lines>2654</Lines>
  <Paragraphs>753</Paragraphs>
  <ScaleCrop>false</ScaleCrop>
  <HeadingPairs>
    <vt:vector size="2" baseType="variant">
      <vt:variant>
        <vt:lpstr>Título</vt:lpstr>
      </vt:variant>
      <vt:variant>
        <vt:i4>1</vt:i4>
      </vt:variant>
    </vt:vector>
  </HeadingPairs>
  <TitlesOfParts>
    <vt:vector size="1" baseType="lpstr">
      <vt:lpstr/>
    </vt:vector>
  </TitlesOfParts>
  <Company>IGESPAR</Company>
  <LinksUpToDate>false</LinksUpToDate>
  <CharactersWithSpaces>376773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IGESPAR</dc:creator>
  <cp:keywords/>
  <dc:description/>
  <cp:lastModifiedBy>IGESPAR</cp:lastModifiedBy>
  <cp:revision>13</cp:revision>
  <cp:lastPrinted>2017-05-22T13:38:00Z</cp:lastPrinted>
  <dcterms:created xsi:type="dcterms:W3CDTF">2017-05-03T13:39:00Z</dcterms:created>
  <dcterms:modified xsi:type="dcterms:W3CDTF">2017-05-22T13:41:00Z</dcterms:modified>
</cp:coreProperties>
</file>