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812"/>
        <w:gridCol w:w="2727"/>
      </w:tblGrid>
      <w:tr w:rsidR="005F7BF1" w:rsidRPr="00420E4E" w:rsidTr="00DA0E36">
        <w:trPr>
          <w:trHeight w:val="1152"/>
        </w:trPr>
        <w:tc>
          <w:tcPr>
            <w:tcW w:w="2093" w:type="dxa"/>
          </w:tcPr>
          <w:p w:rsidR="005F7BF1" w:rsidRPr="005F7BF1" w:rsidRDefault="005F7BF1" w:rsidP="005F7BF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  <w:color w:val="00008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245745</wp:posOffset>
                  </wp:positionV>
                  <wp:extent cx="719455" cy="304800"/>
                  <wp:effectExtent l="19050" t="0" r="4445" b="0"/>
                  <wp:wrapSquare wrapText="bothSides"/>
                  <wp:docPr id="17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7BF1" w:rsidRPr="005F7BF1" w:rsidRDefault="005F7BF1" w:rsidP="005F7BF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:rsidR="005F7BF1" w:rsidRPr="00DA0E36" w:rsidRDefault="005F7BF1" w:rsidP="005F7BF1">
            <w:pPr>
              <w:jc w:val="center"/>
              <w:rPr>
                <w:rFonts w:ascii="Arial" w:hAnsi="Arial" w:cs="Arial"/>
                <w:b/>
                <w:color w:val="003300"/>
                <w:sz w:val="20"/>
              </w:rPr>
            </w:pPr>
            <w:r w:rsidRPr="00DA0E36">
              <w:rPr>
                <w:rFonts w:ascii="Arial" w:hAnsi="Arial" w:cs="Arial"/>
                <w:b/>
                <w:color w:val="003300"/>
                <w:sz w:val="20"/>
              </w:rPr>
              <w:t>E</w:t>
            </w:r>
            <w:r w:rsidRPr="00DA0E36">
              <w:rPr>
                <w:rFonts w:ascii="Arial" w:hAnsi="Arial" w:cs="Arial"/>
                <w:b/>
                <w:sz w:val="20"/>
              </w:rPr>
              <w:t xml:space="preserve">scola </w:t>
            </w:r>
            <w:r w:rsidRPr="00DA0E36">
              <w:rPr>
                <w:rFonts w:ascii="Arial" w:hAnsi="Arial" w:cs="Arial"/>
                <w:b/>
                <w:color w:val="003300"/>
                <w:sz w:val="20"/>
              </w:rPr>
              <w:t>S</w:t>
            </w:r>
            <w:r w:rsidRPr="00DA0E36">
              <w:rPr>
                <w:rFonts w:ascii="Arial" w:hAnsi="Arial" w:cs="Arial"/>
                <w:b/>
                <w:sz w:val="20"/>
              </w:rPr>
              <w:t xml:space="preserve">ecundária </w:t>
            </w:r>
            <w:r w:rsidRPr="00DA0E36">
              <w:rPr>
                <w:rFonts w:ascii="Arial" w:hAnsi="Arial" w:cs="Arial"/>
                <w:b/>
                <w:color w:val="003300"/>
                <w:sz w:val="20"/>
              </w:rPr>
              <w:t>A</w:t>
            </w:r>
            <w:r w:rsidRPr="00DA0E36">
              <w:rPr>
                <w:rFonts w:ascii="Arial" w:hAnsi="Arial" w:cs="Arial"/>
                <w:b/>
                <w:sz w:val="20"/>
              </w:rPr>
              <w:t xml:space="preserve">ndré de </w:t>
            </w:r>
            <w:r w:rsidRPr="00DA0E36">
              <w:rPr>
                <w:rFonts w:ascii="Arial" w:hAnsi="Arial" w:cs="Arial"/>
                <w:b/>
                <w:color w:val="003300"/>
                <w:sz w:val="20"/>
              </w:rPr>
              <w:t>G</w:t>
            </w:r>
            <w:r w:rsidRPr="00DA0E36">
              <w:rPr>
                <w:rFonts w:ascii="Arial" w:hAnsi="Arial" w:cs="Arial"/>
                <w:b/>
                <w:sz w:val="20"/>
              </w:rPr>
              <w:t>ouveia</w:t>
            </w:r>
          </w:p>
          <w:p w:rsidR="005F7BF1" w:rsidRPr="00641160" w:rsidRDefault="005F7BF1" w:rsidP="005F7BF1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DA0E36">
              <w:rPr>
                <w:rFonts w:ascii="Arial" w:hAnsi="Arial" w:cs="Arial"/>
                <w:b/>
                <w:color w:val="003300"/>
                <w:sz w:val="20"/>
              </w:rPr>
              <w:t>Departamento de Matemática e Ciências Experimentais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F7BF1" w:rsidRPr="00DA0E36" w:rsidRDefault="005F7BF1" w:rsidP="00DA0E36">
            <w:pPr>
              <w:jc w:val="center"/>
              <w:rPr>
                <w:rFonts w:ascii="Arial" w:hAnsi="Arial" w:cs="Arial"/>
                <w:b/>
                <w:color w:val="003300"/>
                <w:sz w:val="20"/>
              </w:rPr>
            </w:pPr>
            <w:r w:rsidRPr="00DA0E36">
              <w:rPr>
                <w:rFonts w:ascii="Arial" w:hAnsi="Arial" w:cs="Arial"/>
                <w:b/>
                <w:color w:val="003300"/>
                <w:sz w:val="20"/>
              </w:rPr>
              <w:t>Disciplina:</w:t>
            </w:r>
          </w:p>
          <w:p w:rsidR="005F7BF1" w:rsidRPr="00DA0E36" w:rsidRDefault="005F7BF1" w:rsidP="00DA0E36">
            <w:pPr>
              <w:jc w:val="center"/>
              <w:rPr>
                <w:rFonts w:ascii="Arial" w:hAnsi="Arial" w:cs="Arial"/>
                <w:b/>
                <w:color w:val="003300"/>
                <w:sz w:val="20"/>
                <w:u w:val="single"/>
              </w:rPr>
            </w:pPr>
            <w:r w:rsidRPr="00DA0E36">
              <w:rPr>
                <w:rFonts w:ascii="Arial" w:hAnsi="Arial" w:cs="Arial"/>
                <w:b/>
                <w:color w:val="003300"/>
                <w:sz w:val="20"/>
                <w:u w:val="single"/>
              </w:rPr>
              <w:t>Ciências Naturais</w:t>
            </w:r>
          </w:p>
          <w:p w:rsidR="005F7BF1" w:rsidRPr="00DA0E36" w:rsidRDefault="005F7BF1" w:rsidP="00DA0E36">
            <w:pPr>
              <w:tabs>
                <w:tab w:val="left" w:pos="1160"/>
              </w:tabs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DA0E36">
              <w:rPr>
                <w:rFonts w:ascii="Arial" w:hAnsi="Arial" w:cs="Arial"/>
                <w:b/>
                <w:color w:val="003300"/>
                <w:sz w:val="20"/>
              </w:rPr>
              <w:t>9º Ano</w:t>
            </w:r>
          </w:p>
          <w:p w:rsidR="005F7BF1" w:rsidRPr="00DA0E36" w:rsidRDefault="005F7BF1" w:rsidP="00DA0E36">
            <w:pPr>
              <w:tabs>
                <w:tab w:val="left" w:pos="1160"/>
              </w:tabs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DA0E36">
              <w:rPr>
                <w:rFonts w:ascii="Arial" w:hAnsi="Arial" w:cs="Arial"/>
                <w:b/>
                <w:sz w:val="20"/>
                <w:szCs w:val="36"/>
              </w:rPr>
              <w:t xml:space="preserve">Turma: </w:t>
            </w:r>
            <w:r w:rsidRPr="00DA0E36">
              <w:rPr>
                <w:rFonts w:ascii="Arial" w:hAnsi="Arial" w:cs="Arial"/>
                <w:b/>
                <w:sz w:val="20"/>
              </w:rPr>
              <w:t>A</w:t>
            </w:r>
          </w:p>
        </w:tc>
      </w:tr>
    </w:tbl>
    <w:p w:rsidR="006442ED" w:rsidRDefault="006442ED"/>
    <w:p w:rsidR="005F7BF1" w:rsidRPr="00DF746B" w:rsidRDefault="005F7BF1" w:rsidP="005F7BF1">
      <w:pPr>
        <w:jc w:val="center"/>
        <w:rPr>
          <w:rFonts w:ascii="Franklin Gothic Book" w:hAnsi="Franklin Gothic Book" w:cs="Arial"/>
          <w:smallCaps/>
          <w:sz w:val="32"/>
          <w:u w:val="single"/>
        </w:rPr>
      </w:pPr>
      <w:r w:rsidRPr="00DF746B">
        <w:rPr>
          <w:rFonts w:ascii="Franklin Gothic Book" w:hAnsi="Franklin Gothic Book" w:cs="Arial"/>
          <w:smallCaps/>
          <w:sz w:val="32"/>
          <w:u w:val="single"/>
        </w:rPr>
        <w:t>Critério de correcção do 4º teste sumativo</w:t>
      </w:r>
    </w:p>
    <w:p w:rsidR="005F7BF1" w:rsidRPr="00DF746B" w:rsidRDefault="005F7BF1" w:rsidP="005F7BF1">
      <w:pPr>
        <w:jc w:val="center"/>
        <w:rPr>
          <w:rFonts w:ascii="Franklin Gothic Book" w:hAnsi="Franklin Gothic Book" w:cs="Arial"/>
          <w:smallCaps/>
          <w:sz w:val="28"/>
        </w:rPr>
      </w:pPr>
      <w:r w:rsidRPr="00DF746B">
        <w:rPr>
          <w:rFonts w:ascii="Franklin Gothic Book" w:hAnsi="Franklin Gothic Book" w:cs="Arial"/>
          <w:smallCaps/>
          <w:sz w:val="28"/>
        </w:rPr>
        <w:t>1 Abril de 2011</w:t>
      </w:r>
    </w:p>
    <w:p w:rsidR="005F7BF1" w:rsidRPr="00DF746B" w:rsidRDefault="005F7BF1" w:rsidP="005F7BF1">
      <w:pPr>
        <w:jc w:val="center"/>
        <w:rPr>
          <w:rFonts w:ascii="Franklin Gothic Book" w:hAnsi="Franklin Gothic Book" w:cs="Arial"/>
          <w:smallCaps/>
          <w:sz w:val="28"/>
        </w:rPr>
      </w:pPr>
    </w:p>
    <w:p w:rsidR="005F7BF1" w:rsidRPr="00DF746B" w:rsidRDefault="005F7BF1">
      <w:pPr>
        <w:rPr>
          <w:rFonts w:ascii="Franklin Gothic Book" w:hAnsi="Franklin Gothic Book"/>
        </w:rPr>
      </w:pPr>
      <w:r w:rsidRPr="00DF746B">
        <w:rPr>
          <w:rFonts w:ascii="Franklin Gothic Book" w:hAnsi="Franklin Gothic Book"/>
        </w:rPr>
        <w:t>Unidade: O organismo humano em equilíbrio.</w:t>
      </w:r>
    </w:p>
    <w:p w:rsidR="005F7BF1" w:rsidRPr="00DF746B" w:rsidRDefault="005F7BF1">
      <w:pPr>
        <w:rPr>
          <w:rFonts w:ascii="Franklin Gothic Book" w:hAnsi="Franklin Gothic Book"/>
        </w:rPr>
      </w:pPr>
      <w:r w:rsidRPr="00DF746B">
        <w:rPr>
          <w:rFonts w:ascii="Franklin Gothic Book" w:hAnsi="Franklin Gothic Book"/>
        </w:rPr>
        <w:t>Subunidade: Sistema Cardiorrespiratório.</w:t>
      </w:r>
    </w:p>
    <w:p w:rsidR="00DF746B" w:rsidRDefault="00DF746B"/>
    <w:tbl>
      <w:tblPr>
        <w:tblStyle w:val="Tabelacomgrelha"/>
        <w:tblW w:w="0" w:type="auto"/>
        <w:tblLook w:val="04A0"/>
      </w:tblPr>
      <w:tblGrid>
        <w:gridCol w:w="1242"/>
        <w:gridCol w:w="6379"/>
        <w:gridCol w:w="1492"/>
        <w:gridCol w:w="1493"/>
      </w:tblGrid>
      <w:tr w:rsidR="00DF746B" w:rsidTr="00DF746B">
        <w:trPr>
          <w:trHeight w:val="353"/>
        </w:trPr>
        <w:tc>
          <w:tcPr>
            <w:tcW w:w="1242" w:type="dxa"/>
            <w:vMerge w:val="restart"/>
            <w:vAlign w:val="center"/>
          </w:tcPr>
          <w:p w:rsidR="00DF746B" w:rsidRPr="00DF746B" w:rsidRDefault="00DF746B" w:rsidP="00DF746B">
            <w:pPr>
              <w:jc w:val="center"/>
              <w:rPr>
                <w:rFonts w:ascii="Franklin Gothic Book" w:hAnsi="Franklin Gothic Book" w:cs="Arial"/>
                <w:b/>
                <w:smallCaps/>
              </w:rPr>
            </w:pPr>
            <w:r w:rsidRPr="00DF746B">
              <w:rPr>
                <w:rFonts w:ascii="Franklin Gothic Book" w:hAnsi="Franklin Gothic Book" w:cs="Arial"/>
                <w:b/>
                <w:smallCaps/>
              </w:rPr>
              <w:t>Questão nº</w:t>
            </w:r>
          </w:p>
        </w:tc>
        <w:tc>
          <w:tcPr>
            <w:tcW w:w="6379" w:type="dxa"/>
            <w:vMerge w:val="restart"/>
            <w:vAlign w:val="center"/>
          </w:tcPr>
          <w:p w:rsidR="00DF746B" w:rsidRPr="00DF746B" w:rsidRDefault="00DF746B" w:rsidP="00DF746B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Critérios</w:t>
            </w:r>
          </w:p>
        </w:tc>
        <w:tc>
          <w:tcPr>
            <w:tcW w:w="2985" w:type="dxa"/>
            <w:gridSpan w:val="2"/>
            <w:vAlign w:val="center"/>
          </w:tcPr>
          <w:p w:rsidR="00DF746B" w:rsidRPr="00DF746B" w:rsidRDefault="00DF746B" w:rsidP="00DF746B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Pontuação</w:t>
            </w:r>
          </w:p>
        </w:tc>
      </w:tr>
      <w:tr w:rsidR="00DF746B" w:rsidTr="00D4650A">
        <w:trPr>
          <w:trHeight w:val="352"/>
        </w:trPr>
        <w:tc>
          <w:tcPr>
            <w:tcW w:w="1242" w:type="dxa"/>
            <w:vMerge/>
            <w:vAlign w:val="center"/>
          </w:tcPr>
          <w:p w:rsidR="00DF746B" w:rsidRPr="00DF746B" w:rsidRDefault="00DF746B" w:rsidP="00DF746B">
            <w:pPr>
              <w:jc w:val="center"/>
              <w:rPr>
                <w:rFonts w:ascii="Franklin Gothic Book" w:hAnsi="Franklin Gothic Book" w:cs="Arial"/>
                <w:b/>
                <w:smallCaps/>
              </w:rPr>
            </w:pPr>
          </w:p>
        </w:tc>
        <w:tc>
          <w:tcPr>
            <w:tcW w:w="6379" w:type="dxa"/>
            <w:vMerge/>
            <w:vAlign w:val="center"/>
          </w:tcPr>
          <w:p w:rsidR="00DF746B" w:rsidRDefault="00DF746B" w:rsidP="00DF746B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92" w:type="dxa"/>
            <w:vAlign w:val="center"/>
          </w:tcPr>
          <w:p w:rsidR="00DF746B" w:rsidRPr="00DF746B" w:rsidRDefault="00DF746B" w:rsidP="00DF746B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Parcial</w:t>
            </w:r>
          </w:p>
        </w:tc>
        <w:tc>
          <w:tcPr>
            <w:tcW w:w="1493" w:type="dxa"/>
            <w:vAlign w:val="center"/>
          </w:tcPr>
          <w:p w:rsidR="00DF746B" w:rsidRPr="00DF746B" w:rsidRDefault="00DF746B" w:rsidP="00DF746B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Total</w:t>
            </w:r>
          </w:p>
        </w:tc>
      </w:tr>
      <w:tr w:rsidR="00DF746B" w:rsidTr="00EB3C0D">
        <w:trPr>
          <w:trHeight w:val="567"/>
        </w:trPr>
        <w:tc>
          <w:tcPr>
            <w:tcW w:w="1242" w:type="dxa"/>
          </w:tcPr>
          <w:p w:rsidR="00DF746B" w:rsidRPr="00EB3C0D" w:rsidRDefault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1.1</w:t>
            </w:r>
          </w:p>
        </w:tc>
        <w:tc>
          <w:tcPr>
            <w:tcW w:w="6379" w:type="dxa"/>
          </w:tcPr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1 – Veia pulmonar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2 – Artéria aorta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3 – Aurícula esquerda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4 – Ventrículo esquerdo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5 – Artéria pulmonar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6 – Veia cava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7 – Aurícula direita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8 – Ventrículo direito</w:t>
            </w:r>
          </w:p>
        </w:tc>
        <w:tc>
          <w:tcPr>
            <w:tcW w:w="1492" w:type="dxa"/>
            <w:vAlign w:val="center"/>
          </w:tcPr>
          <w:p w:rsidR="00DF746B" w:rsidRPr="00EB3C0D" w:rsidRDefault="00EB3C0D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8x1</w:t>
            </w:r>
          </w:p>
        </w:tc>
        <w:tc>
          <w:tcPr>
            <w:tcW w:w="1493" w:type="dxa"/>
            <w:vAlign w:val="center"/>
          </w:tcPr>
          <w:p w:rsidR="00DF746B" w:rsidRPr="00EB3C0D" w:rsidRDefault="00EB3C0D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</w:tr>
      <w:tr w:rsidR="00DF746B" w:rsidTr="00EB3C0D">
        <w:trPr>
          <w:trHeight w:val="567"/>
        </w:trPr>
        <w:tc>
          <w:tcPr>
            <w:tcW w:w="1242" w:type="dxa"/>
          </w:tcPr>
          <w:p w:rsidR="00DF746B" w:rsidRPr="00EB3C0D" w:rsidRDefault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1.2</w:t>
            </w:r>
          </w:p>
        </w:tc>
        <w:tc>
          <w:tcPr>
            <w:tcW w:w="6379" w:type="dxa"/>
          </w:tcPr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A – Dióxido de Carbono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B – Oxigénio</w:t>
            </w:r>
          </w:p>
        </w:tc>
        <w:tc>
          <w:tcPr>
            <w:tcW w:w="1492" w:type="dxa"/>
            <w:vAlign w:val="center"/>
          </w:tcPr>
          <w:p w:rsidR="00DF746B" w:rsidRPr="00EB3C0D" w:rsidRDefault="00EB3C0D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2x1</w:t>
            </w:r>
          </w:p>
        </w:tc>
        <w:tc>
          <w:tcPr>
            <w:tcW w:w="1493" w:type="dxa"/>
            <w:vAlign w:val="center"/>
          </w:tcPr>
          <w:p w:rsidR="00DF746B" w:rsidRPr="00EB3C0D" w:rsidRDefault="00EB3C0D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</w:tr>
      <w:tr w:rsidR="00DF746B" w:rsidTr="00EB3C0D">
        <w:trPr>
          <w:trHeight w:val="567"/>
        </w:trPr>
        <w:tc>
          <w:tcPr>
            <w:tcW w:w="1242" w:type="dxa"/>
          </w:tcPr>
          <w:p w:rsidR="00DF746B" w:rsidRPr="00EB3C0D" w:rsidRDefault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1.3</w:t>
            </w:r>
          </w:p>
        </w:tc>
        <w:tc>
          <w:tcPr>
            <w:tcW w:w="6379" w:type="dxa"/>
          </w:tcPr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A – 5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B – 1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C – 3</w:t>
            </w:r>
          </w:p>
          <w:p w:rsidR="000F42F2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D – 2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 xml:space="preserve"> E – 6 </w:t>
            </w:r>
          </w:p>
          <w:p w:rsidR="00DF746B" w:rsidRPr="00EB3C0D" w:rsidRDefault="00DF746B" w:rsidP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F – 7</w:t>
            </w:r>
          </w:p>
        </w:tc>
        <w:tc>
          <w:tcPr>
            <w:tcW w:w="1492" w:type="dxa"/>
            <w:vAlign w:val="center"/>
          </w:tcPr>
          <w:p w:rsidR="00DF746B" w:rsidRPr="00EB3C0D" w:rsidRDefault="00EB3C0D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6x1</w:t>
            </w:r>
          </w:p>
        </w:tc>
        <w:tc>
          <w:tcPr>
            <w:tcW w:w="1493" w:type="dxa"/>
            <w:vAlign w:val="center"/>
          </w:tcPr>
          <w:p w:rsidR="00DF746B" w:rsidRPr="00EB3C0D" w:rsidRDefault="00EB3C0D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DF746B" w:rsidTr="00EB3C0D">
        <w:trPr>
          <w:trHeight w:val="567"/>
        </w:trPr>
        <w:tc>
          <w:tcPr>
            <w:tcW w:w="1242" w:type="dxa"/>
          </w:tcPr>
          <w:p w:rsidR="00DF746B" w:rsidRPr="00EB3C0D" w:rsidRDefault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1.4</w:t>
            </w:r>
          </w:p>
        </w:tc>
        <w:tc>
          <w:tcPr>
            <w:tcW w:w="6379" w:type="dxa"/>
          </w:tcPr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I – Pequena circulação ou pulmonar</w:t>
            </w:r>
          </w:p>
          <w:p w:rsidR="00DF746B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II – Grande circulação ou sistémica</w:t>
            </w:r>
          </w:p>
        </w:tc>
        <w:tc>
          <w:tcPr>
            <w:tcW w:w="1492" w:type="dxa"/>
            <w:vAlign w:val="center"/>
          </w:tcPr>
          <w:p w:rsidR="00DF746B" w:rsidRPr="00EB3C0D" w:rsidRDefault="00EB3C0D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2x2</w:t>
            </w:r>
          </w:p>
        </w:tc>
        <w:tc>
          <w:tcPr>
            <w:tcW w:w="1493" w:type="dxa"/>
            <w:vAlign w:val="center"/>
          </w:tcPr>
          <w:p w:rsidR="00DF746B" w:rsidRPr="00EB3C0D" w:rsidRDefault="00EB3C0D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</w:tr>
      <w:tr w:rsidR="00DF746B" w:rsidTr="00EB3C0D">
        <w:trPr>
          <w:trHeight w:val="567"/>
        </w:trPr>
        <w:tc>
          <w:tcPr>
            <w:tcW w:w="1242" w:type="dxa"/>
          </w:tcPr>
          <w:p w:rsidR="00DF746B" w:rsidRPr="00EB3C0D" w:rsidRDefault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2.1</w:t>
            </w:r>
          </w:p>
        </w:tc>
        <w:tc>
          <w:tcPr>
            <w:tcW w:w="6379" w:type="dxa"/>
          </w:tcPr>
          <w:p w:rsidR="00DF746B" w:rsidRPr="00EB3C0D" w:rsidRDefault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Miocárdio</w:t>
            </w:r>
          </w:p>
        </w:tc>
        <w:tc>
          <w:tcPr>
            <w:tcW w:w="1492" w:type="dxa"/>
            <w:vAlign w:val="center"/>
          </w:tcPr>
          <w:p w:rsidR="00DF746B" w:rsidRPr="00EB3C0D" w:rsidRDefault="00EB3C0D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493" w:type="dxa"/>
            <w:vAlign w:val="center"/>
          </w:tcPr>
          <w:p w:rsidR="00DF746B" w:rsidRPr="00EB3C0D" w:rsidRDefault="00EB3C0D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</w:tr>
      <w:tr w:rsidR="00DF746B" w:rsidTr="00EB3C0D">
        <w:trPr>
          <w:trHeight w:val="567"/>
        </w:trPr>
        <w:tc>
          <w:tcPr>
            <w:tcW w:w="1242" w:type="dxa"/>
          </w:tcPr>
          <w:p w:rsidR="00DF746B" w:rsidRPr="00EB3C0D" w:rsidRDefault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2.2</w:t>
            </w:r>
          </w:p>
        </w:tc>
        <w:tc>
          <w:tcPr>
            <w:tcW w:w="6379" w:type="dxa"/>
          </w:tcPr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a) 10, 12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b) 7, 8, 9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c) 4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d) 7, 12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e) 8, 9, 10</w:t>
            </w:r>
          </w:p>
          <w:p w:rsidR="00DF746B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f) 5, 2, 11</w:t>
            </w:r>
          </w:p>
        </w:tc>
        <w:tc>
          <w:tcPr>
            <w:tcW w:w="1492" w:type="dxa"/>
            <w:vAlign w:val="center"/>
          </w:tcPr>
          <w:p w:rsidR="00DF746B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6x1</w:t>
            </w:r>
          </w:p>
        </w:tc>
        <w:tc>
          <w:tcPr>
            <w:tcW w:w="1493" w:type="dxa"/>
            <w:vAlign w:val="center"/>
          </w:tcPr>
          <w:p w:rsidR="00DF746B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DF746B" w:rsidTr="00EB3C0D">
        <w:trPr>
          <w:trHeight w:val="567"/>
        </w:trPr>
        <w:tc>
          <w:tcPr>
            <w:tcW w:w="1242" w:type="dxa"/>
          </w:tcPr>
          <w:p w:rsidR="00DF746B" w:rsidRPr="00EB3C0D" w:rsidRDefault="00DF74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2.3</w:t>
            </w:r>
          </w:p>
        </w:tc>
        <w:tc>
          <w:tcPr>
            <w:tcW w:w="6379" w:type="dxa"/>
          </w:tcPr>
          <w:p w:rsidR="00DF746B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d)</w:t>
            </w:r>
          </w:p>
        </w:tc>
        <w:tc>
          <w:tcPr>
            <w:tcW w:w="1492" w:type="dxa"/>
            <w:vAlign w:val="center"/>
          </w:tcPr>
          <w:p w:rsidR="00DF746B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493" w:type="dxa"/>
            <w:vAlign w:val="center"/>
          </w:tcPr>
          <w:p w:rsidR="00DF746B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</w:tr>
      <w:tr w:rsidR="00DF746B" w:rsidTr="00EB3C0D">
        <w:trPr>
          <w:trHeight w:val="567"/>
        </w:trPr>
        <w:tc>
          <w:tcPr>
            <w:tcW w:w="1242" w:type="dxa"/>
          </w:tcPr>
          <w:p w:rsidR="00DF746B" w:rsidRPr="00EB3C0D" w:rsidRDefault="00DF746B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2.4</w:t>
            </w:r>
          </w:p>
        </w:tc>
        <w:tc>
          <w:tcPr>
            <w:tcW w:w="6379" w:type="dxa"/>
          </w:tcPr>
          <w:p w:rsidR="00DF746B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d)</w:t>
            </w:r>
          </w:p>
        </w:tc>
        <w:tc>
          <w:tcPr>
            <w:tcW w:w="1492" w:type="dxa"/>
            <w:vAlign w:val="center"/>
          </w:tcPr>
          <w:p w:rsidR="00DF746B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493" w:type="dxa"/>
            <w:vAlign w:val="center"/>
          </w:tcPr>
          <w:p w:rsidR="00DF746B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</w:tr>
      <w:tr w:rsidR="00DF746B" w:rsidTr="00EB3C0D">
        <w:trPr>
          <w:trHeight w:val="567"/>
        </w:trPr>
        <w:tc>
          <w:tcPr>
            <w:tcW w:w="1242" w:type="dxa"/>
          </w:tcPr>
          <w:p w:rsidR="00DF746B" w:rsidRPr="00EB3C0D" w:rsidRDefault="00DF746B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2.5</w:t>
            </w:r>
          </w:p>
        </w:tc>
        <w:tc>
          <w:tcPr>
            <w:tcW w:w="6379" w:type="dxa"/>
          </w:tcPr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Nome dos vasos que levam para fora: Artérias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1 – São compressíveis, elásticas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2 – Possuem paredes mais espessas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3 – Não possuem válvulas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4 – Ramificam-se em arteríolas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 xml:space="preserve">Nome dos vasos que trazem de volta: Veias 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1 – Não são elásticas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2 – Possuem paredes mais finas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3 – Podem ter válvulas nos vasos de maior calibre</w:t>
            </w:r>
          </w:p>
          <w:p w:rsidR="00DF746B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4 – Ramificam-se em vénulas</w:t>
            </w:r>
          </w:p>
        </w:tc>
        <w:tc>
          <w:tcPr>
            <w:tcW w:w="1492" w:type="dxa"/>
            <w:vAlign w:val="center"/>
          </w:tcPr>
          <w:p w:rsidR="00DF746B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Nome dos vasos = 2</w:t>
            </w:r>
          </w:p>
          <w:p w:rsidR="006C7FA7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Características = 2</w:t>
            </w:r>
          </w:p>
          <w:p w:rsidR="006C7FA7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6C7FA7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4x1</w:t>
            </w:r>
          </w:p>
        </w:tc>
        <w:tc>
          <w:tcPr>
            <w:tcW w:w="1493" w:type="dxa"/>
            <w:vAlign w:val="center"/>
          </w:tcPr>
          <w:p w:rsidR="00DF746B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2.6</w:t>
            </w:r>
          </w:p>
        </w:tc>
        <w:tc>
          <w:tcPr>
            <w:tcW w:w="6379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O ventrículo direito tem que bombear o sangue apenas até aos pulmões enquanto o ventrículo esquerdo tem que bombear o sangue para todo o corpo. Visto que o miocárdio se trata de um músculo, é natural que se encontre mais desenvolvido do lado esquerdo, que é aquele que tem que realizar um maior esforço.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lastRenderedPageBreak/>
              <w:t>3</w:t>
            </w:r>
          </w:p>
        </w:tc>
        <w:tc>
          <w:tcPr>
            <w:tcW w:w="6379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A – 1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B – 4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C – 2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 xml:space="preserve"> D – 3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E – 4 (ou 2)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F – 1 (ou 2)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6x1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4.1</w:t>
            </w:r>
          </w:p>
        </w:tc>
        <w:tc>
          <w:tcPr>
            <w:tcW w:w="6379" w:type="dxa"/>
          </w:tcPr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A – Diástole geral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B – Sístole auricular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C – Sístole ventricular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3x1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4.2</w:t>
            </w:r>
          </w:p>
        </w:tc>
        <w:tc>
          <w:tcPr>
            <w:tcW w:w="6379" w:type="dxa"/>
          </w:tcPr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a) - B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b) - C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c) - C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d) - A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e) - C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5x1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4.3</w:t>
            </w:r>
          </w:p>
        </w:tc>
        <w:tc>
          <w:tcPr>
            <w:tcW w:w="6379" w:type="dxa"/>
          </w:tcPr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(Anular a alínea c ou d)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Ordem: F; V; V; F; V; V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6x1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4.3.1</w:t>
            </w:r>
          </w:p>
        </w:tc>
        <w:tc>
          <w:tcPr>
            <w:tcW w:w="6379" w:type="dxa"/>
          </w:tcPr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a) Durante a sístole o coração está relaxado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e) A duração da diástole ventricular (0,4 + 0,1s) é superior à sístole ventricular, que dura 0,3s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2x1,5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4.4</w:t>
            </w:r>
          </w:p>
        </w:tc>
        <w:tc>
          <w:tcPr>
            <w:tcW w:w="6379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e)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5.1</w:t>
            </w:r>
          </w:p>
        </w:tc>
        <w:tc>
          <w:tcPr>
            <w:tcW w:w="6379" w:type="dxa"/>
          </w:tcPr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A – Glóbulos vermelhos ou hemácias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B – Glóbulos Brancos (no capilar sanguíneo), diapedese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 xml:space="preserve">C – Células, tecidos </w:t>
            </w:r>
          </w:p>
          <w:p w:rsidR="000F42F2" w:rsidRPr="00EB3C0D" w:rsidRDefault="000F42F2" w:rsidP="000F42F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D – Glóbulos Brancos (no capilar linfático)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4x1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5.2</w:t>
            </w:r>
          </w:p>
        </w:tc>
        <w:tc>
          <w:tcPr>
            <w:tcW w:w="6379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Plasma e glóbulos brancos.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2x1,5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6.1</w:t>
            </w:r>
          </w:p>
        </w:tc>
        <w:tc>
          <w:tcPr>
            <w:tcW w:w="6379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1- Fossas nasais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2- Cavidade oral, boca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3- Faringe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4- Laringe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5- Traqueia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6- Pulmão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7- Brônquios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 xml:space="preserve">8 </w:t>
            </w:r>
            <w:proofErr w:type="gramStart"/>
            <w:r w:rsidRPr="00EB3C0D">
              <w:rPr>
                <w:rFonts w:ascii="Franklin Gothic Book" w:hAnsi="Franklin Gothic Book"/>
                <w:sz w:val="20"/>
                <w:szCs w:val="20"/>
              </w:rPr>
              <w:t>e</w:t>
            </w:r>
            <w:proofErr w:type="gramEnd"/>
            <w:r w:rsidRPr="00EB3C0D">
              <w:rPr>
                <w:rFonts w:ascii="Franklin Gothic Book" w:hAnsi="Franklin Gothic Book"/>
                <w:sz w:val="20"/>
                <w:szCs w:val="20"/>
              </w:rPr>
              <w:t xml:space="preserve"> 9- Bronquíolos</w:t>
            </w:r>
          </w:p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10- Alvéolo pulmonar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9x1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6.2</w:t>
            </w:r>
          </w:p>
        </w:tc>
        <w:tc>
          <w:tcPr>
            <w:tcW w:w="6379" w:type="dxa"/>
          </w:tcPr>
          <w:p w:rsidR="000F42F2" w:rsidRPr="00EB3C0D" w:rsidRDefault="00EB3C0D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Hematose pulmonar (também aceitei trocas gasosas)</w:t>
            </w:r>
          </w:p>
        </w:tc>
        <w:tc>
          <w:tcPr>
            <w:tcW w:w="1492" w:type="dxa"/>
            <w:vAlign w:val="center"/>
          </w:tcPr>
          <w:p w:rsidR="000F42F2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Hematose = 2</w:t>
            </w:r>
          </w:p>
          <w:p w:rsidR="006C7FA7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(Trocas gasosas = 1)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6.3</w:t>
            </w:r>
          </w:p>
        </w:tc>
        <w:tc>
          <w:tcPr>
            <w:tcW w:w="6379" w:type="dxa"/>
          </w:tcPr>
          <w:p w:rsidR="000F42F2" w:rsidRPr="00EB3C0D" w:rsidRDefault="00EB3C0D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Durante a inspiração o ar penetra nos alvéolos pulmonares; o oxigénio atravessa as paredes (constituídas apenas por uma camada de células) dos alvéolos e dos capilares sanguíneos e combina-se com a hemoglobina das hemácias. Ao mesmo tempo, o dióxido de carbono, transportado pelo sangue, faz o percurso inverso.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6.4</w:t>
            </w:r>
          </w:p>
        </w:tc>
        <w:tc>
          <w:tcPr>
            <w:tcW w:w="6379" w:type="dxa"/>
          </w:tcPr>
          <w:p w:rsidR="000F42F2" w:rsidRPr="00EB3C0D" w:rsidRDefault="00EB3C0D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d)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6.5</w:t>
            </w:r>
          </w:p>
        </w:tc>
        <w:tc>
          <w:tcPr>
            <w:tcW w:w="6379" w:type="dxa"/>
          </w:tcPr>
          <w:p w:rsidR="000F42F2" w:rsidRPr="00EB3C0D" w:rsidRDefault="00EB3C0D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c)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7.1</w:t>
            </w:r>
          </w:p>
        </w:tc>
        <w:tc>
          <w:tcPr>
            <w:tcW w:w="6379" w:type="dxa"/>
          </w:tcPr>
          <w:p w:rsidR="000F42F2" w:rsidRPr="00EB3C0D" w:rsidRDefault="00EB3C0D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Pulmões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7.2</w:t>
            </w:r>
          </w:p>
        </w:tc>
        <w:tc>
          <w:tcPr>
            <w:tcW w:w="6379" w:type="dxa"/>
          </w:tcPr>
          <w:p w:rsidR="000F42F2" w:rsidRPr="00EB3C0D" w:rsidRDefault="00EB3C0D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Glóbulos vermelhos ou hemácias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</w:tr>
      <w:tr w:rsidR="000F42F2" w:rsidTr="00EB3C0D">
        <w:trPr>
          <w:trHeight w:val="567"/>
        </w:trPr>
        <w:tc>
          <w:tcPr>
            <w:tcW w:w="1242" w:type="dxa"/>
          </w:tcPr>
          <w:p w:rsidR="000F42F2" w:rsidRPr="00EB3C0D" w:rsidRDefault="000F42F2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7.3</w:t>
            </w:r>
          </w:p>
        </w:tc>
        <w:tc>
          <w:tcPr>
            <w:tcW w:w="6379" w:type="dxa"/>
          </w:tcPr>
          <w:p w:rsidR="000F42F2" w:rsidRPr="00EB3C0D" w:rsidRDefault="00EB3C0D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Características das paredes dos alvéolos e dos capilares sanguíneos:</w:t>
            </w:r>
          </w:p>
          <w:p w:rsidR="00EB3C0D" w:rsidRPr="00EB3C0D" w:rsidRDefault="00EB3C0D" w:rsidP="00CC0E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B3C0D">
              <w:rPr>
                <w:rFonts w:ascii="Franklin Gothic Book" w:hAnsi="Franklin Gothic Book"/>
                <w:sz w:val="20"/>
                <w:szCs w:val="20"/>
              </w:rPr>
              <w:t>Constituídas por uma única camada de células permeáveis, permitindo assim a passagem por difusão do oxigénio e do dióxido de carbono.</w:t>
            </w:r>
          </w:p>
        </w:tc>
        <w:tc>
          <w:tcPr>
            <w:tcW w:w="1492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1493" w:type="dxa"/>
            <w:vAlign w:val="center"/>
          </w:tcPr>
          <w:p w:rsidR="000F42F2" w:rsidRPr="00EB3C0D" w:rsidRDefault="006C7FA7" w:rsidP="00EB3C0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</w:tr>
    </w:tbl>
    <w:p w:rsidR="00DF746B" w:rsidRPr="00DF746B" w:rsidRDefault="00DF746B"/>
    <w:sectPr w:rsidR="00DF746B" w:rsidRPr="00DF746B" w:rsidSect="00C14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FF" w:rsidRDefault="00F702FF" w:rsidP="00C14ABA">
      <w:r>
        <w:separator/>
      </w:r>
    </w:p>
  </w:endnote>
  <w:endnote w:type="continuationSeparator" w:id="0">
    <w:p w:rsidR="00F702FF" w:rsidRDefault="00F702FF" w:rsidP="00C1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BA" w:rsidRDefault="00C14AB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508960"/>
      <w:docPartObj>
        <w:docPartGallery w:val="Page Numbers (Bottom of Page)"/>
        <w:docPartUnique/>
      </w:docPartObj>
    </w:sdtPr>
    <w:sdtContent>
      <w:p w:rsidR="00C14ABA" w:rsidRPr="00C14ABA" w:rsidRDefault="00C14ABA">
        <w:pPr>
          <w:pStyle w:val="Rodap"/>
          <w:jc w:val="right"/>
          <w:rPr>
            <w:sz w:val="20"/>
          </w:rPr>
        </w:pPr>
        <w:r w:rsidRPr="00C14ABA">
          <w:rPr>
            <w:sz w:val="20"/>
          </w:rPr>
          <w:fldChar w:fldCharType="begin"/>
        </w:r>
        <w:r w:rsidRPr="00C14ABA">
          <w:rPr>
            <w:sz w:val="20"/>
          </w:rPr>
          <w:instrText xml:space="preserve"> PAGE   \* MERGEFORMAT </w:instrText>
        </w:r>
        <w:r w:rsidRPr="00C14ABA">
          <w:rPr>
            <w:sz w:val="20"/>
          </w:rPr>
          <w:fldChar w:fldCharType="separate"/>
        </w:r>
        <w:r>
          <w:rPr>
            <w:noProof/>
            <w:sz w:val="20"/>
          </w:rPr>
          <w:t>162</w:t>
        </w:r>
        <w:r w:rsidRPr="00C14ABA">
          <w:rPr>
            <w:sz w:val="20"/>
          </w:rPr>
          <w:fldChar w:fldCharType="end"/>
        </w:r>
      </w:p>
    </w:sdtContent>
  </w:sdt>
  <w:p w:rsidR="00C14ABA" w:rsidRPr="00C14ABA" w:rsidRDefault="00C14ABA">
    <w:pPr>
      <w:pStyle w:val="Rodap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BA" w:rsidRDefault="00C14A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FF" w:rsidRDefault="00F702FF" w:rsidP="00C14ABA">
      <w:r>
        <w:separator/>
      </w:r>
    </w:p>
  </w:footnote>
  <w:footnote w:type="continuationSeparator" w:id="0">
    <w:p w:rsidR="00F702FF" w:rsidRDefault="00F702FF" w:rsidP="00C1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BA" w:rsidRDefault="00C14AB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BA" w:rsidRDefault="00C14AB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BA" w:rsidRDefault="00C14A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F1"/>
    <w:rsid w:val="000F42F2"/>
    <w:rsid w:val="002B62B2"/>
    <w:rsid w:val="005F7BF1"/>
    <w:rsid w:val="006442ED"/>
    <w:rsid w:val="006C7FA7"/>
    <w:rsid w:val="00B46330"/>
    <w:rsid w:val="00C14ABA"/>
    <w:rsid w:val="00DA0E36"/>
    <w:rsid w:val="00DF746B"/>
    <w:rsid w:val="00EB3C0D"/>
    <w:rsid w:val="00F7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F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C14AB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14AB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14AB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14AB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4AB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4AB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2012-02-08T11:05:00Z</cp:lastPrinted>
  <dcterms:created xsi:type="dcterms:W3CDTF">2011-04-06T15:45:00Z</dcterms:created>
  <dcterms:modified xsi:type="dcterms:W3CDTF">2012-02-08T11:05:00Z</dcterms:modified>
</cp:coreProperties>
</file>