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25C" w:rsidRDefault="005F225C" w:rsidP="005F225C">
      <w:pPr>
        <w:tabs>
          <w:tab w:val="left" w:pos="7694"/>
          <w:tab w:val="left" w:pos="7964"/>
          <w:tab w:val="left" w:pos="8234"/>
        </w:tabs>
        <w:spacing w:line="285" w:lineRule="atLeast"/>
        <w:rPr>
          <w:rFonts w:ascii="Arial" w:eastAsia="Times New Roman" w:hAnsi="Arial" w:cs="Arial"/>
          <w:caps/>
          <w:color w:val="996600"/>
          <w:spacing w:val="-15"/>
          <w:sz w:val="30"/>
          <w:szCs w:val="30"/>
          <w:lang w:eastAsia="pt-PT"/>
        </w:rPr>
      </w:pPr>
      <w:r>
        <w:rPr>
          <w:noProof/>
          <w:lang w:eastAsia="pt-PT"/>
        </w:rPr>
        <w:drawing>
          <wp:inline distT="0" distB="0" distL="0" distR="0">
            <wp:extent cx="9525" cy="9525"/>
            <wp:effectExtent l="0" t="0" r="0" b="0"/>
            <wp:docPr id="7" name="Imagem 7" descr="Joomla Template Cl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Joomla Template Club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t-PT"/>
        </w:rPr>
        <w:drawing>
          <wp:inline distT="0" distB="0" distL="0" distR="0">
            <wp:extent cx="9525" cy="9525"/>
            <wp:effectExtent l="0" t="0" r="0" b="0"/>
            <wp:docPr id="10" name="Imagem 10" descr="Joomla Template Cl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Joomla Template Club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t-PT"/>
        </w:rPr>
        <w:drawing>
          <wp:inline distT="0" distB="0" distL="0" distR="0">
            <wp:extent cx="3200400" cy="1181100"/>
            <wp:effectExtent l="19050" t="0" r="0" b="0"/>
            <wp:docPr id="13" name="Imagem 13" descr="http://grijo.files.wordpress.com/2010/03/audiencia-jor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grijo.files.wordpress.com/2010/03/audiencia-jorna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7637" t="43407" r="23104" b="225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225C" w:rsidRDefault="005F225C" w:rsidP="005F225C">
      <w:pPr>
        <w:tabs>
          <w:tab w:val="left" w:pos="7694"/>
          <w:tab w:val="left" w:pos="7964"/>
          <w:tab w:val="left" w:pos="8234"/>
        </w:tabs>
        <w:spacing w:line="285" w:lineRule="atLeast"/>
        <w:rPr>
          <w:rFonts w:ascii="Arial" w:eastAsia="Times New Roman" w:hAnsi="Arial" w:cs="Arial"/>
          <w:caps/>
          <w:color w:val="996600"/>
          <w:spacing w:val="-15"/>
          <w:sz w:val="30"/>
          <w:szCs w:val="30"/>
          <w:lang w:eastAsia="pt-PT"/>
        </w:rPr>
      </w:pPr>
    </w:p>
    <w:p w:rsidR="005F225C" w:rsidRPr="005F225C" w:rsidRDefault="005F225C" w:rsidP="005F225C">
      <w:pPr>
        <w:tabs>
          <w:tab w:val="left" w:pos="7694"/>
          <w:tab w:val="left" w:pos="7964"/>
          <w:tab w:val="left" w:pos="8234"/>
        </w:tabs>
        <w:spacing w:line="285" w:lineRule="atLeast"/>
        <w:rPr>
          <w:rFonts w:ascii="Arial" w:eastAsia="Times New Roman" w:hAnsi="Arial" w:cs="Arial"/>
          <w:color w:val="848484"/>
          <w:sz w:val="18"/>
          <w:szCs w:val="18"/>
          <w:lang w:eastAsia="pt-PT"/>
        </w:rPr>
      </w:pPr>
      <w:r w:rsidRPr="005F225C">
        <w:rPr>
          <w:rFonts w:ascii="Arial" w:eastAsia="Times New Roman" w:hAnsi="Arial" w:cs="Arial"/>
          <w:caps/>
          <w:color w:val="996600"/>
          <w:spacing w:val="-15"/>
          <w:sz w:val="30"/>
          <w:szCs w:val="30"/>
          <w:lang w:eastAsia="pt-PT"/>
        </w:rPr>
        <w:t>“É A OBEDIÊNCIA QUE SALVA A VIDA DOS HOMENS RECTOS”, CREONTE IN ANTÍGONA</w:t>
      </w:r>
      <w:r w:rsidRPr="005F225C">
        <w:rPr>
          <w:rFonts w:ascii="Arial" w:eastAsia="Times New Roman" w:hAnsi="Arial" w:cs="Arial"/>
          <w:caps/>
          <w:color w:val="996600"/>
          <w:spacing w:val="-15"/>
          <w:sz w:val="30"/>
          <w:szCs w:val="30"/>
          <w:lang w:eastAsia="pt-PT"/>
        </w:rPr>
        <w:tab/>
      </w:r>
      <w:r w:rsidRPr="005F225C">
        <w:rPr>
          <w:rFonts w:ascii="Arial" w:eastAsia="Times New Roman" w:hAnsi="Arial" w:cs="Arial"/>
          <w:color w:val="848484"/>
          <w:sz w:val="18"/>
          <w:szCs w:val="18"/>
          <w:lang w:eastAsia="pt-PT"/>
        </w:rPr>
        <w:tab/>
      </w:r>
      <w:r w:rsidRPr="005F225C">
        <w:rPr>
          <w:rFonts w:ascii="Arial" w:eastAsia="Times New Roman" w:hAnsi="Arial" w:cs="Arial"/>
          <w:color w:val="848484"/>
          <w:sz w:val="18"/>
          <w:szCs w:val="18"/>
          <w:lang w:eastAsia="pt-PT"/>
        </w:rPr>
        <w:tab/>
      </w:r>
    </w:p>
    <w:p w:rsidR="005F225C" w:rsidRPr="005F225C" w:rsidRDefault="005F225C" w:rsidP="005F225C">
      <w:pPr>
        <w:spacing w:line="270" w:lineRule="atLeast"/>
        <w:rPr>
          <w:rFonts w:ascii="Arial" w:eastAsia="Times New Roman" w:hAnsi="Arial" w:cs="Arial"/>
          <w:vanish/>
          <w:color w:val="666666"/>
          <w:sz w:val="18"/>
          <w:lang w:eastAsia="pt-PT"/>
        </w:rPr>
      </w:pPr>
    </w:p>
    <w:p w:rsidR="005F225C" w:rsidRPr="005F225C" w:rsidRDefault="005F225C" w:rsidP="005F225C">
      <w:pPr>
        <w:spacing w:line="285" w:lineRule="atLeast"/>
        <w:rPr>
          <w:rFonts w:ascii="Arial" w:eastAsia="Times New Roman" w:hAnsi="Arial" w:cs="Arial"/>
          <w:color w:val="848484"/>
          <w:sz w:val="18"/>
          <w:szCs w:val="18"/>
          <w:lang w:eastAsia="pt-PT"/>
        </w:rPr>
      </w:pPr>
      <w:r w:rsidRPr="005F225C">
        <w:rPr>
          <w:rFonts w:ascii="Arial" w:eastAsia="Times New Roman" w:hAnsi="Arial" w:cs="Arial"/>
          <w:color w:val="80AA00"/>
          <w:sz w:val="17"/>
          <w:lang w:eastAsia="pt-PT"/>
        </w:rPr>
        <w:t xml:space="preserve">Escrito por Roberto Merino </w:t>
      </w:r>
      <w:r w:rsidRPr="005F225C">
        <w:rPr>
          <w:rFonts w:ascii="Arial" w:eastAsia="Times New Roman" w:hAnsi="Arial" w:cs="Arial"/>
          <w:color w:val="848484"/>
          <w:sz w:val="18"/>
          <w:szCs w:val="18"/>
          <w:lang w:eastAsia="pt-PT"/>
        </w:rPr>
        <w:t>  </w:t>
      </w:r>
    </w:p>
    <w:p w:rsidR="005F225C" w:rsidRPr="005F225C" w:rsidRDefault="005F225C" w:rsidP="005F225C">
      <w:pPr>
        <w:spacing w:line="255" w:lineRule="atLeast"/>
        <w:rPr>
          <w:rFonts w:ascii="Arial" w:eastAsia="Times New Roman" w:hAnsi="Arial" w:cs="Arial"/>
          <w:b/>
          <w:bCs/>
          <w:color w:val="848484"/>
          <w:sz w:val="17"/>
          <w:szCs w:val="17"/>
          <w:lang w:eastAsia="pt-PT"/>
        </w:rPr>
      </w:pPr>
      <w:r w:rsidRPr="005F225C">
        <w:rPr>
          <w:rFonts w:ascii="Arial" w:eastAsia="Times New Roman" w:hAnsi="Arial" w:cs="Arial"/>
          <w:b/>
          <w:bCs/>
          <w:color w:val="848484"/>
          <w:sz w:val="17"/>
          <w:szCs w:val="17"/>
          <w:lang w:eastAsia="pt-PT"/>
        </w:rPr>
        <w:t>Quarta, 28 Abril 2010 07:50</w:t>
      </w:r>
    </w:p>
    <w:p w:rsidR="005F225C" w:rsidRPr="005F225C" w:rsidRDefault="005F225C" w:rsidP="005F225C">
      <w:pPr>
        <w:spacing w:beforeAutospacing="1" w:afterAutospacing="1" w:line="285" w:lineRule="atLeast"/>
        <w:jc w:val="both"/>
        <w:rPr>
          <w:rFonts w:ascii="Arial" w:eastAsia="Times New Roman" w:hAnsi="Arial" w:cs="Arial"/>
          <w:color w:val="848484"/>
          <w:lang w:eastAsia="pt-PT"/>
        </w:rPr>
      </w:pPr>
      <w:r w:rsidRPr="005F225C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pt-PT"/>
        </w:rPr>
        <w:t> </w:t>
      </w:r>
      <w:r w:rsidRPr="005F225C">
        <w:rPr>
          <w:rFonts w:ascii="Times New Roman" w:eastAsia="Times New Roman" w:hAnsi="Times New Roman" w:cs="Times New Roman"/>
          <w:color w:val="000000"/>
          <w:u w:val="single"/>
          <w:bdr w:val="none" w:sz="0" w:space="0" w:color="auto" w:frame="1"/>
          <w:lang w:eastAsia="pt-PT"/>
        </w:rPr>
        <w:t xml:space="preserve">Os Gregos entrem </w:t>
      </w:r>
      <w:r w:rsidR="009E3D34" w:rsidRPr="005F225C">
        <w:rPr>
          <w:rFonts w:ascii="Times New Roman" w:eastAsia="Times New Roman" w:hAnsi="Times New Roman" w:cs="Times New Roman"/>
          <w:color w:val="000000"/>
          <w:u w:val="single"/>
          <w:bdr w:val="none" w:sz="0" w:space="0" w:color="auto" w:frame="1"/>
          <w:lang w:eastAsia="pt-PT"/>
        </w:rPr>
        <w:t>nós.</w:t>
      </w:r>
      <w:r w:rsidR="009E3D34" w:rsidRPr="005F225C">
        <w:rPr>
          <w:rFonts w:ascii="Times New Roman" w:eastAsia="Times New Roman" w:hAnsi="Times New Roman" w:cs="Times New Roman"/>
          <w:b/>
          <w:bCs/>
          <w:color w:val="000000"/>
          <w:lang w:eastAsia="pt-PT"/>
        </w:rPr>
        <w:t xml:space="preserve">  </w:t>
      </w:r>
      <w:r w:rsidRPr="005F225C">
        <w:rPr>
          <w:rFonts w:ascii="Times New Roman" w:eastAsia="Times New Roman" w:hAnsi="Times New Roman" w:cs="Times New Roman"/>
          <w:b/>
          <w:bCs/>
          <w:color w:val="000000"/>
          <w:lang w:eastAsia="pt-PT"/>
        </w:rPr>
        <w:t>- Antígona</w:t>
      </w:r>
      <w:r w:rsidRPr="005F225C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pt-PT"/>
        </w:rPr>
        <w:t>, tragédia escrita pelo dramaturgo grego Sófocles (</w:t>
      </w:r>
      <w:hyperlink r:id="rId6" w:tooltip="497 a.C." w:history="1">
        <w:r w:rsidRPr="005F225C">
          <w:rPr>
            <w:rFonts w:ascii="Times New Roman" w:eastAsia="Times New Roman" w:hAnsi="Times New Roman" w:cs="Times New Roman"/>
            <w:color w:val="088FCF"/>
            <w:lang w:eastAsia="pt-PT"/>
          </w:rPr>
          <w:t>497</w:t>
        </w:r>
      </w:hyperlink>
      <w:r w:rsidRPr="005F225C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pt-PT"/>
        </w:rPr>
        <w:t>/406 a.C.), mostra como opiniões antagónicas podem ser correctas dependendo do ângulo analisada. A peça, sequência de</w:t>
      </w:r>
      <w:r w:rsidRPr="005F225C">
        <w:rPr>
          <w:rFonts w:ascii="Times New Roman" w:eastAsia="Times New Roman" w:hAnsi="Times New Roman" w:cs="Times New Roman"/>
          <w:color w:val="000000"/>
          <w:lang w:eastAsia="pt-PT"/>
        </w:rPr>
        <w:t> </w:t>
      </w:r>
      <w:r w:rsidRPr="005F225C">
        <w:rPr>
          <w:rFonts w:ascii="Times New Roman" w:eastAsia="Times New Roman" w:hAnsi="Times New Roman" w:cs="Times New Roman"/>
          <w:b/>
          <w:bCs/>
          <w:color w:val="000000"/>
          <w:lang w:eastAsia="pt-PT"/>
        </w:rPr>
        <w:t>Édipo Rei</w:t>
      </w:r>
      <w:r w:rsidRPr="005F225C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pt-PT"/>
        </w:rPr>
        <w:t>, retrata como a descendência incestuosa de Édipo, amaldiçoada anteriormente, termina (não sendo uma trilogia no sentido clássico podemos falar de um ciclo tebano que inclui ainda o texto Édipo em Colono – 401 a.C.). Os dois filhos de Édipo</w:t>
      </w:r>
      <w:proofErr w:type="gramStart"/>
      <w:r w:rsidRPr="005F225C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pt-PT"/>
        </w:rPr>
        <w:t>,</w:t>
      </w:r>
      <w:proofErr w:type="gramEnd"/>
      <w:r w:rsidRPr="005F225C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pt-PT"/>
        </w:rPr>
        <w:t xml:space="preserve"> morrem no campo de batalha no mesmo dia. Um a favor e o outro contra a cidade de Tebas, que passa a ser governada por Creonte. O Rei manda então enterrar honrosamente ao que defendeu honrosamente a cidade (Etéocles), e lança uma lei de que o segundo (Polinices) não seja velado nem sepultado por ser um traidor de sua pátria, quem o fizesse seria igualmente considerado traidor. Antígona, filha de Édipo e irmã dos falecidos, desobedece a lei e presta as honras fúnebres ao morto. Com este gesto é condenada à morte.”</w:t>
      </w:r>
    </w:p>
    <w:p w:rsidR="005F225C" w:rsidRPr="005F225C" w:rsidRDefault="005F225C" w:rsidP="005F225C">
      <w:pPr>
        <w:spacing w:line="285" w:lineRule="atLeast"/>
        <w:jc w:val="both"/>
        <w:rPr>
          <w:rFonts w:ascii="Arial" w:eastAsia="Times New Roman" w:hAnsi="Arial" w:cs="Arial"/>
          <w:color w:val="848484"/>
          <w:lang w:eastAsia="pt-PT"/>
        </w:rPr>
      </w:pPr>
      <w:r w:rsidRPr="005F225C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pt-PT"/>
        </w:rPr>
        <w:t>Em</w:t>
      </w:r>
      <w:r w:rsidRPr="005F225C">
        <w:rPr>
          <w:rFonts w:ascii="Times New Roman" w:eastAsia="Times New Roman" w:hAnsi="Times New Roman" w:cs="Times New Roman"/>
          <w:color w:val="000000"/>
          <w:lang w:eastAsia="pt-PT"/>
        </w:rPr>
        <w:t> </w:t>
      </w:r>
      <w:r w:rsidRPr="005F225C">
        <w:rPr>
          <w:rFonts w:ascii="Times New Roman" w:eastAsia="Times New Roman" w:hAnsi="Times New Roman" w:cs="Times New Roman"/>
          <w:i/>
          <w:iCs/>
          <w:color w:val="000000"/>
          <w:lang w:eastAsia="pt-PT"/>
        </w:rPr>
        <w:t>Antígona</w:t>
      </w:r>
      <w:r w:rsidRPr="005F225C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pt-PT"/>
        </w:rPr>
        <w:t xml:space="preserve">, um tratado sobre a Democracia, o sangue corre nas veias da cidade entre o poder e a indignação…confronto íntimo de antagonistas na mítica Tebas das sete portas assolada pela guerra fratricida pelo poder, transposta para o palco do Teatro da cidade; são os actores que defendem e afirmam as palavras que proferem, estes e não outros, tal como esta e não outra a assembleia de cidadãos que os escutam. Tebas é mais do que uma cidade como a reconhecemos hoje – é um país, um continente, uma civilização que se trava de razões entre ruínas fumegantes. Dar lugar à história do Homem (“de todos os prodígios o maior”), é continuar a demanda de sentido, abrindo as portas ao confronto de temáticas sem fim à vista. Heróis como Antígona, se não geraram filhos, geraram adeptos que da sua ilustre causa se apropriaram ao longo da maratona da História, contra o imobilismo da “unidade interna” dos sistemas.” São as palavras de ordem de quem nasceu num tempo antígono, Nuno Carinhas, Director Artístico do TNSJ, e que justificam a actualidade e vigência do texto clássico, em cena durante o mês de Abril no Teatro Nacional. As palavras de Sófocles e de Antígona, um dos mais belos personagens da literatura universal estarão em cena para nos lembrar que em Sófocles, “a manifestação do divino faz-se sentir como mistério insondável, uma “presença ausente” que atira para o primeiríssimo plano da acção o homem – o homem finito, contraditório, na contingência da sua pequenez e da sua grandeza, numa nudez por vezes confundível com uma espécie de condenação à liberdade, como diria Sartre, mas que, ao contrário, se revela integrada num plano maior, transcendente, não obstante a humana incapacidade de lhe descortinar o sentido.” Marta Várzeas no caderno de leitura do </w:t>
      </w:r>
      <w:r w:rsidR="009E3D34" w:rsidRPr="005F225C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pt-PT"/>
        </w:rPr>
        <w:t>espectáculo.</w:t>
      </w:r>
      <w:r w:rsidR="009E3D34" w:rsidRPr="005F225C">
        <w:rPr>
          <w:rFonts w:ascii="Times New Roman" w:eastAsia="Times New Roman" w:hAnsi="Times New Roman" w:cs="Times New Roman"/>
          <w:smallCaps/>
          <w:color w:val="000000"/>
          <w:lang w:eastAsia="pt-PT"/>
        </w:rPr>
        <w:t xml:space="preserve">  </w:t>
      </w:r>
      <w:r w:rsidRPr="005F225C">
        <w:rPr>
          <w:rFonts w:ascii="Times New Roman" w:eastAsia="Times New Roman" w:hAnsi="Times New Roman" w:cs="Times New Roman"/>
          <w:color w:val="000000"/>
          <w:highlight w:val="yellow"/>
          <w:bdr w:val="none" w:sz="0" w:space="0" w:color="auto" w:frame="1"/>
          <w:lang w:eastAsia="pt-PT"/>
        </w:rPr>
        <w:t xml:space="preserve">O mito do Titã </w:t>
      </w:r>
      <w:r w:rsidR="009E3D34" w:rsidRPr="00CA7EC5">
        <w:rPr>
          <w:rFonts w:ascii="Times New Roman" w:eastAsia="Times New Roman" w:hAnsi="Times New Roman" w:cs="Times New Roman"/>
          <w:color w:val="000000"/>
          <w:highlight w:val="yellow"/>
          <w:bdr w:val="none" w:sz="0" w:space="0" w:color="auto" w:frame="1"/>
          <w:lang w:eastAsia="pt-PT"/>
        </w:rPr>
        <w:t>Previdente,</w:t>
      </w:r>
      <w:r w:rsidR="009E3D34" w:rsidRPr="00CA7EC5">
        <w:rPr>
          <w:rFonts w:ascii="Times New Roman" w:eastAsia="Times New Roman" w:hAnsi="Times New Roman" w:cs="Times New Roman"/>
          <w:b/>
          <w:bCs/>
          <w:color w:val="000000"/>
          <w:highlight w:val="yellow"/>
          <w:lang w:eastAsia="pt-PT"/>
        </w:rPr>
        <w:t xml:space="preserve">  serviu</w:t>
      </w:r>
      <w:r w:rsidRPr="005F225C">
        <w:rPr>
          <w:rFonts w:ascii="Times New Roman" w:eastAsia="Times New Roman" w:hAnsi="Times New Roman" w:cs="Times New Roman"/>
          <w:color w:val="000000"/>
          <w:highlight w:val="yellow"/>
          <w:bdr w:val="none" w:sz="0" w:space="0" w:color="auto" w:frame="1"/>
          <w:lang w:eastAsia="pt-PT"/>
        </w:rPr>
        <w:t xml:space="preserve"> de base ao espectáculo de teatro de </w:t>
      </w:r>
      <w:r w:rsidR="009E3D34" w:rsidRPr="00CA7EC5">
        <w:rPr>
          <w:rFonts w:ascii="Times New Roman" w:eastAsia="Times New Roman" w:hAnsi="Times New Roman" w:cs="Times New Roman"/>
          <w:color w:val="000000"/>
          <w:highlight w:val="yellow"/>
          <w:bdr w:val="none" w:sz="0" w:space="0" w:color="auto" w:frame="1"/>
          <w:lang w:eastAsia="pt-PT"/>
        </w:rPr>
        <w:t>sombra intitulado</w:t>
      </w:r>
      <w:r w:rsidRPr="005F225C">
        <w:rPr>
          <w:rFonts w:ascii="Times New Roman" w:eastAsia="Times New Roman" w:hAnsi="Times New Roman" w:cs="Times New Roman"/>
          <w:color w:val="000000"/>
          <w:highlight w:val="yellow"/>
          <w:bdr w:val="none" w:sz="0" w:space="0" w:color="auto" w:frame="1"/>
          <w:lang w:eastAsia="pt-PT"/>
        </w:rPr>
        <w:t>”</w:t>
      </w:r>
      <w:r w:rsidRPr="00CA7EC5">
        <w:rPr>
          <w:rFonts w:ascii="Times New Roman" w:eastAsia="Times New Roman" w:hAnsi="Times New Roman" w:cs="Times New Roman"/>
          <w:b/>
          <w:bCs/>
          <w:color w:val="000000"/>
          <w:highlight w:val="yellow"/>
          <w:lang w:eastAsia="pt-PT"/>
        </w:rPr>
        <w:t>Prometeu”</w:t>
      </w:r>
      <w:r w:rsidRPr="00CA7EC5">
        <w:rPr>
          <w:rFonts w:ascii="Times New Roman" w:eastAsia="Times New Roman" w:hAnsi="Times New Roman" w:cs="Times New Roman"/>
          <w:color w:val="000000"/>
          <w:highlight w:val="yellow"/>
          <w:lang w:eastAsia="pt-PT"/>
        </w:rPr>
        <w:t> </w:t>
      </w:r>
      <w:r w:rsidRPr="005F225C">
        <w:rPr>
          <w:rFonts w:ascii="Times New Roman" w:eastAsia="Times New Roman" w:hAnsi="Times New Roman" w:cs="Times New Roman"/>
          <w:color w:val="000000"/>
          <w:highlight w:val="yellow"/>
          <w:bdr w:val="none" w:sz="0" w:space="0" w:color="auto" w:frame="1"/>
          <w:lang w:eastAsia="pt-PT"/>
        </w:rPr>
        <w:t>a proposta partiu do serviço educativo da Casa da Música, no Porto, que pretende dar a conhecer este mito através das técnicas tradicionais de Teatro de Sombras das Ilhas de Bali e Java, utilizando como</w:t>
      </w:r>
      <w:r w:rsidR="009E3D34" w:rsidRPr="00CA7EC5">
        <w:rPr>
          <w:rFonts w:ascii="Times New Roman" w:eastAsia="Times New Roman" w:hAnsi="Times New Roman" w:cs="Times New Roman"/>
          <w:color w:val="000000"/>
          <w:highlight w:val="yellow"/>
          <w:bdr w:val="none" w:sz="0" w:space="0" w:color="auto" w:frame="1"/>
          <w:lang w:eastAsia="pt-PT"/>
        </w:rPr>
        <w:t xml:space="preserve"> pano de fundo musical o Gamelão</w:t>
      </w:r>
      <w:r w:rsidRPr="005F225C">
        <w:rPr>
          <w:rFonts w:ascii="Times New Roman" w:eastAsia="Times New Roman" w:hAnsi="Times New Roman" w:cs="Times New Roman"/>
          <w:color w:val="000000"/>
          <w:highlight w:val="yellow"/>
          <w:bdr w:val="none" w:sz="0" w:space="0" w:color="auto" w:frame="1"/>
          <w:lang w:eastAsia="pt-PT"/>
        </w:rPr>
        <w:t xml:space="preserve"> (recentemente adquirido por essa instituição); conjunto de instrumentos</w:t>
      </w:r>
      <w:r w:rsidRPr="00CA7EC5">
        <w:rPr>
          <w:rFonts w:ascii="Times New Roman" w:eastAsia="Times New Roman" w:hAnsi="Times New Roman" w:cs="Times New Roman"/>
          <w:color w:val="000000"/>
          <w:highlight w:val="yellow"/>
          <w:lang w:eastAsia="pt-PT"/>
        </w:rPr>
        <w:t> </w:t>
      </w:r>
      <w:r w:rsidRPr="005F225C">
        <w:rPr>
          <w:rFonts w:ascii="Times New Roman" w:eastAsia="Times New Roman" w:hAnsi="Times New Roman" w:cs="Times New Roman"/>
          <w:color w:val="000000"/>
          <w:highlight w:val="yellow"/>
          <w:bdr w:val="none" w:sz="0" w:space="0" w:color="auto" w:frame="1"/>
          <w:lang w:eastAsia="pt-PT"/>
        </w:rPr>
        <w:t>musicais de</w:t>
      </w:r>
      <w:r w:rsidRPr="00CA7EC5">
        <w:rPr>
          <w:rFonts w:ascii="Times New Roman" w:eastAsia="Times New Roman" w:hAnsi="Times New Roman" w:cs="Times New Roman"/>
          <w:color w:val="000000"/>
          <w:highlight w:val="yellow"/>
          <w:lang w:eastAsia="pt-PT"/>
        </w:rPr>
        <w:t> </w:t>
      </w:r>
      <w:hyperlink r:id="rId7" w:tooltip="Indonésia" w:history="1">
        <w:r w:rsidRPr="00CA7EC5">
          <w:rPr>
            <w:rFonts w:ascii="Times New Roman" w:eastAsia="Times New Roman" w:hAnsi="Times New Roman" w:cs="Times New Roman"/>
            <w:highlight w:val="yellow"/>
            <w:lang w:eastAsia="pt-PT"/>
          </w:rPr>
          <w:t>Indonésia</w:t>
        </w:r>
      </w:hyperlink>
      <w:r w:rsidRPr="00CA7EC5">
        <w:rPr>
          <w:rFonts w:ascii="Times New Roman" w:eastAsia="Times New Roman" w:hAnsi="Times New Roman" w:cs="Times New Roman"/>
          <w:color w:val="000000"/>
          <w:highlight w:val="yellow"/>
          <w:lang w:eastAsia="pt-PT"/>
        </w:rPr>
        <w:t> </w:t>
      </w:r>
      <w:r w:rsidRPr="005F225C">
        <w:rPr>
          <w:rFonts w:ascii="Times New Roman" w:eastAsia="Times New Roman" w:hAnsi="Times New Roman" w:cs="Times New Roman"/>
          <w:color w:val="000000"/>
          <w:highlight w:val="yellow"/>
          <w:bdr w:val="none" w:sz="0" w:space="0" w:color="auto" w:frame="1"/>
          <w:lang w:eastAsia="pt-PT"/>
        </w:rPr>
        <w:t xml:space="preserve">tipicamente caracterizado por uma variedade de metalofones, xilofones, tambores, e gongos; cordas, flautas de bambu, e </w:t>
      </w:r>
      <w:r w:rsidR="009E3D34" w:rsidRPr="00CA7EC5">
        <w:rPr>
          <w:rFonts w:ascii="Times New Roman" w:eastAsia="Times New Roman" w:hAnsi="Times New Roman" w:cs="Times New Roman"/>
          <w:color w:val="000000"/>
          <w:highlight w:val="yellow"/>
          <w:bdr w:val="none" w:sz="0" w:space="0" w:color="auto" w:frame="1"/>
          <w:lang w:eastAsia="pt-PT"/>
        </w:rPr>
        <w:t>vocalistas.</w:t>
      </w:r>
      <w:r w:rsidR="009E3D34" w:rsidRPr="00CA7EC5">
        <w:rPr>
          <w:rFonts w:ascii="Times New Roman" w:eastAsia="Times New Roman" w:hAnsi="Times New Roman" w:cs="Times New Roman"/>
          <w:color w:val="000000"/>
          <w:highlight w:val="yellow"/>
          <w:lang w:eastAsia="pt-PT"/>
        </w:rPr>
        <w:t xml:space="preserve">  </w:t>
      </w:r>
      <w:r w:rsidRPr="005F225C">
        <w:rPr>
          <w:rFonts w:ascii="Times New Roman" w:eastAsia="Times New Roman" w:hAnsi="Times New Roman" w:cs="Times New Roman"/>
          <w:color w:val="000000"/>
          <w:highlight w:val="yellow"/>
          <w:bdr w:val="none" w:sz="0" w:space="0" w:color="auto" w:frame="1"/>
          <w:lang w:eastAsia="pt-PT"/>
        </w:rPr>
        <w:t>A palavra “</w:t>
      </w:r>
      <w:r w:rsidR="009E3D34" w:rsidRPr="00CA7EC5">
        <w:rPr>
          <w:rFonts w:ascii="Times New Roman" w:eastAsia="Times New Roman" w:hAnsi="Times New Roman" w:cs="Times New Roman"/>
          <w:color w:val="000000"/>
          <w:highlight w:val="yellow"/>
          <w:bdr w:val="none" w:sz="0" w:space="0" w:color="auto" w:frame="1"/>
          <w:lang w:eastAsia="pt-PT"/>
        </w:rPr>
        <w:t>Gamelão</w:t>
      </w:r>
      <w:r w:rsidRPr="005F225C">
        <w:rPr>
          <w:rFonts w:ascii="Times New Roman" w:eastAsia="Times New Roman" w:hAnsi="Times New Roman" w:cs="Times New Roman"/>
          <w:color w:val="000000"/>
          <w:highlight w:val="yellow"/>
          <w:bdr w:val="none" w:sz="0" w:space="0" w:color="auto" w:frame="1"/>
          <w:lang w:eastAsia="pt-PT"/>
        </w:rPr>
        <w:t>” vem da palavra “gamel”, significando golpear ou martelar. Partindo de uma criação de figuras e espaços através de areia sobre uma mesa de luz que mais tarde se transformará em ecrã através de projecção, Marcelo Lafontana, interprete e encenador, conta a história mítica valendo-se de um processo de multimédia eficaz que alcança efeitos brilhantemente poéticos. Lafontana não exclui como Carinhas na sua versão do texto/mito clássico, de citar o tempo moderno e contemporâneo que nos acompanha e no qual vivemos; um tempo de guerra de confrontos, de sofrimento e sacrifico mas também como em tudo na história da humanidade, e aproveitando este tempo Pascal, de esperança e renascer.</w:t>
      </w:r>
      <w:r w:rsidRPr="005F225C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pt-PT"/>
        </w:rPr>
        <w:t xml:space="preserve"> -</w:t>
      </w:r>
      <w:r w:rsidRPr="005F225C">
        <w:rPr>
          <w:rFonts w:ascii="Times New Roman" w:eastAsia="Times New Roman" w:hAnsi="Times New Roman" w:cs="Times New Roman"/>
          <w:color w:val="000000"/>
          <w:lang w:eastAsia="pt-PT"/>
        </w:rPr>
        <w:t> </w:t>
      </w:r>
      <w:r w:rsidRPr="005F225C">
        <w:rPr>
          <w:rFonts w:ascii="Times New Roman" w:eastAsia="Times New Roman" w:hAnsi="Times New Roman" w:cs="Times New Roman"/>
          <w:b/>
          <w:color w:val="000000"/>
          <w:bdr w:val="none" w:sz="0" w:space="0" w:color="auto" w:frame="1"/>
          <w:lang w:eastAsia="pt-PT"/>
        </w:rPr>
        <w:t>Palco Roberto Merino – Abril 2010</w:t>
      </w:r>
    </w:p>
    <w:p w:rsidR="00FC3F69" w:rsidRDefault="00FC3F69"/>
    <w:sectPr w:rsidR="00FC3F69" w:rsidSect="005F225C">
      <w:pgSz w:w="11906" w:h="16838"/>
      <w:pgMar w:top="709" w:right="849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F225C"/>
    <w:rsid w:val="004B7C5C"/>
    <w:rsid w:val="00512B53"/>
    <w:rsid w:val="005F225C"/>
    <w:rsid w:val="009E3D34"/>
    <w:rsid w:val="00CA7EC5"/>
    <w:rsid w:val="00FC3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F69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style-span">
    <w:name w:val="apple-style-span"/>
    <w:basedOn w:val="Tipodeletrapredefinidodopargrafo"/>
    <w:rsid w:val="005F225C"/>
  </w:style>
  <w:style w:type="character" w:styleId="Hiperligao">
    <w:name w:val="Hyperlink"/>
    <w:basedOn w:val="Tipodeletrapredefinidodopargrafo"/>
    <w:uiPriority w:val="99"/>
    <w:semiHidden/>
    <w:unhideWhenUsed/>
    <w:rsid w:val="005F225C"/>
    <w:rPr>
      <w:color w:val="0000FF"/>
      <w:u w:val="single"/>
    </w:rPr>
  </w:style>
  <w:style w:type="character" w:customStyle="1" w:styleId="small">
    <w:name w:val="small"/>
    <w:basedOn w:val="Tipodeletrapredefinidodopargrafo"/>
    <w:rsid w:val="005F225C"/>
  </w:style>
  <w:style w:type="paragraph" w:styleId="NormalWeb">
    <w:name w:val="Normal (Web)"/>
    <w:basedOn w:val="Normal"/>
    <w:uiPriority w:val="99"/>
    <w:semiHidden/>
    <w:unhideWhenUsed/>
    <w:rsid w:val="005F225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5F225C"/>
    <w:rPr>
      <w:b/>
      <w:bCs/>
    </w:rPr>
  </w:style>
  <w:style w:type="character" w:styleId="nfase">
    <w:name w:val="Emphasis"/>
    <w:basedOn w:val="Tipodeletrapredefinidodopargrafo"/>
    <w:uiPriority w:val="20"/>
    <w:qFormat/>
    <w:rsid w:val="005F225C"/>
    <w:rPr>
      <w:i/>
      <w:iCs/>
    </w:rPr>
  </w:style>
  <w:style w:type="character" w:customStyle="1" w:styleId="apple-converted-space">
    <w:name w:val="apple-converted-space"/>
    <w:basedOn w:val="Tipodeletrapredefinidodopargrafo"/>
    <w:rsid w:val="005F225C"/>
  </w:style>
  <w:style w:type="paragraph" w:styleId="Textodebalo">
    <w:name w:val="Balloon Text"/>
    <w:basedOn w:val="Normal"/>
    <w:link w:val="TextodebaloCarcter"/>
    <w:uiPriority w:val="99"/>
    <w:semiHidden/>
    <w:unhideWhenUsed/>
    <w:rsid w:val="005F225C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F22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104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orldlingo.com/ma/enwiki/pt/Indonesi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t.wikipedia.org/wiki/497_a.C.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679</Words>
  <Characters>3670</Characters>
  <Application>Microsoft Office Word</Application>
  <DocSecurity>0</DocSecurity>
  <Lines>30</Lines>
  <Paragraphs>8</Paragraphs>
  <ScaleCrop>false</ScaleCrop>
  <Company/>
  <LinksUpToDate>false</LinksUpToDate>
  <CharactersWithSpaces>4341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lafontana</dc:creator>
  <cp:lastModifiedBy>lafontana</cp:lastModifiedBy>
  <cp:revision>3</cp:revision>
  <dcterms:created xsi:type="dcterms:W3CDTF">2010-04-30T09:23:00Z</dcterms:created>
  <dcterms:modified xsi:type="dcterms:W3CDTF">2010-04-30T09:30:00Z</dcterms:modified>
</cp:coreProperties>
</file>