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AAD22" w14:textId="77777777" w:rsidR="00FD69E2" w:rsidRDefault="00FD69E2">
      <w:bookmarkStart w:id="0" w:name="_GoBack"/>
      <w:bookmarkEnd w:id="0"/>
    </w:p>
    <w:p w14:paraId="0BE0C43A" w14:textId="77777777" w:rsidR="00FD69E2" w:rsidRDefault="00FD69E2">
      <w:proofErr w:type="spellStart"/>
      <w:r>
        <w:t>Effect</w:t>
      </w:r>
      <w:proofErr w:type="spellEnd"/>
      <w:r>
        <w:t xml:space="preserve"> </w:t>
      </w:r>
      <w:proofErr w:type="spellStart"/>
      <w:r>
        <w:t>of</w:t>
      </w:r>
      <w:proofErr w:type="spellEnd"/>
      <w:r>
        <w:t xml:space="preserve"> mineral </w:t>
      </w:r>
      <w:proofErr w:type="spellStart"/>
      <w:r>
        <w:t>mixture</w:t>
      </w:r>
      <w:proofErr w:type="spellEnd"/>
      <w:r>
        <w:t xml:space="preserve"> </w:t>
      </w:r>
      <w:proofErr w:type="spellStart"/>
      <w:r>
        <w:t>on</w:t>
      </w:r>
      <w:proofErr w:type="spellEnd"/>
      <w:r>
        <w:t xml:space="preserve"> </w:t>
      </w:r>
      <w:proofErr w:type="spellStart"/>
      <w:r>
        <w:t>behavior</w:t>
      </w:r>
      <w:proofErr w:type="spellEnd"/>
      <w:r>
        <w:t xml:space="preserve"> </w:t>
      </w:r>
      <w:proofErr w:type="spellStart"/>
      <w:r>
        <w:t>patterns</w:t>
      </w:r>
      <w:proofErr w:type="spellEnd"/>
      <w:r>
        <w:t xml:space="preserve"> </w:t>
      </w:r>
      <w:proofErr w:type="spellStart"/>
      <w:r>
        <w:t>of</w:t>
      </w:r>
      <w:proofErr w:type="spellEnd"/>
      <w:r>
        <w:t xml:space="preserve"> portuguese </w:t>
      </w:r>
      <w:proofErr w:type="spellStart"/>
      <w:r>
        <w:t>native</w:t>
      </w:r>
      <w:proofErr w:type="spellEnd"/>
      <w:r>
        <w:t xml:space="preserve"> </w:t>
      </w:r>
      <w:proofErr w:type="spellStart"/>
      <w:r>
        <w:t>heifers</w:t>
      </w:r>
      <w:proofErr w:type="spellEnd"/>
      <w:r>
        <w:t xml:space="preserve"> </w:t>
      </w:r>
      <w:proofErr w:type="spellStart"/>
      <w:r>
        <w:t>during</w:t>
      </w:r>
      <w:proofErr w:type="spellEnd"/>
      <w:r>
        <w:t xml:space="preserve"> </w:t>
      </w:r>
      <w:proofErr w:type="spellStart"/>
      <w:r>
        <w:t>Mediterranean</w:t>
      </w:r>
      <w:proofErr w:type="spellEnd"/>
      <w:r>
        <w:t xml:space="preserve"> Spring </w:t>
      </w:r>
      <w:proofErr w:type="spellStart"/>
      <w:r>
        <w:t>and</w:t>
      </w:r>
      <w:proofErr w:type="spellEnd"/>
      <w:r>
        <w:t xml:space="preserve"> </w:t>
      </w:r>
      <w:proofErr w:type="spellStart"/>
      <w:r>
        <w:t>Summer</w:t>
      </w:r>
      <w:proofErr w:type="spellEnd"/>
    </w:p>
    <w:p w14:paraId="48D49480" w14:textId="77777777" w:rsidR="00FD69E2" w:rsidRDefault="00FD69E2"/>
    <w:p w14:paraId="1E51CB84" w14:textId="77777777" w:rsidR="000659E4" w:rsidRDefault="000659E4"/>
    <w:p w14:paraId="42F958B3" w14:textId="77777777" w:rsidR="000659E4" w:rsidRDefault="000659E4"/>
    <w:p w14:paraId="72CCAB62" w14:textId="77777777" w:rsidR="000659E4" w:rsidRDefault="000659E4">
      <w:r>
        <w:t>Introdução</w:t>
      </w:r>
    </w:p>
    <w:p w14:paraId="30D7BF12" w14:textId="77777777" w:rsidR="00FB72C1" w:rsidRDefault="000659E4">
      <w:r>
        <w:t xml:space="preserve">Em clima mediterrâneo a marcada sazonalidade climática conduz a dificuldades acrescidas na alimentação dos animais presente nos sistemas de produção extensivos. Durante o período estival (quente e seco) a biomassa disponível apresenta um fraco valor nutritivo, </w:t>
      </w:r>
      <w:r w:rsidR="00FB72C1">
        <w:t xml:space="preserve">com baixas concentrações em energia e proteína. Este alimento é bastante </w:t>
      </w:r>
      <w:proofErr w:type="spellStart"/>
      <w:r w:rsidR="00FB72C1">
        <w:t>calorigénico</w:t>
      </w:r>
      <w:proofErr w:type="spellEnd"/>
      <w:r w:rsidR="00FB72C1">
        <w:t xml:space="preserve"> o que associado ao elevado stress térmico dos animais determina  </w:t>
      </w:r>
      <w:r>
        <w:t>baixas ingestões e perdas de peso.</w:t>
      </w:r>
      <w:r w:rsidR="00FB72C1">
        <w:t xml:space="preserve"> A carência de proteína, frequentemente abaixo dos níveis mínimos recomendados, é um obstáculo á manutenção da condição corporal dos animais. O stress térmico imposto pelo ambiente tende a modificar os padrões de comportamento. Os períodos de ingestão e ruminação ocorrem em diferentes horários e com durações distintas.   </w:t>
      </w:r>
    </w:p>
    <w:p w14:paraId="5FC9E1BD" w14:textId="77777777" w:rsidR="00FB72C1" w:rsidRDefault="00FB72C1">
      <w:r>
        <w:t>O suprimento de proteína associado a suplementação mineral, permite supor algumas vantagens nestas circunstâncias. Com efeito, a</w:t>
      </w:r>
      <w:r w:rsidR="000659E4">
        <w:t xml:space="preserve"> suplementação mineral nestes sistemas </w:t>
      </w:r>
      <w:r>
        <w:t xml:space="preserve">extensivos </w:t>
      </w:r>
      <w:r w:rsidR="000659E4">
        <w:t xml:space="preserve">é normalmente inexistente, prevalecendo a ideia </w:t>
      </w:r>
      <w:r>
        <w:t>de que a suplementação à</w:t>
      </w:r>
      <w:r w:rsidR="000659E4">
        <w:t xml:space="preserve"> base de feno ou de palha </w:t>
      </w:r>
      <w:r>
        <w:t xml:space="preserve">permite suprir as necessidades dos animais nestes nutrientes. A disponibilidade de minerais durante o período de crescimento é frequentemente referido como importante na antecipação da actividade reprodutiva, com benefícios na fertilidade das novilhas. </w:t>
      </w:r>
    </w:p>
    <w:p w14:paraId="5EE60572" w14:textId="77777777" w:rsidR="000659E4" w:rsidRDefault="00FB72C1">
      <w:r>
        <w:t>O objectivo deste estudo foi</w:t>
      </w:r>
      <w:r w:rsidR="00A16011">
        <w:t xml:space="preserve"> avaliar o efeito da suplementação de sal mineral </w:t>
      </w:r>
      <w:proofErr w:type="spellStart"/>
      <w:r w:rsidR="00A16011">
        <w:t>proteinado</w:t>
      </w:r>
      <w:proofErr w:type="spellEnd"/>
      <w:r w:rsidR="00A16011">
        <w:t xml:space="preserve">  no comportamento e desempenho produtivo de </w:t>
      </w:r>
      <w:r>
        <w:t xml:space="preserve"> </w:t>
      </w:r>
      <w:r w:rsidR="00A16011">
        <w:t>novilhas de raças nativas durante a Primavera e Verão em clima mediterrânico.</w:t>
      </w:r>
    </w:p>
    <w:p w14:paraId="396BD4EF" w14:textId="77777777" w:rsidR="00A16011" w:rsidRDefault="00A16011"/>
    <w:p w14:paraId="78D4AB97" w14:textId="77777777" w:rsidR="000659E4" w:rsidRDefault="000659E4"/>
    <w:p w14:paraId="11C7A6BC" w14:textId="77777777" w:rsidR="000659E4" w:rsidRDefault="000659E4"/>
    <w:p w14:paraId="33543CE9" w14:textId="77777777" w:rsidR="00FD69E2" w:rsidRDefault="00FD69E2">
      <w:r>
        <w:t>Material e Métodos</w:t>
      </w:r>
    </w:p>
    <w:p w14:paraId="41B17C7A" w14:textId="7865BBB6" w:rsidR="00116875" w:rsidRDefault="00A16011">
      <w:r>
        <w:t>O trabalho foi realizado entre Abril e Agosto, durante 150 dias. Foram formados dois lotes homogéneos de novilhas com cerca de 8 meses de idade, distribuídas em dois tratamentos: sem sal mineral (NS) e com sal mineral (WS).</w:t>
      </w:r>
      <w:r w:rsidR="00116875">
        <w:t xml:space="preserve"> Os animais foram colocados em duas cercas contíguas com cerca de 4 </w:t>
      </w:r>
      <w:proofErr w:type="spellStart"/>
      <w:r w:rsidR="00116875">
        <w:t>ha</w:t>
      </w:r>
      <w:proofErr w:type="spellEnd"/>
      <w:r w:rsidR="00116875">
        <w:t xml:space="preserve"> cada.</w:t>
      </w:r>
      <w:r>
        <w:t xml:space="preserve"> O ensaio foi dividido em dois períodos: P1 (de Abril a </w:t>
      </w:r>
      <w:r w:rsidR="00116875">
        <w:t xml:space="preserve">15 de </w:t>
      </w:r>
      <w:r>
        <w:t>Junho)</w:t>
      </w:r>
      <w:r w:rsidR="00BB3BA7">
        <w:t xml:space="preserve"> e P2 (</w:t>
      </w:r>
      <w:r w:rsidR="00116875">
        <w:t>de 16 de Junho a final de Agosto). Em P1 os animais ingeriram apenas pastagem</w:t>
      </w:r>
      <w:r w:rsidR="00BB3BA7">
        <w:t xml:space="preserve"> natural</w:t>
      </w:r>
      <w:r w:rsidR="00116875">
        <w:t>, enquanto que em P2 os animais foram suplementados com feno de fraca qualidade.</w:t>
      </w:r>
    </w:p>
    <w:p w14:paraId="5101393F" w14:textId="4D0E2847" w:rsidR="007F38A7" w:rsidRDefault="00116875">
      <w:r>
        <w:t>As observações do comportamento foram realizadas através de metodologia focal a cada 5 minutos, desde as</w:t>
      </w:r>
      <w:r w:rsidR="007F38A7">
        <w:t xml:space="preserve"> 7:00 às 20:00. Foram observadas as actividades: pastoreio, ruminação e ócio;  e os </w:t>
      </w:r>
      <w:r>
        <w:t xml:space="preserve"> </w:t>
      </w:r>
      <w:r w:rsidR="007F38A7">
        <w:t>eventos: ingestão de água e ingestão de sal mineral (no tratamento WS). O animais foram pesados mensalmente às 7:30h. Os resultados foram analisados</w:t>
      </w:r>
      <w:r w:rsidR="006377E9">
        <w:t xml:space="preserve"> pelo software SPSS,</w:t>
      </w:r>
      <w:r w:rsidR="007F38A7">
        <w:t xml:space="preserve"> através de análise GLM ANOVA com dois factores, de acordo com o modelo:</w:t>
      </w:r>
    </w:p>
    <w:p w14:paraId="36FE196D" w14:textId="77777777" w:rsidR="00FD69E2" w:rsidRDefault="00071C43">
      <m:oMath>
        <m:sSub>
          <m:sSubPr>
            <m:ctrlPr>
              <w:rPr>
                <w:rFonts w:ascii="Cambria Math" w:hAnsi="Cambria Math"/>
              </w:rPr>
            </m:ctrlPr>
          </m:sSubPr>
          <m:e>
            <m:r>
              <w:rPr>
                <w:rFonts w:ascii="Cambria Math" w:hAnsi="Cambria Math"/>
              </w:rPr>
              <m:t>Y</m:t>
            </m:r>
          </m:e>
          <m:sub>
            <m:r>
              <w:rPr>
                <w:rFonts w:ascii="Cambria Math" w:hAnsi="Cambria Math"/>
              </w:rPr>
              <m:t>ijk</m:t>
            </m:r>
          </m:sub>
        </m:sSub>
        <m:r>
          <w:rPr>
            <w:rFonts w:ascii="Cambria Math" w:hAnsi="Cambria Math"/>
          </w:rPr>
          <m:t>=μ+</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T.P</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ijk</m:t>
            </m:r>
          </m:sub>
        </m:sSub>
      </m:oMath>
      <w:r w:rsidR="007F38A7">
        <w:t xml:space="preserve"> . </w:t>
      </w:r>
      <w:r w:rsidR="0025401D">
        <w:t>em que T é o tratamento (NS e WS) e P é o período (P1 e P2).</w:t>
      </w:r>
    </w:p>
    <w:p w14:paraId="4D2247E2" w14:textId="77777777" w:rsidR="00FD69E2" w:rsidRDefault="00FD69E2"/>
    <w:p w14:paraId="372C8869" w14:textId="77777777" w:rsidR="00FD69E2" w:rsidRDefault="00FD69E2"/>
    <w:p w14:paraId="4279FFC8" w14:textId="77777777" w:rsidR="00FD69E2" w:rsidRDefault="00FD69E2">
      <w:r>
        <w:t>Resultados e Discussão</w:t>
      </w:r>
    </w:p>
    <w:p w14:paraId="5D567B1D" w14:textId="77777777" w:rsidR="00FD69E2" w:rsidRDefault="00FD69E2"/>
    <w:p w14:paraId="3662B414" w14:textId="0EAFB217" w:rsidR="0011458B" w:rsidRDefault="0011458B">
      <w:r>
        <w:t>O tempo dependido na ingestão não apresentou diferenças entre os tratamentos (P&gt;0,05).</w:t>
      </w:r>
      <w:r w:rsidR="00E20778">
        <w:t xml:space="preserve"> </w:t>
      </w:r>
      <w:r>
        <w:t>No entanto, verificou-se uma diminuição significativa no tempo de ingestão durante o período estival</w:t>
      </w:r>
      <w:r w:rsidR="00BB3BA7">
        <w:t xml:space="preserve"> Fig.1)</w:t>
      </w:r>
      <w:r>
        <w:t>. Em condições de stress térmico, é frequente a diminuição do tempo de ingestão devido à maior tempo em repouso d</w:t>
      </w:r>
      <w:r w:rsidR="00BF6900">
        <w:t>urante o período de maior temperatura</w:t>
      </w:r>
      <w:r w:rsidR="00E20778">
        <w:t>, que é parcialmente compensado por aumento no pastoreio nocturno</w:t>
      </w:r>
      <w:r w:rsidR="00BF6900">
        <w:t xml:space="preserve">. Contudo, neste estudo a tempo de ruminação foi aquele que aumentou durante o P2, não se verificando diferenças significativas na duração do </w:t>
      </w:r>
      <w:r w:rsidR="00BF6900">
        <w:lastRenderedPageBreak/>
        <w:t>período de repouso</w:t>
      </w:r>
      <w:r w:rsidR="00BB3BA7">
        <w:t xml:space="preserve"> (Fig. 2, 3)</w:t>
      </w:r>
      <w:r w:rsidR="00BF6900">
        <w:t xml:space="preserve">. Esta ocorrência pode ter ocorrido devido ao menor valor nutritivo do alimento que determina períodos mais prolongados de ruminação. No tratamento WS verificou um aumento proporcionalmente superior no período de ruminação relativamente ao tempo de ingestão. </w:t>
      </w:r>
    </w:p>
    <w:p w14:paraId="42A1BD4D" w14:textId="0C58EDA6" w:rsidR="00EB0CCD" w:rsidRDefault="00EB0CCD">
      <w:r>
        <w:t xml:space="preserve">No P2, verificou-se em ambos os tratamentos um aumento significativo na frequência de </w:t>
      </w:r>
      <w:proofErr w:type="spellStart"/>
      <w:r>
        <w:t>abeberamento</w:t>
      </w:r>
      <w:proofErr w:type="spellEnd"/>
      <w:r>
        <w:t>, com valores significativamente superiores no tratamento WS</w:t>
      </w:r>
      <w:r w:rsidR="00BB3BA7">
        <w:t xml:space="preserve"> (fig. 4)</w:t>
      </w:r>
      <w:r>
        <w:t>. O aumento da perda de água devido</w:t>
      </w:r>
      <w:r w:rsidR="007A0B85">
        <w:t xml:space="preserve"> ao menor teor em água do alimento e </w:t>
      </w:r>
      <w:r>
        <w:t xml:space="preserve"> à </w:t>
      </w:r>
      <w:proofErr w:type="spellStart"/>
      <w:r>
        <w:t>termólise</w:t>
      </w:r>
      <w:proofErr w:type="spellEnd"/>
      <w:r>
        <w:t xml:space="preserve"> evaporativa, desencadeia normalmente respostas adaptativas que se manifestam por aumentos no consumo de água. A maior frequê</w:t>
      </w:r>
      <w:r w:rsidR="00E20778">
        <w:t xml:space="preserve">ncia de </w:t>
      </w:r>
      <w:proofErr w:type="spellStart"/>
      <w:r w:rsidR="00E20778">
        <w:t>abeberamento</w:t>
      </w:r>
      <w:proofErr w:type="spellEnd"/>
      <w:r w:rsidR="00E20778">
        <w:t xml:space="preserve"> em WS foi provavelmente consequência de um significativo aumento de ingestão de sal mineral. Foi observado que em P2 </w:t>
      </w:r>
      <w:r w:rsidR="00BB3BA7">
        <w:t>u</w:t>
      </w:r>
      <w:r w:rsidR="00E20778">
        <w:t>m significativo aumento da frequência de ingestão de sal mineral</w:t>
      </w:r>
      <w:r w:rsidR="00BB3BA7">
        <w:t xml:space="preserve"> (Fig. 5)</w:t>
      </w:r>
      <w:r w:rsidR="00E20778">
        <w:t xml:space="preserve">. Esta maior procura pode dever-se à diminuição do valor nutritivo do alimento e </w:t>
      </w:r>
      <w:r w:rsidR="007A0B85">
        <w:t xml:space="preserve">ao </w:t>
      </w:r>
      <w:r w:rsidR="00E20778">
        <w:t xml:space="preserve">aumento da perda de electrólitos devido ao aumento da sudação. </w:t>
      </w:r>
    </w:p>
    <w:p w14:paraId="45143C2F" w14:textId="7B15F85A" w:rsidR="00BB3BA7" w:rsidRDefault="00BB3BA7">
      <w:r>
        <w:t>As concentrações plasmáticas de tirox</w:t>
      </w:r>
      <w:r w:rsidR="00891481">
        <w:t xml:space="preserve">ina decresceram no P2, em ambos os períodos os valores de T3 foram superiores no tratamento WS. A diminuição das concentrações plasmáticas de T4 nos períodos mais quentes são frequentes e evidenciam o processo de aclimatização nos animais. A manutenção de níveis superiores de T4 no tratamento WS permite supor melhores condições de digestão dos alimentos fibrosos devido à maior disponibilidade de </w:t>
      </w:r>
      <w:proofErr w:type="spellStart"/>
      <w:r w:rsidR="00891481">
        <w:t>substractos</w:t>
      </w:r>
      <w:proofErr w:type="spellEnd"/>
      <w:r w:rsidR="00891481">
        <w:t xml:space="preserve"> azotados. Essa maior disponibilidade de azoto na dieta terá determinado um ganho médio diário superior no tratamento WS no P2. A</w:t>
      </w:r>
      <w:r w:rsidR="004374C2">
        <w:t>pesar</w:t>
      </w:r>
      <w:r w:rsidR="00891481">
        <w:t xml:space="preserve"> dieta </w:t>
      </w:r>
      <w:r w:rsidR="004374C2">
        <w:t>fornecida aos animais apresentar</w:t>
      </w:r>
      <w:r w:rsidR="00891481">
        <w:t xml:space="preserve"> </w:t>
      </w:r>
      <w:r w:rsidR="004374C2">
        <w:t>com baixas níveis em proteína e elevados níveis de fibra, a disponibilização de pequenas quantidades de NNP através da suplementação mineral teve um efeito benéfico na taxa metabólica e no crescimento dos animais.</w:t>
      </w:r>
    </w:p>
    <w:p w14:paraId="73FE3C89" w14:textId="77777777" w:rsidR="0011458B" w:rsidRDefault="0011458B"/>
    <w:p w14:paraId="1FA01934" w14:textId="77777777" w:rsidR="00A83F7A" w:rsidRDefault="00A83F7A" w:rsidP="00A83F7A">
      <w:r>
        <w:t>Conclusões</w:t>
      </w:r>
    </w:p>
    <w:p w14:paraId="5BF3A067" w14:textId="77777777" w:rsidR="00A83F7A" w:rsidRDefault="00A83F7A" w:rsidP="00A83F7A">
      <w:r>
        <w:t xml:space="preserve">O pastoreio é a actividade ocupa mais tempo ao longo o dia, seguido do ócio e da ruminação. A suplementação com o sal mineral não originou alterações na duração das actividades.  As variáveis ambientais, nomeadamente as elevadas temperaturas estivais foram as maiores responsáveis pela alteração dos padrões de comportamento, determinando que a ingestão ocorresse preferencialmente durante os períodos mais frescos.  A procura por sal mineral aumentou significativamente durante o período mais quente. O fornecimento de sal  mineral determinou um aumento significativo das concentrações plasmáticas da tiroxina, as quais terão contribuído para um maior ganho médio de peso.  </w:t>
      </w:r>
    </w:p>
    <w:p w14:paraId="7B65528B" w14:textId="77777777" w:rsidR="0011458B" w:rsidRDefault="0011458B"/>
    <w:p w14:paraId="2D321B7D" w14:textId="77777777" w:rsidR="00E736A5" w:rsidRPr="00E1158F" w:rsidRDefault="00E736A5" w:rsidP="00E736A5">
      <w:pPr>
        <w:rPr>
          <w:sz w:val="22"/>
        </w:rPr>
      </w:pPr>
      <w:proofErr w:type="spellStart"/>
      <w:r w:rsidRPr="00E1158F">
        <w:rPr>
          <w:sz w:val="22"/>
        </w:rPr>
        <w:t>Table</w:t>
      </w:r>
      <w:proofErr w:type="spellEnd"/>
      <w:r w:rsidRPr="00E1158F">
        <w:rPr>
          <w:sz w:val="22"/>
        </w:rPr>
        <w:t xml:space="preserve"> 1 –  </w:t>
      </w:r>
      <w:proofErr w:type="spellStart"/>
      <w:r w:rsidRPr="00E1158F">
        <w:rPr>
          <w:sz w:val="22"/>
        </w:rPr>
        <w:t>Average</w:t>
      </w:r>
      <w:proofErr w:type="spellEnd"/>
      <w:r w:rsidRPr="00E1158F">
        <w:rPr>
          <w:sz w:val="22"/>
        </w:rPr>
        <w:t xml:space="preserve"> </w:t>
      </w:r>
      <w:proofErr w:type="spellStart"/>
      <w:r w:rsidRPr="00E1158F">
        <w:rPr>
          <w:sz w:val="22"/>
        </w:rPr>
        <w:t>of</w:t>
      </w:r>
      <w:proofErr w:type="spellEnd"/>
      <w:r w:rsidRPr="00E1158F">
        <w:rPr>
          <w:sz w:val="22"/>
        </w:rPr>
        <w:t xml:space="preserve"> </w:t>
      </w:r>
      <w:proofErr w:type="spellStart"/>
      <w:r w:rsidRPr="00E1158F">
        <w:rPr>
          <w:sz w:val="22"/>
        </w:rPr>
        <w:t>the</w:t>
      </w:r>
      <w:proofErr w:type="spellEnd"/>
      <w:r w:rsidRPr="00E1158F">
        <w:rPr>
          <w:sz w:val="22"/>
        </w:rPr>
        <w:t xml:space="preserve"> </w:t>
      </w:r>
      <w:proofErr w:type="spellStart"/>
      <w:r w:rsidRPr="00E1158F">
        <w:rPr>
          <w:sz w:val="22"/>
        </w:rPr>
        <w:t>chemical</w:t>
      </w:r>
      <w:proofErr w:type="spellEnd"/>
      <w:r w:rsidRPr="00E1158F">
        <w:rPr>
          <w:sz w:val="22"/>
        </w:rPr>
        <w:t xml:space="preserve"> </w:t>
      </w:r>
      <w:proofErr w:type="spellStart"/>
      <w:r w:rsidRPr="00E1158F">
        <w:rPr>
          <w:sz w:val="22"/>
        </w:rPr>
        <w:t>composition</w:t>
      </w:r>
      <w:proofErr w:type="spellEnd"/>
      <w:r w:rsidRPr="00E1158F">
        <w:rPr>
          <w:sz w:val="22"/>
        </w:rPr>
        <w:t xml:space="preserve"> </w:t>
      </w:r>
      <w:proofErr w:type="spellStart"/>
      <w:r w:rsidRPr="00E1158F">
        <w:rPr>
          <w:sz w:val="22"/>
        </w:rPr>
        <w:t>of</w:t>
      </w:r>
      <w:proofErr w:type="spellEnd"/>
      <w:r w:rsidRPr="00E1158F">
        <w:rPr>
          <w:sz w:val="22"/>
        </w:rPr>
        <w:t xml:space="preserve"> </w:t>
      </w:r>
      <w:proofErr w:type="spellStart"/>
      <w:r w:rsidRPr="00E1158F">
        <w:rPr>
          <w:sz w:val="22"/>
        </w:rPr>
        <w:t>the</w:t>
      </w:r>
      <w:proofErr w:type="spellEnd"/>
      <w:r w:rsidRPr="00E1158F">
        <w:rPr>
          <w:sz w:val="22"/>
        </w:rPr>
        <w:t xml:space="preserve"> </w:t>
      </w:r>
      <w:proofErr w:type="spellStart"/>
      <w:r w:rsidRPr="00E1158F">
        <w:rPr>
          <w:sz w:val="22"/>
        </w:rPr>
        <w:t>pasture</w:t>
      </w:r>
      <w:proofErr w:type="spellEnd"/>
      <w:r w:rsidRPr="00E1158F">
        <w:rPr>
          <w:sz w:val="22"/>
        </w:rPr>
        <w:t xml:space="preserve"> </w:t>
      </w:r>
      <w:proofErr w:type="spellStart"/>
      <w:r w:rsidRPr="00E1158F">
        <w:rPr>
          <w:sz w:val="22"/>
        </w:rPr>
        <w:t>and</w:t>
      </w:r>
      <w:proofErr w:type="spellEnd"/>
      <w:r w:rsidRPr="00E1158F">
        <w:rPr>
          <w:sz w:val="22"/>
        </w:rPr>
        <w:t xml:space="preserve"> </w:t>
      </w:r>
      <w:proofErr w:type="spellStart"/>
      <w:r w:rsidRPr="00E1158F">
        <w:rPr>
          <w:sz w:val="22"/>
        </w:rPr>
        <w:t>supplementation</w:t>
      </w:r>
      <w:proofErr w:type="spellEnd"/>
      <w:r w:rsidRPr="00E1158F">
        <w:rPr>
          <w:sz w:val="22"/>
        </w:rPr>
        <w:t xml:space="preserve"> </w:t>
      </w:r>
      <w:proofErr w:type="spellStart"/>
      <w:r w:rsidRPr="00E1158F">
        <w:rPr>
          <w:sz w:val="22"/>
        </w:rPr>
        <w:t>during</w:t>
      </w:r>
      <w:proofErr w:type="spellEnd"/>
      <w:r w:rsidRPr="00E1158F">
        <w:rPr>
          <w:sz w:val="22"/>
        </w:rPr>
        <w:t xml:space="preserve"> </w:t>
      </w:r>
      <w:proofErr w:type="spellStart"/>
      <w:r w:rsidRPr="00E1158F">
        <w:rPr>
          <w:sz w:val="22"/>
        </w:rPr>
        <w:t>the</w:t>
      </w:r>
      <w:proofErr w:type="spellEnd"/>
      <w:r w:rsidRPr="00E1158F">
        <w:rPr>
          <w:sz w:val="22"/>
        </w:rPr>
        <w:t xml:space="preserve"> </w:t>
      </w:r>
      <w:proofErr w:type="spellStart"/>
      <w:r w:rsidRPr="00E1158F">
        <w:rPr>
          <w:sz w:val="22"/>
        </w:rPr>
        <w:t>experiment</w:t>
      </w:r>
      <w:proofErr w:type="spellEnd"/>
    </w:p>
    <w:tbl>
      <w:tblPr>
        <w:tblStyle w:val="TableGrid"/>
        <w:tblW w:w="0" w:type="auto"/>
        <w:tblLook w:val="04A0" w:firstRow="1" w:lastRow="0" w:firstColumn="1" w:lastColumn="0" w:noHBand="0" w:noVBand="1"/>
      </w:tblPr>
      <w:tblGrid>
        <w:gridCol w:w="2532"/>
        <w:gridCol w:w="2533"/>
        <w:gridCol w:w="2533"/>
        <w:gridCol w:w="2533"/>
      </w:tblGrid>
      <w:tr w:rsidR="00E736A5" w:rsidRPr="00E1158F" w14:paraId="1B0C23EE" w14:textId="77777777" w:rsidTr="00D106F4">
        <w:tc>
          <w:tcPr>
            <w:tcW w:w="2532" w:type="dxa"/>
          </w:tcPr>
          <w:p w14:paraId="76555B8E" w14:textId="77777777" w:rsidR="00E736A5" w:rsidRPr="00E1158F" w:rsidRDefault="00E736A5" w:rsidP="00D106F4">
            <w:pPr>
              <w:rPr>
                <w:b/>
                <w:sz w:val="22"/>
              </w:rPr>
            </w:pPr>
          </w:p>
        </w:tc>
        <w:tc>
          <w:tcPr>
            <w:tcW w:w="2533" w:type="dxa"/>
          </w:tcPr>
          <w:p w14:paraId="43A64BEC" w14:textId="77777777" w:rsidR="00E736A5" w:rsidRPr="00E1158F" w:rsidRDefault="00E736A5" w:rsidP="00D106F4">
            <w:pPr>
              <w:jc w:val="center"/>
              <w:rPr>
                <w:b/>
                <w:sz w:val="22"/>
              </w:rPr>
            </w:pPr>
            <w:r w:rsidRPr="00E1158F">
              <w:rPr>
                <w:b/>
                <w:sz w:val="22"/>
              </w:rPr>
              <w:t xml:space="preserve">P1 - </w:t>
            </w:r>
            <w:proofErr w:type="spellStart"/>
            <w:r w:rsidRPr="00E1158F">
              <w:rPr>
                <w:b/>
                <w:sz w:val="22"/>
              </w:rPr>
              <w:t>pasture</w:t>
            </w:r>
            <w:proofErr w:type="spellEnd"/>
          </w:p>
        </w:tc>
        <w:tc>
          <w:tcPr>
            <w:tcW w:w="2533" w:type="dxa"/>
          </w:tcPr>
          <w:p w14:paraId="5DBB87F5" w14:textId="77777777" w:rsidR="00E736A5" w:rsidRPr="00E1158F" w:rsidRDefault="00E736A5" w:rsidP="00D106F4">
            <w:pPr>
              <w:jc w:val="center"/>
              <w:rPr>
                <w:b/>
                <w:sz w:val="22"/>
              </w:rPr>
            </w:pPr>
            <w:r w:rsidRPr="00E1158F">
              <w:rPr>
                <w:b/>
                <w:sz w:val="22"/>
              </w:rPr>
              <w:t xml:space="preserve">P2 - </w:t>
            </w:r>
            <w:proofErr w:type="spellStart"/>
            <w:r w:rsidRPr="00E1158F">
              <w:rPr>
                <w:b/>
                <w:sz w:val="22"/>
              </w:rPr>
              <w:t>pasture</w:t>
            </w:r>
            <w:proofErr w:type="spellEnd"/>
          </w:p>
        </w:tc>
        <w:tc>
          <w:tcPr>
            <w:tcW w:w="2533" w:type="dxa"/>
          </w:tcPr>
          <w:p w14:paraId="7E5B9911" w14:textId="77777777" w:rsidR="00E736A5" w:rsidRPr="00E1158F" w:rsidRDefault="00E736A5" w:rsidP="00D106F4">
            <w:pPr>
              <w:jc w:val="center"/>
              <w:rPr>
                <w:b/>
                <w:sz w:val="22"/>
              </w:rPr>
            </w:pPr>
            <w:proofErr w:type="spellStart"/>
            <w:r w:rsidRPr="00E1158F">
              <w:rPr>
                <w:b/>
                <w:sz w:val="22"/>
              </w:rPr>
              <w:t>Hay</w:t>
            </w:r>
            <w:proofErr w:type="spellEnd"/>
            <w:r w:rsidRPr="00E1158F">
              <w:rPr>
                <w:b/>
                <w:sz w:val="22"/>
              </w:rPr>
              <w:t xml:space="preserve"> (</w:t>
            </w:r>
            <w:proofErr w:type="spellStart"/>
            <w:r>
              <w:rPr>
                <w:b/>
                <w:sz w:val="22"/>
              </w:rPr>
              <w:t>Supplement</w:t>
            </w:r>
            <w:proofErr w:type="spellEnd"/>
            <w:r w:rsidRPr="00E1158F">
              <w:rPr>
                <w:b/>
                <w:sz w:val="22"/>
              </w:rPr>
              <w:t>)</w:t>
            </w:r>
          </w:p>
        </w:tc>
      </w:tr>
      <w:tr w:rsidR="00E736A5" w:rsidRPr="00E1158F" w14:paraId="4540B1DD" w14:textId="77777777" w:rsidTr="00D106F4">
        <w:tc>
          <w:tcPr>
            <w:tcW w:w="2532" w:type="dxa"/>
          </w:tcPr>
          <w:p w14:paraId="3BCB1397" w14:textId="77777777" w:rsidR="00E736A5" w:rsidRPr="00E1158F" w:rsidRDefault="00E736A5" w:rsidP="00D106F4">
            <w:pPr>
              <w:rPr>
                <w:sz w:val="22"/>
              </w:rPr>
            </w:pPr>
            <w:r w:rsidRPr="00E1158F">
              <w:rPr>
                <w:sz w:val="22"/>
              </w:rPr>
              <w:t>DM (%)</w:t>
            </w:r>
          </w:p>
        </w:tc>
        <w:tc>
          <w:tcPr>
            <w:tcW w:w="2533" w:type="dxa"/>
          </w:tcPr>
          <w:p w14:paraId="78BB4F2F" w14:textId="77777777" w:rsidR="00E736A5" w:rsidRPr="00E1158F" w:rsidRDefault="00E736A5" w:rsidP="00D106F4">
            <w:pPr>
              <w:jc w:val="center"/>
              <w:rPr>
                <w:sz w:val="22"/>
              </w:rPr>
            </w:pPr>
            <w:r>
              <w:rPr>
                <w:sz w:val="22"/>
              </w:rPr>
              <w:t>23,2</w:t>
            </w:r>
          </w:p>
        </w:tc>
        <w:tc>
          <w:tcPr>
            <w:tcW w:w="2533" w:type="dxa"/>
          </w:tcPr>
          <w:p w14:paraId="44D9BB48" w14:textId="77777777" w:rsidR="00E736A5" w:rsidRPr="00E1158F" w:rsidRDefault="00E736A5" w:rsidP="00D106F4">
            <w:pPr>
              <w:jc w:val="center"/>
              <w:rPr>
                <w:sz w:val="22"/>
              </w:rPr>
            </w:pPr>
            <w:r>
              <w:rPr>
                <w:sz w:val="22"/>
              </w:rPr>
              <w:t>83,5</w:t>
            </w:r>
          </w:p>
        </w:tc>
        <w:tc>
          <w:tcPr>
            <w:tcW w:w="2533" w:type="dxa"/>
          </w:tcPr>
          <w:p w14:paraId="6FF280B6" w14:textId="77777777" w:rsidR="00E736A5" w:rsidRPr="00E1158F" w:rsidRDefault="00E736A5" w:rsidP="00D106F4">
            <w:pPr>
              <w:jc w:val="center"/>
              <w:rPr>
                <w:sz w:val="22"/>
              </w:rPr>
            </w:pPr>
            <w:r>
              <w:rPr>
                <w:sz w:val="22"/>
              </w:rPr>
              <w:t>94,8</w:t>
            </w:r>
          </w:p>
        </w:tc>
      </w:tr>
      <w:tr w:rsidR="00E736A5" w:rsidRPr="00E1158F" w14:paraId="01E82A97" w14:textId="77777777" w:rsidTr="00D106F4">
        <w:tc>
          <w:tcPr>
            <w:tcW w:w="2532" w:type="dxa"/>
          </w:tcPr>
          <w:p w14:paraId="5DF44CEA" w14:textId="77777777" w:rsidR="00E736A5" w:rsidRPr="00E1158F" w:rsidRDefault="00E736A5" w:rsidP="00D106F4">
            <w:pPr>
              <w:rPr>
                <w:sz w:val="22"/>
              </w:rPr>
            </w:pPr>
            <w:r w:rsidRPr="00E1158F">
              <w:rPr>
                <w:sz w:val="22"/>
              </w:rPr>
              <w:t xml:space="preserve">DM </w:t>
            </w:r>
            <w:proofErr w:type="spellStart"/>
            <w:r w:rsidRPr="00E1158F">
              <w:rPr>
                <w:sz w:val="22"/>
              </w:rPr>
              <w:t>Digestibility</w:t>
            </w:r>
            <w:proofErr w:type="spellEnd"/>
            <w:r w:rsidRPr="00E1158F">
              <w:rPr>
                <w:sz w:val="22"/>
              </w:rPr>
              <w:t xml:space="preserve"> (%)</w:t>
            </w:r>
          </w:p>
        </w:tc>
        <w:tc>
          <w:tcPr>
            <w:tcW w:w="2533" w:type="dxa"/>
          </w:tcPr>
          <w:p w14:paraId="0037A0DA" w14:textId="77777777" w:rsidR="00E736A5" w:rsidRPr="00E1158F" w:rsidRDefault="00E736A5" w:rsidP="00D106F4">
            <w:pPr>
              <w:jc w:val="center"/>
              <w:rPr>
                <w:sz w:val="22"/>
              </w:rPr>
            </w:pPr>
            <w:r>
              <w:rPr>
                <w:sz w:val="22"/>
              </w:rPr>
              <w:t>68,1</w:t>
            </w:r>
          </w:p>
        </w:tc>
        <w:tc>
          <w:tcPr>
            <w:tcW w:w="2533" w:type="dxa"/>
          </w:tcPr>
          <w:p w14:paraId="712277A0" w14:textId="77777777" w:rsidR="00E736A5" w:rsidRPr="00E1158F" w:rsidRDefault="00E736A5" w:rsidP="00D106F4">
            <w:pPr>
              <w:jc w:val="center"/>
              <w:rPr>
                <w:sz w:val="22"/>
              </w:rPr>
            </w:pPr>
            <w:r>
              <w:rPr>
                <w:sz w:val="22"/>
              </w:rPr>
              <w:t>44,4</w:t>
            </w:r>
          </w:p>
        </w:tc>
        <w:tc>
          <w:tcPr>
            <w:tcW w:w="2533" w:type="dxa"/>
          </w:tcPr>
          <w:p w14:paraId="52542A50" w14:textId="77777777" w:rsidR="00E736A5" w:rsidRPr="00E1158F" w:rsidRDefault="00E736A5" w:rsidP="00D106F4">
            <w:pPr>
              <w:jc w:val="center"/>
              <w:rPr>
                <w:sz w:val="22"/>
              </w:rPr>
            </w:pPr>
            <w:r>
              <w:rPr>
                <w:sz w:val="22"/>
              </w:rPr>
              <w:t>42,8</w:t>
            </w:r>
          </w:p>
        </w:tc>
      </w:tr>
      <w:tr w:rsidR="00E736A5" w:rsidRPr="00E1158F" w14:paraId="24403116" w14:textId="77777777" w:rsidTr="00D106F4">
        <w:tc>
          <w:tcPr>
            <w:tcW w:w="2532" w:type="dxa"/>
          </w:tcPr>
          <w:p w14:paraId="42B68912" w14:textId="77777777" w:rsidR="00E736A5" w:rsidRPr="00E1158F" w:rsidRDefault="00E736A5" w:rsidP="00D106F4">
            <w:pPr>
              <w:rPr>
                <w:sz w:val="22"/>
              </w:rPr>
            </w:pPr>
            <w:r w:rsidRPr="00E1158F">
              <w:rPr>
                <w:sz w:val="22"/>
              </w:rPr>
              <w:t>NDF (%DM)</w:t>
            </w:r>
          </w:p>
        </w:tc>
        <w:tc>
          <w:tcPr>
            <w:tcW w:w="2533" w:type="dxa"/>
          </w:tcPr>
          <w:p w14:paraId="6FB54371" w14:textId="77777777" w:rsidR="00E736A5" w:rsidRPr="00E1158F" w:rsidRDefault="00E736A5" w:rsidP="00D106F4">
            <w:pPr>
              <w:jc w:val="center"/>
              <w:rPr>
                <w:sz w:val="22"/>
              </w:rPr>
            </w:pPr>
            <w:r>
              <w:rPr>
                <w:sz w:val="22"/>
              </w:rPr>
              <w:t>25,9</w:t>
            </w:r>
          </w:p>
        </w:tc>
        <w:tc>
          <w:tcPr>
            <w:tcW w:w="2533" w:type="dxa"/>
          </w:tcPr>
          <w:p w14:paraId="17E936F8" w14:textId="77777777" w:rsidR="00E736A5" w:rsidRPr="00E1158F" w:rsidRDefault="00E736A5" w:rsidP="00D106F4">
            <w:pPr>
              <w:jc w:val="center"/>
              <w:rPr>
                <w:sz w:val="22"/>
              </w:rPr>
            </w:pPr>
            <w:r>
              <w:rPr>
                <w:sz w:val="22"/>
              </w:rPr>
              <w:t>32,0</w:t>
            </w:r>
          </w:p>
        </w:tc>
        <w:tc>
          <w:tcPr>
            <w:tcW w:w="2533" w:type="dxa"/>
          </w:tcPr>
          <w:p w14:paraId="68EE97BE" w14:textId="77777777" w:rsidR="00E736A5" w:rsidRPr="00E1158F" w:rsidRDefault="00E736A5" w:rsidP="00D106F4">
            <w:pPr>
              <w:jc w:val="center"/>
              <w:rPr>
                <w:sz w:val="22"/>
              </w:rPr>
            </w:pPr>
            <w:r>
              <w:rPr>
                <w:sz w:val="22"/>
              </w:rPr>
              <w:t>39,2</w:t>
            </w:r>
          </w:p>
        </w:tc>
      </w:tr>
      <w:tr w:rsidR="00E736A5" w:rsidRPr="00E1158F" w14:paraId="00D7F395" w14:textId="77777777" w:rsidTr="00D106F4">
        <w:tc>
          <w:tcPr>
            <w:tcW w:w="2532" w:type="dxa"/>
          </w:tcPr>
          <w:p w14:paraId="4DA7E365" w14:textId="77777777" w:rsidR="00E736A5" w:rsidRPr="00E1158F" w:rsidRDefault="00E736A5" w:rsidP="00D106F4">
            <w:pPr>
              <w:rPr>
                <w:sz w:val="22"/>
              </w:rPr>
            </w:pPr>
            <w:r w:rsidRPr="00E1158F">
              <w:rPr>
                <w:sz w:val="22"/>
              </w:rPr>
              <w:t>ADF (%DM)</w:t>
            </w:r>
          </w:p>
        </w:tc>
        <w:tc>
          <w:tcPr>
            <w:tcW w:w="2533" w:type="dxa"/>
          </w:tcPr>
          <w:p w14:paraId="3CCB81B1" w14:textId="77777777" w:rsidR="00E736A5" w:rsidRPr="00E1158F" w:rsidRDefault="00E736A5" w:rsidP="00D106F4">
            <w:pPr>
              <w:jc w:val="center"/>
              <w:rPr>
                <w:sz w:val="22"/>
              </w:rPr>
            </w:pPr>
            <w:r>
              <w:rPr>
                <w:sz w:val="22"/>
              </w:rPr>
              <w:t>12,9</w:t>
            </w:r>
          </w:p>
        </w:tc>
        <w:tc>
          <w:tcPr>
            <w:tcW w:w="2533" w:type="dxa"/>
          </w:tcPr>
          <w:p w14:paraId="663B41A2" w14:textId="77777777" w:rsidR="00E736A5" w:rsidRPr="00E1158F" w:rsidRDefault="00E736A5" w:rsidP="00D106F4">
            <w:pPr>
              <w:jc w:val="center"/>
              <w:rPr>
                <w:sz w:val="22"/>
              </w:rPr>
            </w:pPr>
            <w:r>
              <w:rPr>
                <w:sz w:val="22"/>
              </w:rPr>
              <w:t>20,3</w:t>
            </w:r>
          </w:p>
        </w:tc>
        <w:tc>
          <w:tcPr>
            <w:tcW w:w="2533" w:type="dxa"/>
          </w:tcPr>
          <w:p w14:paraId="0A51D7FE" w14:textId="77777777" w:rsidR="00E736A5" w:rsidRPr="00E1158F" w:rsidRDefault="00E736A5" w:rsidP="00D106F4">
            <w:pPr>
              <w:jc w:val="center"/>
              <w:rPr>
                <w:sz w:val="22"/>
              </w:rPr>
            </w:pPr>
            <w:r>
              <w:rPr>
                <w:sz w:val="22"/>
              </w:rPr>
              <w:t>23,1</w:t>
            </w:r>
          </w:p>
        </w:tc>
      </w:tr>
      <w:tr w:rsidR="00E736A5" w:rsidRPr="00E1158F" w14:paraId="36F8F1CC" w14:textId="77777777" w:rsidTr="00D106F4">
        <w:tc>
          <w:tcPr>
            <w:tcW w:w="2532" w:type="dxa"/>
          </w:tcPr>
          <w:p w14:paraId="77A85977" w14:textId="77777777" w:rsidR="00E736A5" w:rsidRPr="00E1158F" w:rsidRDefault="00E736A5" w:rsidP="00D106F4">
            <w:pPr>
              <w:rPr>
                <w:sz w:val="22"/>
              </w:rPr>
            </w:pPr>
            <w:r w:rsidRPr="00E1158F">
              <w:rPr>
                <w:sz w:val="22"/>
              </w:rPr>
              <w:t>CP (%DM)</w:t>
            </w:r>
          </w:p>
        </w:tc>
        <w:tc>
          <w:tcPr>
            <w:tcW w:w="2533" w:type="dxa"/>
          </w:tcPr>
          <w:p w14:paraId="107D2F3C" w14:textId="77777777" w:rsidR="00E736A5" w:rsidRPr="00E1158F" w:rsidRDefault="00E736A5" w:rsidP="00D106F4">
            <w:pPr>
              <w:jc w:val="center"/>
              <w:rPr>
                <w:sz w:val="22"/>
              </w:rPr>
            </w:pPr>
            <w:r>
              <w:rPr>
                <w:sz w:val="22"/>
              </w:rPr>
              <w:t>16,6</w:t>
            </w:r>
          </w:p>
        </w:tc>
        <w:tc>
          <w:tcPr>
            <w:tcW w:w="2533" w:type="dxa"/>
          </w:tcPr>
          <w:p w14:paraId="2D89B956" w14:textId="77777777" w:rsidR="00E736A5" w:rsidRPr="00E1158F" w:rsidRDefault="00E736A5" w:rsidP="00D106F4">
            <w:pPr>
              <w:jc w:val="center"/>
              <w:rPr>
                <w:sz w:val="22"/>
              </w:rPr>
            </w:pPr>
            <w:r>
              <w:rPr>
                <w:sz w:val="22"/>
              </w:rPr>
              <w:t>10,6</w:t>
            </w:r>
          </w:p>
        </w:tc>
        <w:tc>
          <w:tcPr>
            <w:tcW w:w="2533" w:type="dxa"/>
          </w:tcPr>
          <w:p w14:paraId="1797D5FC" w14:textId="77777777" w:rsidR="00E736A5" w:rsidRPr="00E1158F" w:rsidRDefault="00E736A5" w:rsidP="00D106F4">
            <w:pPr>
              <w:jc w:val="center"/>
              <w:rPr>
                <w:sz w:val="22"/>
              </w:rPr>
            </w:pPr>
            <w:r>
              <w:rPr>
                <w:sz w:val="22"/>
              </w:rPr>
              <w:t>4,62</w:t>
            </w:r>
          </w:p>
        </w:tc>
      </w:tr>
      <w:tr w:rsidR="00E736A5" w:rsidRPr="00E1158F" w14:paraId="23DE4261" w14:textId="77777777" w:rsidTr="00D106F4">
        <w:tc>
          <w:tcPr>
            <w:tcW w:w="2532" w:type="dxa"/>
          </w:tcPr>
          <w:p w14:paraId="0761035E" w14:textId="77777777" w:rsidR="00E736A5" w:rsidRPr="00E1158F" w:rsidRDefault="00E736A5" w:rsidP="00D106F4">
            <w:pPr>
              <w:rPr>
                <w:sz w:val="22"/>
              </w:rPr>
            </w:pPr>
            <w:r w:rsidRPr="00E1158F">
              <w:rPr>
                <w:sz w:val="22"/>
              </w:rPr>
              <w:t>P (%DM)</w:t>
            </w:r>
          </w:p>
        </w:tc>
        <w:tc>
          <w:tcPr>
            <w:tcW w:w="2533" w:type="dxa"/>
          </w:tcPr>
          <w:p w14:paraId="2FCAE1F9" w14:textId="77777777" w:rsidR="00E736A5" w:rsidRPr="00E1158F" w:rsidRDefault="00E736A5" w:rsidP="00D106F4">
            <w:pPr>
              <w:jc w:val="center"/>
              <w:rPr>
                <w:sz w:val="22"/>
              </w:rPr>
            </w:pPr>
            <w:r>
              <w:rPr>
                <w:sz w:val="22"/>
              </w:rPr>
              <w:t>0,47</w:t>
            </w:r>
          </w:p>
        </w:tc>
        <w:tc>
          <w:tcPr>
            <w:tcW w:w="2533" w:type="dxa"/>
          </w:tcPr>
          <w:p w14:paraId="154BE979" w14:textId="77777777" w:rsidR="00E736A5" w:rsidRPr="00E1158F" w:rsidRDefault="00E736A5" w:rsidP="00D106F4">
            <w:pPr>
              <w:jc w:val="center"/>
              <w:rPr>
                <w:sz w:val="22"/>
              </w:rPr>
            </w:pPr>
            <w:r>
              <w:rPr>
                <w:sz w:val="22"/>
              </w:rPr>
              <w:t>0,18</w:t>
            </w:r>
          </w:p>
        </w:tc>
        <w:tc>
          <w:tcPr>
            <w:tcW w:w="2533" w:type="dxa"/>
          </w:tcPr>
          <w:p w14:paraId="1C487C89" w14:textId="77777777" w:rsidR="00E736A5" w:rsidRPr="00E1158F" w:rsidRDefault="00E736A5" w:rsidP="00D106F4">
            <w:pPr>
              <w:jc w:val="center"/>
              <w:rPr>
                <w:sz w:val="22"/>
              </w:rPr>
            </w:pPr>
            <w:r>
              <w:rPr>
                <w:sz w:val="22"/>
              </w:rPr>
              <w:t>0,06</w:t>
            </w:r>
          </w:p>
        </w:tc>
      </w:tr>
      <w:tr w:rsidR="00E736A5" w:rsidRPr="00E1158F" w14:paraId="58541148" w14:textId="77777777" w:rsidTr="00D106F4">
        <w:tc>
          <w:tcPr>
            <w:tcW w:w="2532" w:type="dxa"/>
          </w:tcPr>
          <w:p w14:paraId="20A535F8" w14:textId="77777777" w:rsidR="00E736A5" w:rsidRPr="00E1158F" w:rsidRDefault="00E736A5" w:rsidP="00D106F4">
            <w:pPr>
              <w:rPr>
                <w:sz w:val="22"/>
              </w:rPr>
            </w:pPr>
            <w:r w:rsidRPr="00E1158F">
              <w:rPr>
                <w:sz w:val="22"/>
              </w:rPr>
              <w:t>K (%DM)</w:t>
            </w:r>
          </w:p>
        </w:tc>
        <w:tc>
          <w:tcPr>
            <w:tcW w:w="2533" w:type="dxa"/>
          </w:tcPr>
          <w:p w14:paraId="7D141D71" w14:textId="77777777" w:rsidR="00E736A5" w:rsidRPr="00E1158F" w:rsidRDefault="00E736A5" w:rsidP="00D106F4">
            <w:pPr>
              <w:jc w:val="center"/>
              <w:rPr>
                <w:sz w:val="22"/>
              </w:rPr>
            </w:pPr>
            <w:r>
              <w:rPr>
                <w:sz w:val="22"/>
              </w:rPr>
              <w:t>2,50</w:t>
            </w:r>
          </w:p>
        </w:tc>
        <w:tc>
          <w:tcPr>
            <w:tcW w:w="2533" w:type="dxa"/>
          </w:tcPr>
          <w:p w14:paraId="07BA7AA8" w14:textId="77777777" w:rsidR="00E736A5" w:rsidRPr="00E1158F" w:rsidRDefault="00E736A5" w:rsidP="00D106F4">
            <w:pPr>
              <w:jc w:val="center"/>
              <w:rPr>
                <w:sz w:val="22"/>
              </w:rPr>
            </w:pPr>
            <w:r>
              <w:rPr>
                <w:sz w:val="22"/>
              </w:rPr>
              <w:t>1,90</w:t>
            </w:r>
          </w:p>
        </w:tc>
        <w:tc>
          <w:tcPr>
            <w:tcW w:w="2533" w:type="dxa"/>
          </w:tcPr>
          <w:p w14:paraId="18002339" w14:textId="77777777" w:rsidR="00E736A5" w:rsidRPr="00E1158F" w:rsidRDefault="00E736A5" w:rsidP="00D106F4">
            <w:pPr>
              <w:jc w:val="center"/>
              <w:rPr>
                <w:sz w:val="22"/>
              </w:rPr>
            </w:pPr>
            <w:r>
              <w:rPr>
                <w:sz w:val="22"/>
              </w:rPr>
              <w:t>0,50</w:t>
            </w:r>
          </w:p>
        </w:tc>
      </w:tr>
      <w:tr w:rsidR="00E736A5" w:rsidRPr="00E1158F" w14:paraId="6DE2776E" w14:textId="77777777" w:rsidTr="00D106F4">
        <w:tc>
          <w:tcPr>
            <w:tcW w:w="2532" w:type="dxa"/>
          </w:tcPr>
          <w:p w14:paraId="2C27CD40" w14:textId="77777777" w:rsidR="00E736A5" w:rsidRPr="00E1158F" w:rsidRDefault="00E736A5" w:rsidP="00D106F4">
            <w:pPr>
              <w:rPr>
                <w:sz w:val="22"/>
              </w:rPr>
            </w:pPr>
            <w:r w:rsidRPr="00E1158F">
              <w:rPr>
                <w:sz w:val="22"/>
              </w:rPr>
              <w:t>Ca (%DM)</w:t>
            </w:r>
          </w:p>
        </w:tc>
        <w:tc>
          <w:tcPr>
            <w:tcW w:w="2533" w:type="dxa"/>
          </w:tcPr>
          <w:p w14:paraId="0DF9DEC7" w14:textId="77777777" w:rsidR="00E736A5" w:rsidRPr="00E1158F" w:rsidRDefault="00E736A5" w:rsidP="00D106F4">
            <w:pPr>
              <w:jc w:val="center"/>
              <w:rPr>
                <w:sz w:val="22"/>
              </w:rPr>
            </w:pPr>
            <w:r>
              <w:rPr>
                <w:sz w:val="22"/>
              </w:rPr>
              <w:t>1,00</w:t>
            </w:r>
          </w:p>
        </w:tc>
        <w:tc>
          <w:tcPr>
            <w:tcW w:w="2533" w:type="dxa"/>
          </w:tcPr>
          <w:p w14:paraId="45E4398E" w14:textId="77777777" w:rsidR="00E736A5" w:rsidRPr="00E1158F" w:rsidRDefault="00E736A5" w:rsidP="00D106F4">
            <w:pPr>
              <w:jc w:val="center"/>
              <w:rPr>
                <w:sz w:val="22"/>
              </w:rPr>
            </w:pPr>
            <w:r>
              <w:rPr>
                <w:sz w:val="22"/>
              </w:rPr>
              <w:t>1,20</w:t>
            </w:r>
          </w:p>
        </w:tc>
        <w:tc>
          <w:tcPr>
            <w:tcW w:w="2533" w:type="dxa"/>
          </w:tcPr>
          <w:p w14:paraId="5F80DE71" w14:textId="77777777" w:rsidR="00E736A5" w:rsidRPr="00E1158F" w:rsidRDefault="00E736A5" w:rsidP="00D106F4">
            <w:pPr>
              <w:jc w:val="center"/>
              <w:rPr>
                <w:sz w:val="22"/>
              </w:rPr>
            </w:pPr>
            <w:r>
              <w:rPr>
                <w:sz w:val="22"/>
              </w:rPr>
              <w:t>0,22</w:t>
            </w:r>
          </w:p>
        </w:tc>
      </w:tr>
    </w:tbl>
    <w:p w14:paraId="240CA3C2" w14:textId="77777777" w:rsidR="00E736A5" w:rsidRDefault="00E736A5" w:rsidP="00E736A5"/>
    <w:p w14:paraId="61D7673A" w14:textId="77777777" w:rsidR="00A83F7A" w:rsidRDefault="00A83F7A"/>
    <w:p w14:paraId="1F9D3F4F" w14:textId="03A33B76" w:rsidR="0011458B" w:rsidRDefault="0011458B">
      <w:pPr>
        <w:rPr>
          <w:vanish/>
        </w:rPr>
      </w:pPr>
      <w:r>
        <w:rPr>
          <w:vanish/>
        </w:rPr>
        <w:t>à</w:t>
      </w:r>
      <w:r>
        <w:rPr>
          <w:vanish/>
        </w:rPr>
        <w:pgNum/>
      </w:r>
      <w:r>
        <w:rPr>
          <w:vanish/>
        </w:rPr>
        <w:t>﷽﷽﷽﷽﷽﷽﷽﷽ntidade de tempo em repouso durante a fase . No entanto, verificou.se uma mostras de sangue para avaliaç</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t xml:space="preserve"> estival. </w:t>
      </w:r>
    </w:p>
    <w:p w14:paraId="4C2181C6" w14:textId="77777777" w:rsidR="0011458B" w:rsidRDefault="0011458B">
      <w:pPr>
        <w:rPr>
          <w:vanish/>
        </w:rPr>
      </w:pPr>
    </w:p>
    <w:p w14:paraId="3C7C6F48" w14:textId="77777777" w:rsidR="0011458B" w:rsidRDefault="0011458B">
      <w:pPr>
        <w:rPr>
          <w:vanish/>
        </w:rPr>
      </w:pPr>
    </w:p>
    <w:p w14:paraId="0CC5FBA5" w14:textId="77777777" w:rsidR="0011458B" w:rsidRDefault="0011458B">
      <w:pPr>
        <w:rPr>
          <w:vanish/>
        </w:rPr>
      </w:pPr>
    </w:p>
    <w:p w14:paraId="22539E4B" w14:textId="77777777" w:rsidR="0011458B" w:rsidRDefault="0011458B">
      <w:pPr>
        <w:rPr>
          <w:vanish/>
        </w:rPr>
      </w:pPr>
    </w:p>
    <w:p w14:paraId="7CEC634E" w14:textId="77777777" w:rsidR="0011458B" w:rsidRDefault="0011458B">
      <w:pPr>
        <w:rPr>
          <w:vanish/>
        </w:rPr>
      </w:pPr>
    </w:p>
    <w:p w14:paraId="13AAB328" w14:textId="77777777" w:rsidR="0011458B" w:rsidRDefault="0011458B"/>
    <w:p w14:paraId="59BDF11C" w14:textId="09515658" w:rsidR="00FD69E2" w:rsidRDefault="003F699F">
      <w:r>
        <w:rPr>
          <w:noProof/>
          <w:lang w:val="en-US"/>
        </w:rPr>
        <w:drawing>
          <wp:inline distT="0" distB="0" distL="0" distR="0" wp14:anchorId="106A1B01" wp14:editId="7F0FE3A5">
            <wp:extent cx="5486400" cy="32004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CE11476" w14:textId="77777777" w:rsidR="003F699F" w:rsidRDefault="003F699F"/>
    <w:p w14:paraId="01DAB927" w14:textId="2EE95BDC" w:rsidR="003F699F" w:rsidRDefault="00FD2A01">
      <w:r>
        <w:rPr>
          <w:noProof/>
          <w:lang w:val="en-US"/>
        </w:rPr>
        <w:drawing>
          <wp:inline distT="0" distB="0" distL="0" distR="0" wp14:anchorId="4975CC9B" wp14:editId="01218C4C">
            <wp:extent cx="5486400" cy="32004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F56695C" w14:textId="77777777" w:rsidR="00A83F7A" w:rsidRDefault="00A83F7A"/>
    <w:p w14:paraId="0114AB31" w14:textId="77777777" w:rsidR="00A83F7A" w:rsidRDefault="00A83F7A"/>
    <w:p w14:paraId="787256EC" w14:textId="064411BB" w:rsidR="00FD2A01" w:rsidRDefault="00FD2A01">
      <w:r>
        <w:rPr>
          <w:noProof/>
          <w:lang w:val="en-US"/>
        </w:rPr>
        <w:drawing>
          <wp:inline distT="0" distB="0" distL="0" distR="0" wp14:anchorId="7C68F47E" wp14:editId="30ECA277">
            <wp:extent cx="5486400" cy="3200400"/>
            <wp:effectExtent l="0" t="0" r="2540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8D19EB" w14:textId="77777777" w:rsidR="00D849F3" w:rsidRDefault="00D849F3"/>
    <w:p w14:paraId="42D421E9" w14:textId="465165A9" w:rsidR="00D849F3" w:rsidRDefault="00D849F3">
      <w:r>
        <w:rPr>
          <w:noProof/>
          <w:lang w:val="en-US"/>
        </w:rPr>
        <w:drawing>
          <wp:inline distT="0" distB="0" distL="0" distR="0" wp14:anchorId="3BB5CEE0" wp14:editId="34E42F05">
            <wp:extent cx="5486400" cy="3200400"/>
            <wp:effectExtent l="0" t="0" r="2540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27FAFA" w14:textId="77777777" w:rsidR="00D849F3" w:rsidRDefault="00D849F3"/>
    <w:p w14:paraId="429705D5" w14:textId="238CC07D" w:rsidR="00D849F3" w:rsidRDefault="00D849F3">
      <w:r>
        <w:rPr>
          <w:noProof/>
          <w:lang w:val="en-US"/>
        </w:rPr>
        <w:drawing>
          <wp:inline distT="0" distB="0" distL="0" distR="0" wp14:anchorId="69C14C55" wp14:editId="6B4AEFF3">
            <wp:extent cx="5486400" cy="3200400"/>
            <wp:effectExtent l="0" t="0" r="25400"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2D3095" w14:textId="77777777" w:rsidR="00252C76" w:rsidRDefault="00252C76"/>
    <w:p w14:paraId="77AD7295" w14:textId="77777777" w:rsidR="00252C76" w:rsidRDefault="00252C76"/>
    <w:p w14:paraId="01B3234D" w14:textId="02C40D1C" w:rsidR="00F97146" w:rsidRDefault="00252C76">
      <w:r w:rsidRPr="00252C76">
        <w:rPr>
          <w:noProof/>
          <w:lang w:val="en-US"/>
        </w:rPr>
        <w:drawing>
          <wp:inline distT="0" distB="0" distL="0" distR="0" wp14:anchorId="3637AB3D" wp14:editId="4FAF29BB">
            <wp:extent cx="5486400" cy="3200400"/>
            <wp:effectExtent l="0" t="0" r="25400" b="254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C1E857" w14:textId="3A56EFBB" w:rsidR="00F97146" w:rsidRDefault="006377E9">
      <w:r>
        <w:rPr>
          <w:noProof/>
          <w:lang w:val="en-US"/>
        </w:rPr>
        <w:drawing>
          <wp:inline distT="0" distB="0" distL="0" distR="0" wp14:anchorId="3437B851" wp14:editId="5A76D84F">
            <wp:extent cx="5486400" cy="3200400"/>
            <wp:effectExtent l="0" t="0" r="25400" b="254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E87F70" w14:textId="77777777" w:rsidR="004A2B82" w:rsidRDefault="004A2B82"/>
    <w:p w14:paraId="56D0BCF9" w14:textId="77777777" w:rsidR="00FD69E2" w:rsidRDefault="00FD69E2"/>
    <w:p w14:paraId="20EE7ED7" w14:textId="77777777" w:rsidR="00FD69E2" w:rsidRDefault="00FD69E2">
      <w:r>
        <w:t>Bibliografia</w:t>
      </w:r>
    </w:p>
    <w:p w14:paraId="7884C489" w14:textId="77777777" w:rsidR="00FD69E2" w:rsidRDefault="00FD69E2"/>
    <w:sectPr w:rsidR="00FD69E2" w:rsidSect="00145456">
      <w:pgSz w:w="11900" w:h="16840"/>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2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rsids>
    <w:rsidRoot w:val="00FD69E2"/>
    <w:rsid w:val="000659E4"/>
    <w:rsid w:val="00071C43"/>
    <w:rsid w:val="0011458B"/>
    <w:rsid w:val="00116875"/>
    <w:rsid w:val="00145456"/>
    <w:rsid w:val="001E26F7"/>
    <w:rsid w:val="00252C76"/>
    <w:rsid w:val="0025401D"/>
    <w:rsid w:val="003F699F"/>
    <w:rsid w:val="004374C2"/>
    <w:rsid w:val="004A2B82"/>
    <w:rsid w:val="005E6D59"/>
    <w:rsid w:val="006377E9"/>
    <w:rsid w:val="007A0B85"/>
    <w:rsid w:val="007F38A7"/>
    <w:rsid w:val="008862AC"/>
    <w:rsid w:val="00891481"/>
    <w:rsid w:val="00A16011"/>
    <w:rsid w:val="00A23484"/>
    <w:rsid w:val="00A83F7A"/>
    <w:rsid w:val="00BB3BA7"/>
    <w:rsid w:val="00BF6900"/>
    <w:rsid w:val="00D849F3"/>
    <w:rsid w:val="00E1158F"/>
    <w:rsid w:val="00E20778"/>
    <w:rsid w:val="00E736A5"/>
    <w:rsid w:val="00EB0CCD"/>
    <w:rsid w:val="00F97146"/>
    <w:rsid w:val="00FB72C1"/>
    <w:rsid w:val="00FD2A01"/>
    <w:rsid w:val="00FD69E2"/>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E0A2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8A7"/>
    <w:rPr>
      <w:color w:val="808080"/>
    </w:rPr>
  </w:style>
  <w:style w:type="paragraph" w:styleId="BalloonText">
    <w:name w:val="Balloon Text"/>
    <w:basedOn w:val="Normal"/>
    <w:link w:val="BalloonTextChar"/>
    <w:uiPriority w:val="99"/>
    <w:semiHidden/>
    <w:unhideWhenUsed/>
    <w:rsid w:val="007F38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38A7"/>
    <w:rPr>
      <w:rFonts w:ascii="Lucida Grande" w:hAnsi="Lucida Grande" w:cs="Lucida Grande"/>
      <w:sz w:val="18"/>
      <w:szCs w:val="18"/>
    </w:rPr>
  </w:style>
  <w:style w:type="table" w:styleId="TableGrid">
    <w:name w:val="Table Grid"/>
    <w:basedOn w:val="TableNormal"/>
    <w:uiPriority w:val="59"/>
    <w:rsid w:val="00A8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8A7"/>
    <w:rPr>
      <w:color w:val="808080"/>
    </w:rPr>
  </w:style>
  <w:style w:type="paragraph" w:styleId="BalloonText">
    <w:name w:val="Balloon Text"/>
    <w:basedOn w:val="Normal"/>
    <w:link w:val="BalloonTextChar"/>
    <w:uiPriority w:val="99"/>
    <w:semiHidden/>
    <w:unhideWhenUsed/>
    <w:rsid w:val="007F38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38A7"/>
    <w:rPr>
      <w:rFonts w:ascii="Lucida Grande" w:hAnsi="Lucida Grande" w:cs="Lucida Grande"/>
      <w:sz w:val="18"/>
      <w:szCs w:val="18"/>
    </w:rPr>
  </w:style>
  <w:style w:type="table" w:styleId="TableGrid">
    <w:name w:val="Table Grid"/>
    <w:basedOn w:val="TableNormal"/>
    <w:uiPriority w:val="59"/>
    <w:rsid w:val="00A8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6.xml"/><Relationship Id="rId12" Type="http://schemas.openxmlformats.org/officeDocument/2006/relationships/chart" Target="charts/chart7.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chart" Target="charts/chart4.xml"/><Relationship Id="rId10"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 1 - Ingestion time</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NS</c:v>
                </c:pt>
              </c:strCache>
            </c:strRef>
          </c:tx>
          <c:invertIfNegative val="0"/>
          <c:cat>
            <c:strRef>
              <c:f>Sheet1!$A$2:$A$3</c:f>
              <c:strCache>
                <c:ptCount val="2"/>
                <c:pt idx="0">
                  <c:v>P1</c:v>
                </c:pt>
                <c:pt idx="1">
                  <c:v>P2</c:v>
                </c:pt>
              </c:strCache>
            </c:strRef>
          </c:cat>
          <c:val>
            <c:numRef>
              <c:f>Sheet1!$B$2:$B$3</c:f>
              <c:numCache>
                <c:formatCode>General</c:formatCode>
                <c:ptCount val="2"/>
                <c:pt idx="0">
                  <c:v>517.0</c:v>
                </c:pt>
                <c:pt idx="1">
                  <c:v>248.0</c:v>
                </c:pt>
              </c:numCache>
            </c:numRef>
          </c:val>
        </c:ser>
        <c:ser>
          <c:idx val="1"/>
          <c:order val="1"/>
          <c:tx>
            <c:strRef>
              <c:f>Sheet1!$C$1</c:f>
              <c:strCache>
                <c:ptCount val="1"/>
                <c:pt idx="0">
                  <c:v>WS</c:v>
                </c:pt>
              </c:strCache>
            </c:strRef>
          </c:tx>
          <c:invertIfNegative val="0"/>
          <c:cat>
            <c:strRef>
              <c:f>Sheet1!$A$2:$A$3</c:f>
              <c:strCache>
                <c:ptCount val="2"/>
                <c:pt idx="0">
                  <c:v>P1</c:v>
                </c:pt>
                <c:pt idx="1">
                  <c:v>P2</c:v>
                </c:pt>
              </c:strCache>
            </c:strRef>
          </c:cat>
          <c:val>
            <c:numRef>
              <c:f>Sheet1!$C$2:$C$3</c:f>
              <c:numCache>
                <c:formatCode>General</c:formatCode>
                <c:ptCount val="2"/>
                <c:pt idx="0">
                  <c:v>527.0</c:v>
                </c:pt>
                <c:pt idx="1">
                  <c:v>162.0</c:v>
                </c:pt>
              </c:numCache>
            </c:numRef>
          </c:val>
        </c:ser>
        <c:dLbls>
          <c:showLegendKey val="0"/>
          <c:showVal val="0"/>
          <c:showCatName val="0"/>
          <c:showSerName val="0"/>
          <c:showPercent val="0"/>
          <c:showBubbleSize val="0"/>
        </c:dLbls>
        <c:gapWidth val="150"/>
        <c:shape val="box"/>
        <c:axId val="-2052363256"/>
        <c:axId val="-2099770440"/>
        <c:axId val="0"/>
      </c:bar3DChart>
      <c:catAx>
        <c:axId val="-2052363256"/>
        <c:scaling>
          <c:orientation val="minMax"/>
        </c:scaling>
        <c:delete val="0"/>
        <c:axPos val="b"/>
        <c:majorTickMark val="none"/>
        <c:minorTickMark val="none"/>
        <c:tickLblPos val="nextTo"/>
        <c:crossAx val="-2099770440"/>
        <c:crosses val="autoZero"/>
        <c:auto val="1"/>
        <c:lblAlgn val="ctr"/>
        <c:lblOffset val="100"/>
        <c:noMultiLvlLbl val="0"/>
      </c:catAx>
      <c:valAx>
        <c:axId val="-2099770440"/>
        <c:scaling>
          <c:orientation val="minMax"/>
        </c:scaling>
        <c:delete val="0"/>
        <c:axPos val="l"/>
        <c:majorGridlines/>
        <c:title>
          <c:tx>
            <c:rich>
              <a:bodyPr/>
              <a:lstStyle/>
              <a:p>
                <a:pPr>
                  <a:defRPr/>
                </a:pPr>
                <a:r>
                  <a:rPr lang="en-US"/>
                  <a:t>Minutes</a:t>
                </a:r>
              </a:p>
            </c:rich>
          </c:tx>
          <c:layout/>
          <c:overlay val="0"/>
        </c:title>
        <c:numFmt formatCode="General" sourceLinked="1"/>
        <c:majorTickMark val="none"/>
        <c:minorTickMark val="none"/>
        <c:tickLblPos val="nextTo"/>
        <c:crossAx val="-20523632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 2 - Rumination Time</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NS</c:v>
                </c:pt>
              </c:strCache>
            </c:strRef>
          </c:tx>
          <c:invertIfNegative val="0"/>
          <c:cat>
            <c:strRef>
              <c:f>Sheet1!$A$2:$A$3</c:f>
              <c:strCache>
                <c:ptCount val="2"/>
                <c:pt idx="0">
                  <c:v>P1</c:v>
                </c:pt>
                <c:pt idx="1">
                  <c:v>P2</c:v>
                </c:pt>
              </c:strCache>
            </c:strRef>
          </c:cat>
          <c:val>
            <c:numRef>
              <c:f>Sheet1!$B$2:$B$3</c:f>
              <c:numCache>
                <c:formatCode>General</c:formatCode>
                <c:ptCount val="2"/>
                <c:pt idx="0">
                  <c:v>65.0</c:v>
                </c:pt>
                <c:pt idx="1">
                  <c:v>93.0</c:v>
                </c:pt>
              </c:numCache>
            </c:numRef>
          </c:val>
        </c:ser>
        <c:ser>
          <c:idx val="1"/>
          <c:order val="1"/>
          <c:tx>
            <c:strRef>
              <c:f>Sheet1!$C$1</c:f>
              <c:strCache>
                <c:ptCount val="1"/>
                <c:pt idx="0">
                  <c:v>WS</c:v>
                </c:pt>
              </c:strCache>
            </c:strRef>
          </c:tx>
          <c:invertIfNegative val="0"/>
          <c:cat>
            <c:strRef>
              <c:f>Sheet1!$A$2:$A$3</c:f>
              <c:strCache>
                <c:ptCount val="2"/>
                <c:pt idx="0">
                  <c:v>P1</c:v>
                </c:pt>
                <c:pt idx="1">
                  <c:v>P2</c:v>
                </c:pt>
              </c:strCache>
            </c:strRef>
          </c:cat>
          <c:val>
            <c:numRef>
              <c:f>Sheet1!$C$2:$C$3</c:f>
              <c:numCache>
                <c:formatCode>General</c:formatCode>
                <c:ptCount val="2"/>
                <c:pt idx="0">
                  <c:v>79.0</c:v>
                </c:pt>
                <c:pt idx="1">
                  <c:v>85.0</c:v>
                </c:pt>
              </c:numCache>
            </c:numRef>
          </c:val>
        </c:ser>
        <c:dLbls>
          <c:showLegendKey val="0"/>
          <c:showVal val="0"/>
          <c:showCatName val="0"/>
          <c:showSerName val="0"/>
          <c:showPercent val="0"/>
          <c:showBubbleSize val="0"/>
        </c:dLbls>
        <c:gapWidth val="150"/>
        <c:shape val="box"/>
        <c:axId val="-2047868920"/>
        <c:axId val="-2143618696"/>
        <c:axId val="0"/>
      </c:bar3DChart>
      <c:catAx>
        <c:axId val="-2047868920"/>
        <c:scaling>
          <c:orientation val="minMax"/>
        </c:scaling>
        <c:delete val="0"/>
        <c:axPos val="b"/>
        <c:majorTickMark val="none"/>
        <c:minorTickMark val="none"/>
        <c:tickLblPos val="nextTo"/>
        <c:crossAx val="-2143618696"/>
        <c:crosses val="autoZero"/>
        <c:auto val="1"/>
        <c:lblAlgn val="ctr"/>
        <c:lblOffset val="100"/>
        <c:noMultiLvlLbl val="0"/>
      </c:catAx>
      <c:valAx>
        <c:axId val="-2143618696"/>
        <c:scaling>
          <c:orientation val="minMax"/>
        </c:scaling>
        <c:delete val="0"/>
        <c:axPos val="l"/>
        <c:majorGridlines/>
        <c:title>
          <c:tx>
            <c:rich>
              <a:bodyPr/>
              <a:lstStyle/>
              <a:p>
                <a:pPr>
                  <a:defRPr/>
                </a:pPr>
                <a:r>
                  <a:rPr lang="en-US"/>
                  <a:t>Minutes</a:t>
                </a:r>
              </a:p>
            </c:rich>
          </c:tx>
          <c:layout/>
          <c:overlay val="0"/>
        </c:title>
        <c:numFmt formatCode="General" sourceLinked="1"/>
        <c:majorTickMark val="none"/>
        <c:minorTickMark val="none"/>
        <c:tickLblPos val="nextTo"/>
        <c:crossAx val="-204786892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 3 - Resting time</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NS</c:v>
                </c:pt>
              </c:strCache>
            </c:strRef>
          </c:tx>
          <c:invertIfNegative val="0"/>
          <c:cat>
            <c:strRef>
              <c:f>Sheet1!$A$2:$A$3</c:f>
              <c:strCache>
                <c:ptCount val="2"/>
                <c:pt idx="0">
                  <c:v>P1</c:v>
                </c:pt>
                <c:pt idx="1">
                  <c:v>P2</c:v>
                </c:pt>
              </c:strCache>
            </c:strRef>
          </c:cat>
          <c:val>
            <c:numRef>
              <c:f>Sheet1!$B$2:$B$3</c:f>
              <c:numCache>
                <c:formatCode>General</c:formatCode>
                <c:ptCount val="2"/>
                <c:pt idx="0">
                  <c:v>193.0</c:v>
                </c:pt>
                <c:pt idx="1">
                  <c:v>158.0</c:v>
                </c:pt>
              </c:numCache>
            </c:numRef>
          </c:val>
        </c:ser>
        <c:ser>
          <c:idx val="1"/>
          <c:order val="1"/>
          <c:tx>
            <c:strRef>
              <c:f>Sheet1!$C$1</c:f>
              <c:strCache>
                <c:ptCount val="1"/>
                <c:pt idx="0">
                  <c:v>WS</c:v>
                </c:pt>
              </c:strCache>
            </c:strRef>
          </c:tx>
          <c:invertIfNegative val="0"/>
          <c:cat>
            <c:strRef>
              <c:f>Sheet1!$A$2:$A$3</c:f>
              <c:strCache>
                <c:ptCount val="2"/>
                <c:pt idx="0">
                  <c:v>P1</c:v>
                </c:pt>
                <c:pt idx="1">
                  <c:v>P2</c:v>
                </c:pt>
              </c:strCache>
            </c:strRef>
          </c:cat>
          <c:val>
            <c:numRef>
              <c:f>Sheet1!$C$2:$C$3</c:f>
              <c:numCache>
                <c:formatCode>General</c:formatCode>
                <c:ptCount val="2"/>
                <c:pt idx="0">
                  <c:v>161.0</c:v>
                </c:pt>
                <c:pt idx="1">
                  <c:v>158.0</c:v>
                </c:pt>
              </c:numCache>
            </c:numRef>
          </c:val>
        </c:ser>
        <c:dLbls>
          <c:showLegendKey val="0"/>
          <c:showVal val="0"/>
          <c:showCatName val="0"/>
          <c:showSerName val="0"/>
          <c:showPercent val="0"/>
          <c:showBubbleSize val="0"/>
        </c:dLbls>
        <c:gapWidth val="150"/>
        <c:shape val="box"/>
        <c:axId val="-2031527160"/>
        <c:axId val="-2031387400"/>
        <c:axId val="0"/>
      </c:bar3DChart>
      <c:catAx>
        <c:axId val="-2031527160"/>
        <c:scaling>
          <c:orientation val="minMax"/>
        </c:scaling>
        <c:delete val="0"/>
        <c:axPos val="b"/>
        <c:majorTickMark val="none"/>
        <c:minorTickMark val="none"/>
        <c:tickLblPos val="nextTo"/>
        <c:crossAx val="-2031387400"/>
        <c:crosses val="autoZero"/>
        <c:auto val="1"/>
        <c:lblAlgn val="ctr"/>
        <c:lblOffset val="100"/>
        <c:noMultiLvlLbl val="0"/>
      </c:catAx>
      <c:valAx>
        <c:axId val="-2031387400"/>
        <c:scaling>
          <c:orientation val="minMax"/>
        </c:scaling>
        <c:delete val="0"/>
        <c:axPos val="l"/>
        <c:majorGridlines/>
        <c:title>
          <c:tx>
            <c:rich>
              <a:bodyPr/>
              <a:lstStyle/>
              <a:p>
                <a:pPr>
                  <a:defRPr/>
                </a:pPr>
                <a:r>
                  <a:rPr lang="en-US"/>
                  <a:t>minutes</a:t>
                </a:r>
              </a:p>
            </c:rich>
          </c:tx>
          <c:overlay val="0"/>
        </c:title>
        <c:numFmt formatCode="General" sourceLinked="1"/>
        <c:majorTickMark val="none"/>
        <c:minorTickMark val="none"/>
        <c:tickLblPos val="nextTo"/>
        <c:crossAx val="-20315271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 4 - Watering frequency</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NS</c:v>
                </c:pt>
              </c:strCache>
            </c:strRef>
          </c:tx>
          <c:invertIfNegative val="0"/>
          <c:cat>
            <c:strRef>
              <c:f>Sheet1!$A$2:$A$3</c:f>
              <c:strCache>
                <c:ptCount val="2"/>
                <c:pt idx="0">
                  <c:v>P1</c:v>
                </c:pt>
                <c:pt idx="1">
                  <c:v>P2</c:v>
                </c:pt>
              </c:strCache>
            </c:strRef>
          </c:cat>
          <c:val>
            <c:numRef>
              <c:f>Sheet1!$B$2:$B$3</c:f>
              <c:numCache>
                <c:formatCode>General</c:formatCode>
                <c:ptCount val="2"/>
                <c:pt idx="0">
                  <c:v>1.61</c:v>
                </c:pt>
                <c:pt idx="1">
                  <c:v>2.16</c:v>
                </c:pt>
              </c:numCache>
            </c:numRef>
          </c:val>
        </c:ser>
        <c:ser>
          <c:idx val="1"/>
          <c:order val="1"/>
          <c:tx>
            <c:strRef>
              <c:f>Sheet1!$C$1</c:f>
              <c:strCache>
                <c:ptCount val="1"/>
                <c:pt idx="0">
                  <c:v>WS</c:v>
                </c:pt>
              </c:strCache>
            </c:strRef>
          </c:tx>
          <c:invertIfNegative val="0"/>
          <c:cat>
            <c:strRef>
              <c:f>Sheet1!$A$2:$A$3</c:f>
              <c:strCache>
                <c:ptCount val="2"/>
                <c:pt idx="0">
                  <c:v>P1</c:v>
                </c:pt>
                <c:pt idx="1">
                  <c:v>P2</c:v>
                </c:pt>
              </c:strCache>
            </c:strRef>
          </c:cat>
          <c:val>
            <c:numRef>
              <c:f>Sheet1!$C$2:$C$3</c:f>
              <c:numCache>
                <c:formatCode>General</c:formatCode>
                <c:ptCount val="2"/>
                <c:pt idx="0">
                  <c:v>1.73</c:v>
                </c:pt>
                <c:pt idx="1">
                  <c:v>3.11</c:v>
                </c:pt>
              </c:numCache>
            </c:numRef>
          </c:val>
        </c:ser>
        <c:dLbls>
          <c:showLegendKey val="0"/>
          <c:showVal val="0"/>
          <c:showCatName val="0"/>
          <c:showSerName val="0"/>
          <c:showPercent val="0"/>
          <c:showBubbleSize val="0"/>
        </c:dLbls>
        <c:gapWidth val="150"/>
        <c:shape val="box"/>
        <c:axId val="-2104283224"/>
        <c:axId val="-2031384152"/>
        <c:axId val="0"/>
      </c:bar3DChart>
      <c:catAx>
        <c:axId val="-2104283224"/>
        <c:scaling>
          <c:orientation val="minMax"/>
        </c:scaling>
        <c:delete val="0"/>
        <c:axPos val="b"/>
        <c:majorTickMark val="none"/>
        <c:minorTickMark val="none"/>
        <c:tickLblPos val="nextTo"/>
        <c:crossAx val="-2031384152"/>
        <c:crosses val="autoZero"/>
        <c:auto val="1"/>
        <c:lblAlgn val="ctr"/>
        <c:lblOffset val="100"/>
        <c:noMultiLvlLbl val="0"/>
      </c:catAx>
      <c:valAx>
        <c:axId val="-2031384152"/>
        <c:scaling>
          <c:orientation val="minMax"/>
        </c:scaling>
        <c:delete val="0"/>
        <c:axPos val="l"/>
        <c:majorGridlines/>
        <c:title>
          <c:tx>
            <c:rich>
              <a:bodyPr/>
              <a:lstStyle/>
              <a:p>
                <a:pPr>
                  <a:defRPr/>
                </a:pPr>
                <a:r>
                  <a:rPr lang="en-US"/>
                  <a:t>watering</a:t>
                </a:r>
                <a:r>
                  <a:rPr lang="en-US" baseline="0"/>
                  <a:t>/day</a:t>
                </a:r>
                <a:endParaRPr lang="en-US"/>
              </a:p>
            </c:rich>
          </c:tx>
          <c:overlay val="0"/>
        </c:title>
        <c:numFmt formatCode="General" sourceLinked="1"/>
        <c:majorTickMark val="none"/>
        <c:minorTickMark val="none"/>
        <c:tickLblPos val="nextTo"/>
        <c:crossAx val="-21042832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pPr>
            <a:r>
              <a:rPr lang="en-US" sz="1400"/>
              <a:t>Fig. 5 - Daily frequency of mineral salt intake</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WS</c:v>
                </c:pt>
              </c:strCache>
            </c:strRef>
          </c:tx>
          <c:invertIfNegative val="0"/>
          <c:cat>
            <c:strRef>
              <c:f>Sheet1!$A$2:$A$3</c:f>
              <c:strCache>
                <c:ptCount val="2"/>
                <c:pt idx="0">
                  <c:v>P1</c:v>
                </c:pt>
                <c:pt idx="1">
                  <c:v>P2</c:v>
                </c:pt>
              </c:strCache>
            </c:strRef>
          </c:cat>
          <c:val>
            <c:numRef>
              <c:f>Sheet1!$B$2:$B$3</c:f>
              <c:numCache>
                <c:formatCode>General</c:formatCode>
                <c:ptCount val="2"/>
                <c:pt idx="0">
                  <c:v>2.21</c:v>
                </c:pt>
                <c:pt idx="1">
                  <c:v>4.73</c:v>
                </c:pt>
              </c:numCache>
            </c:numRef>
          </c:val>
        </c:ser>
        <c:dLbls>
          <c:showLegendKey val="0"/>
          <c:showVal val="0"/>
          <c:showCatName val="0"/>
          <c:showSerName val="0"/>
          <c:showPercent val="0"/>
          <c:showBubbleSize val="0"/>
        </c:dLbls>
        <c:gapWidth val="150"/>
        <c:shape val="box"/>
        <c:axId val="-2104384984"/>
        <c:axId val="-2031564584"/>
        <c:axId val="0"/>
      </c:bar3DChart>
      <c:catAx>
        <c:axId val="-2104384984"/>
        <c:scaling>
          <c:orientation val="minMax"/>
        </c:scaling>
        <c:delete val="0"/>
        <c:axPos val="b"/>
        <c:majorTickMark val="none"/>
        <c:minorTickMark val="none"/>
        <c:tickLblPos val="nextTo"/>
        <c:crossAx val="-2031564584"/>
        <c:crosses val="autoZero"/>
        <c:auto val="1"/>
        <c:lblAlgn val="ctr"/>
        <c:lblOffset val="100"/>
        <c:noMultiLvlLbl val="0"/>
      </c:catAx>
      <c:valAx>
        <c:axId val="-2031564584"/>
        <c:scaling>
          <c:orientation val="minMax"/>
        </c:scaling>
        <c:delete val="0"/>
        <c:axPos val="l"/>
        <c:majorGridlines/>
        <c:title>
          <c:tx>
            <c:rich>
              <a:bodyPr/>
              <a:lstStyle/>
              <a:p>
                <a:pPr>
                  <a:defRPr/>
                </a:pPr>
                <a:r>
                  <a:rPr lang="en-US"/>
                  <a:t>Mineral intake/day </a:t>
                </a:r>
              </a:p>
            </c:rich>
          </c:tx>
          <c:overlay val="0"/>
        </c:title>
        <c:numFmt formatCode="General" sourceLinked="1"/>
        <c:majorTickMark val="none"/>
        <c:minorTickMark val="none"/>
        <c:tickLblPos val="nextTo"/>
        <c:crossAx val="-21043849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Fig. 6 - Thyroxine</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NS</c:v>
                </c:pt>
              </c:strCache>
            </c:strRef>
          </c:tx>
          <c:invertIfNegative val="0"/>
          <c:cat>
            <c:strRef>
              <c:f>Sheet1!$A$2:$A$3</c:f>
              <c:strCache>
                <c:ptCount val="2"/>
                <c:pt idx="0">
                  <c:v>P1</c:v>
                </c:pt>
                <c:pt idx="1">
                  <c:v>P2</c:v>
                </c:pt>
              </c:strCache>
            </c:strRef>
          </c:cat>
          <c:val>
            <c:numRef>
              <c:f>Sheet1!$B$2:$B$3</c:f>
              <c:numCache>
                <c:formatCode>General</c:formatCode>
                <c:ptCount val="2"/>
                <c:pt idx="0">
                  <c:v>5.7</c:v>
                </c:pt>
                <c:pt idx="1">
                  <c:v>4.4</c:v>
                </c:pt>
              </c:numCache>
            </c:numRef>
          </c:val>
        </c:ser>
        <c:ser>
          <c:idx val="1"/>
          <c:order val="1"/>
          <c:tx>
            <c:strRef>
              <c:f>Sheet1!$C$1</c:f>
              <c:strCache>
                <c:ptCount val="1"/>
                <c:pt idx="0">
                  <c:v>WS</c:v>
                </c:pt>
              </c:strCache>
            </c:strRef>
          </c:tx>
          <c:invertIfNegative val="0"/>
          <c:cat>
            <c:strRef>
              <c:f>Sheet1!$A$2:$A$3</c:f>
              <c:strCache>
                <c:ptCount val="2"/>
                <c:pt idx="0">
                  <c:v>P1</c:v>
                </c:pt>
                <c:pt idx="1">
                  <c:v>P2</c:v>
                </c:pt>
              </c:strCache>
            </c:strRef>
          </c:cat>
          <c:val>
            <c:numRef>
              <c:f>Sheet1!$C$2:$C$3</c:f>
              <c:numCache>
                <c:formatCode>General</c:formatCode>
                <c:ptCount val="2"/>
                <c:pt idx="0">
                  <c:v>9.5</c:v>
                </c:pt>
                <c:pt idx="1">
                  <c:v>5.9</c:v>
                </c:pt>
              </c:numCache>
            </c:numRef>
          </c:val>
        </c:ser>
        <c:dLbls>
          <c:showLegendKey val="0"/>
          <c:showVal val="0"/>
          <c:showCatName val="0"/>
          <c:showSerName val="0"/>
          <c:showPercent val="0"/>
          <c:showBubbleSize val="0"/>
        </c:dLbls>
        <c:gapWidth val="150"/>
        <c:shape val="box"/>
        <c:axId val="-2052095832"/>
        <c:axId val="-2048601032"/>
        <c:axId val="0"/>
      </c:bar3DChart>
      <c:catAx>
        <c:axId val="-2052095832"/>
        <c:scaling>
          <c:orientation val="minMax"/>
        </c:scaling>
        <c:delete val="0"/>
        <c:axPos val="b"/>
        <c:majorTickMark val="none"/>
        <c:minorTickMark val="none"/>
        <c:tickLblPos val="nextTo"/>
        <c:crossAx val="-2048601032"/>
        <c:crosses val="autoZero"/>
        <c:auto val="1"/>
        <c:lblAlgn val="ctr"/>
        <c:lblOffset val="100"/>
        <c:noMultiLvlLbl val="0"/>
      </c:catAx>
      <c:valAx>
        <c:axId val="-2048601032"/>
        <c:scaling>
          <c:orientation val="minMax"/>
        </c:scaling>
        <c:delete val="0"/>
        <c:axPos val="l"/>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a:effectLst/>
                  </a:rPr>
                  <a:t>μ</a:t>
                </a:r>
                <a:r>
                  <a:rPr lang="en-US"/>
                  <a:t>g/dl</a:t>
                </a:r>
              </a:p>
            </c:rich>
          </c:tx>
          <c:overlay val="0"/>
        </c:title>
        <c:numFmt formatCode="General" sourceLinked="1"/>
        <c:majorTickMark val="none"/>
        <c:minorTickMark val="none"/>
        <c:tickLblPos val="nextTo"/>
        <c:crossAx val="-20520958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600"/>
            </a:pPr>
            <a:r>
              <a:rPr lang="en-US" sz="1600"/>
              <a:t>Fig. 7 - Average</a:t>
            </a:r>
            <a:r>
              <a:rPr lang="en-US" sz="1600" baseline="0"/>
              <a:t> daily gain</a:t>
            </a:r>
            <a:endParaRPr lang="en-US" sz="16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NS</c:v>
                </c:pt>
              </c:strCache>
            </c:strRef>
          </c:tx>
          <c:invertIfNegative val="0"/>
          <c:cat>
            <c:strRef>
              <c:f>Sheet1!$A$2:$A$3</c:f>
              <c:strCache>
                <c:ptCount val="2"/>
                <c:pt idx="0">
                  <c:v>P1</c:v>
                </c:pt>
                <c:pt idx="1">
                  <c:v>P2</c:v>
                </c:pt>
              </c:strCache>
            </c:strRef>
          </c:cat>
          <c:val>
            <c:numRef>
              <c:f>Sheet1!$B$2:$B$3</c:f>
              <c:numCache>
                <c:formatCode>General</c:formatCode>
                <c:ptCount val="2"/>
                <c:pt idx="0">
                  <c:v>0.73</c:v>
                </c:pt>
                <c:pt idx="1">
                  <c:v>0.43</c:v>
                </c:pt>
              </c:numCache>
            </c:numRef>
          </c:val>
        </c:ser>
        <c:ser>
          <c:idx val="1"/>
          <c:order val="1"/>
          <c:tx>
            <c:strRef>
              <c:f>Sheet1!$C$1</c:f>
              <c:strCache>
                <c:ptCount val="1"/>
                <c:pt idx="0">
                  <c:v>WS</c:v>
                </c:pt>
              </c:strCache>
            </c:strRef>
          </c:tx>
          <c:invertIfNegative val="0"/>
          <c:cat>
            <c:strRef>
              <c:f>Sheet1!$A$2:$A$3</c:f>
              <c:strCache>
                <c:ptCount val="2"/>
                <c:pt idx="0">
                  <c:v>P1</c:v>
                </c:pt>
                <c:pt idx="1">
                  <c:v>P2</c:v>
                </c:pt>
              </c:strCache>
            </c:strRef>
          </c:cat>
          <c:val>
            <c:numRef>
              <c:f>Sheet1!$C$2:$C$3</c:f>
              <c:numCache>
                <c:formatCode>General</c:formatCode>
                <c:ptCount val="2"/>
                <c:pt idx="0">
                  <c:v>0.76</c:v>
                </c:pt>
                <c:pt idx="1">
                  <c:v>0.51</c:v>
                </c:pt>
              </c:numCache>
            </c:numRef>
          </c:val>
        </c:ser>
        <c:dLbls>
          <c:showLegendKey val="0"/>
          <c:showVal val="0"/>
          <c:showCatName val="0"/>
          <c:showSerName val="0"/>
          <c:showPercent val="0"/>
          <c:showBubbleSize val="0"/>
        </c:dLbls>
        <c:gapWidth val="150"/>
        <c:shape val="box"/>
        <c:axId val="-2100297720"/>
        <c:axId val="-2055135576"/>
        <c:axId val="0"/>
      </c:bar3DChart>
      <c:catAx>
        <c:axId val="-2100297720"/>
        <c:scaling>
          <c:orientation val="minMax"/>
        </c:scaling>
        <c:delete val="0"/>
        <c:axPos val="b"/>
        <c:majorTickMark val="none"/>
        <c:minorTickMark val="none"/>
        <c:tickLblPos val="nextTo"/>
        <c:crossAx val="-2055135576"/>
        <c:crosses val="autoZero"/>
        <c:auto val="1"/>
        <c:lblAlgn val="ctr"/>
        <c:lblOffset val="100"/>
        <c:noMultiLvlLbl val="0"/>
      </c:catAx>
      <c:valAx>
        <c:axId val="-2055135576"/>
        <c:scaling>
          <c:orientation val="minMax"/>
        </c:scaling>
        <c:delete val="0"/>
        <c:axPos val="l"/>
        <c:majorGridlines/>
        <c:title>
          <c:tx>
            <c:rich>
              <a:bodyPr/>
              <a:lstStyle/>
              <a:p>
                <a:pPr>
                  <a:defRPr/>
                </a:pPr>
                <a:r>
                  <a:rPr lang="en-US"/>
                  <a:t>Kg/day</a:t>
                </a:r>
              </a:p>
            </c:rich>
          </c:tx>
          <c:overlay val="0"/>
        </c:title>
        <c:numFmt formatCode="General" sourceLinked="1"/>
        <c:majorTickMark val="none"/>
        <c:minorTickMark val="none"/>
        <c:tickLblPos val="nextTo"/>
        <c:crossAx val="-210029772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05815-250F-B644-90FC-D2F7B47A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958</Words>
  <Characters>5465</Characters>
  <Application>Microsoft Macintosh Word</Application>
  <DocSecurity>0</DocSecurity>
  <Lines>45</Lines>
  <Paragraphs>12</Paragraphs>
  <ScaleCrop>false</ScaleCrop>
  <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pereira</dc:creator>
  <cp:keywords/>
  <dc:description/>
  <cp:lastModifiedBy>alfredo pereira</cp:lastModifiedBy>
  <cp:revision>2</cp:revision>
  <dcterms:created xsi:type="dcterms:W3CDTF">2014-06-26T11:37:00Z</dcterms:created>
  <dcterms:modified xsi:type="dcterms:W3CDTF">2014-06-26T11:37:00Z</dcterms:modified>
</cp:coreProperties>
</file>